
<file path=[Content_Types].xml><?xml version="1.0" encoding="utf-8"?>
<Types xmlns="http://schemas.openxmlformats.org/package/2006/content-types">
  <Default Extension="jpeg" ContentType="image/jpeg"/>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5342790" w14:textId="5342790">
      <w:pPr>
        <w:spacing w:after="150"/>
        <w:ind w:left="0"/>
        <w:jc w:val="left"/>
        <w15:collapsed w:val="false"/>
      </w:pP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val="false"/>
          <w:i w:val="false"/>
          <w:color w:val="000000"/>
          <w:sz w:val="22"/>
        </w:rPr>
        <w:t>На основу члана 8. став 3. Закона о ефикасном коришћењу енергије („Службени гласник РС”, број 25/13), а у вези са чланом 167. став 1. тачка 1) Закона о енергетској ефикасности и рационалној употреби енергије („Службени гласник РС”, број 40/21) и члана 43. став 3. Закона о Влади („Службени гласник РС”, бр. 55/05, 71/05 – исправка, 101/07, 65/08, 16/11, 68/12 – УС, 72/12, 7/14 – УС, 44/14 и 30/18 – др. закон), на предлог Министарства рударства и енергетике,</w:t>
      </w:r>
    </w:p>
    <w:p>
      <w:pPr>
        <w:spacing w:after="150"/>
        <w:ind w:left="0"/>
        <w:jc w:val="left"/>
      </w:pPr>
      <w:r>
        <w:rPr>
          <w:rFonts w:ascii="Verdana"/>
          <w:b w:val="false"/>
          <w:i w:val="false"/>
          <w:color w:val="000000"/>
          <w:sz w:val="22"/>
        </w:rPr>
        <w:t>Влада доноси</w:t>
      </w:r>
    </w:p>
    <w:p>
      <w:pPr>
        <w:spacing w:after="225"/>
        <w:ind w:left="0"/>
        <w:jc w:val="center"/>
      </w:pPr>
      <w:r>
        <w:rPr>
          <w:rFonts w:ascii="Verdana"/>
          <w:b/>
          <w:i w:val="false"/>
          <w:color w:val="000000"/>
          <w:sz w:val="22"/>
        </w:rPr>
        <w:t>ЗАКЉУЧАК</w:t>
      </w:r>
    </w:p>
    <w:p>
      <w:pPr>
        <w:spacing w:after="120"/>
        <w:ind w:left="0"/>
        <w:jc w:val="center"/>
      </w:pPr>
      <w:r>
        <w:rPr>
          <w:rFonts w:ascii="Verdana"/>
          <w:b w:val="false"/>
          <w:i w:val="false"/>
          <w:color w:val="000000"/>
          <w:sz w:val="22"/>
        </w:rPr>
        <w:t>"Службени гласник РС", број 86 од 3. септембра 2021.</w:t>
      </w:r>
    </w:p>
    <w:p>
      <w:pPr>
        <w:spacing w:after="150"/>
        <w:ind w:left="0"/>
        <w:jc w:val="left"/>
      </w:pPr>
      <w:r>
        <w:rPr>
          <w:rFonts w:ascii="Verdana"/>
          <w:b w:val="false"/>
          <w:i w:val="false"/>
          <w:color w:val="000000"/>
          <w:sz w:val="22"/>
        </w:rPr>
        <w:t>1. Усваја се Четврти акциони план за енергетску ефикасност Републике Србије за период до 31. децембра 2021. године, који је одштампан уз овај закључак и чини његов саставни део.</w:t>
      </w:r>
    </w:p>
    <w:p>
      <w:pPr>
        <w:spacing w:after="150"/>
        <w:ind w:left="0"/>
        <w:jc w:val="left"/>
      </w:pPr>
      <w:r>
        <w:rPr>
          <w:rFonts w:ascii="Verdana"/>
          <w:b w:val="false"/>
          <w:i w:val="false"/>
          <w:color w:val="000000"/>
          <w:sz w:val="22"/>
        </w:rPr>
        <w:t>2. Задужује се Министарство рударства и енергетике да Четврти акциони план за енергетску ефикасност Републике Србије за период до 31. децембра 2021. године из тачке 1. овог закључка у преводу на енглески језик достави Секретаријату Енергетске заједнице.</w:t>
      </w:r>
    </w:p>
    <w:p>
      <w:pPr>
        <w:spacing w:after="150"/>
        <w:ind w:left="0"/>
        <w:jc w:val="left"/>
      </w:pPr>
      <w:r>
        <w:rPr>
          <w:rFonts w:ascii="Verdana"/>
          <w:b w:val="false"/>
          <w:i w:val="false"/>
          <w:color w:val="000000"/>
          <w:sz w:val="22"/>
        </w:rPr>
        <w:t>3. Овај закључак објавити у „Службеном гласнику Републике Србије”.</w:t>
      </w:r>
    </w:p>
    <w:p>
      <w:pPr>
        <w:spacing w:after="150"/>
        <w:ind w:left="0"/>
        <w:jc w:val="right"/>
      </w:pPr>
      <w:r>
        <w:rPr>
          <w:rFonts w:ascii="Verdana"/>
          <w:b w:val="false"/>
          <w:i w:val="false"/>
          <w:color w:val="000000"/>
          <w:sz w:val="22"/>
        </w:rPr>
        <w:t>05 број 312-6754/2021-1</w:t>
      </w:r>
    </w:p>
    <w:p>
      <w:pPr>
        <w:spacing w:after="150"/>
        <w:ind w:left="0"/>
        <w:jc w:val="right"/>
      </w:pPr>
      <w:r>
        <w:rPr>
          <w:rFonts w:ascii="Verdana"/>
          <w:b w:val="false"/>
          <w:i w:val="false"/>
          <w:color w:val="000000"/>
          <w:sz w:val="22"/>
        </w:rPr>
        <w:t>У Београду, 26. августа 2021.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Ана Брнабић,</w:t>
      </w:r>
      <w:r>
        <w:rPr>
          <w:rFonts w:ascii="Verdana"/>
          <w:b w:val="false"/>
          <w:i w:val="false"/>
          <w:color w:val="000000"/>
          <w:sz w:val="22"/>
        </w:rPr>
        <w:t xml:space="preserve"> с.р.</w:t>
      </w:r>
    </w:p>
    <w:p>
      <w:pPr>
        <w:spacing w:after="120"/>
        <w:ind w:left="0"/>
        <w:jc w:val="center"/>
      </w:pPr>
      <w:r>
        <w:rPr>
          <w:rFonts w:ascii="Verdana"/>
          <w:b w:val="false"/>
          <w:i w:val="false"/>
          <w:color w:val="000000"/>
          <w:sz w:val="22"/>
        </w:rPr>
        <w:t>ЧЕТВРТИ АКЦИОНИ ПЛАН</w:t>
      </w:r>
      <w:r>
        <w:br/>
      </w:r>
      <w:r>
        <w:rPr>
          <w:rFonts w:ascii="Verdana"/>
          <w:b w:val="false"/>
          <w:i w:val="false"/>
          <w:color w:val="000000"/>
          <w:sz w:val="22"/>
        </w:rPr>
        <w:t>ЗА ЕНЕРГЕТСКУ ЕФИКАСНОСТ РЕПУБЛИКЕ СРБИЈЕ ЗА ПЕРИОД ДО 31. ДЕЦЕМБРА 2021. ГОДИНЕ</w:t>
      </w:r>
    </w:p>
    <w:p>
      <w:pPr>
        <w:spacing w:after="150"/>
        <w:ind w:left="0"/>
        <w:jc w:val="left"/>
      </w:pPr>
      <w:r>
        <w:rPr>
          <w:rFonts w:ascii="Verdana"/>
          <w:b w:val="false"/>
          <w:i w:val="false"/>
          <w:color w:val="000000"/>
          <w:sz w:val="22"/>
        </w:rPr>
        <w:t>Скраћенице:</w:t>
      </w:r>
    </w:p>
    <w:p>
      <w:pPr>
        <w:spacing w:after="150"/>
        <w:ind w:left="0"/>
        <w:jc w:val="left"/>
      </w:pPr>
      <w:r>
        <w:rPr>
          <w:rFonts w:ascii="Verdana"/>
          <w:b w:val="false"/>
          <w:i w:val="false"/>
          <w:color w:val="000000"/>
          <w:sz w:val="22"/>
        </w:rPr>
        <w:t>АПЕЕ – Акциони план за енергетску ефикасност</w:t>
      </w:r>
    </w:p>
    <w:p>
      <w:pPr>
        <w:spacing w:after="150"/>
        <w:ind w:left="0"/>
        <w:jc w:val="left"/>
      </w:pPr>
      <w:r>
        <w:rPr>
          <w:rFonts w:ascii="Verdana"/>
          <w:b w:val="false"/>
          <w:i w:val="false"/>
          <w:color w:val="000000"/>
          <w:sz w:val="22"/>
        </w:rPr>
        <w:t>БДП – бруто друштвени производ</w:t>
      </w:r>
    </w:p>
    <w:p>
      <w:pPr>
        <w:spacing w:after="150"/>
        <w:ind w:left="0"/>
        <w:jc w:val="left"/>
      </w:pPr>
      <w:r>
        <w:rPr>
          <w:rFonts w:ascii="Verdana"/>
          <w:b w:val="false"/>
          <w:i w:val="false"/>
          <w:color w:val="000000"/>
          <w:sz w:val="22"/>
        </w:rPr>
        <w:t>CFL – компактна флуоресцентна сијалица</w:t>
      </w:r>
    </w:p>
    <w:p>
      <w:pPr>
        <w:spacing w:after="150"/>
        <w:ind w:left="0"/>
        <w:jc w:val="left"/>
      </w:pPr>
      <w:r>
        <w:rPr>
          <w:rFonts w:ascii="Verdana"/>
          <w:b w:val="false"/>
          <w:i w:val="false"/>
          <w:color w:val="000000"/>
          <w:sz w:val="22"/>
        </w:rPr>
        <w:t>CHP – комбинована производња топлотне и електричне енергије</w:t>
      </w:r>
    </w:p>
    <w:p>
      <w:pPr>
        <w:spacing w:after="150"/>
        <w:ind w:left="0"/>
        <w:jc w:val="left"/>
      </w:pPr>
      <w:r>
        <w:rPr>
          <w:rFonts w:ascii="Verdana"/>
          <w:b w:val="false"/>
          <w:i w:val="false"/>
          <w:color w:val="000000"/>
          <w:sz w:val="22"/>
        </w:rPr>
        <w:t>ДЕЕС – дистрибутивни електроенергетски систем</w:t>
      </w:r>
    </w:p>
    <w:p>
      <w:pPr>
        <w:spacing w:after="150"/>
        <w:ind w:left="0"/>
        <w:jc w:val="left"/>
      </w:pPr>
      <w:r>
        <w:rPr>
          <w:rFonts w:ascii="Verdana"/>
          <w:b w:val="false"/>
          <w:i w:val="false"/>
          <w:color w:val="000000"/>
          <w:sz w:val="22"/>
        </w:rPr>
        <w:t>ЕBRD – Европска банка за обнову и развој</w:t>
      </w:r>
    </w:p>
    <w:p>
      <w:pPr>
        <w:spacing w:after="150"/>
        <w:ind w:left="0"/>
        <w:jc w:val="left"/>
      </w:pPr>
      <w:r>
        <w:rPr>
          <w:rFonts w:ascii="Verdana"/>
          <w:b w:val="false"/>
          <w:i w:val="false"/>
          <w:color w:val="000000"/>
          <w:sz w:val="22"/>
        </w:rPr>
        <w:t>ЕBRD – REEP– Регионални пројекат енергетске ефикасности</w:t>
      </w:r>
    </w:p>
    <w:p>
      <w:pPr>
        <w:spacing w:after="150"/>
        <w:ind w:left="0"/>
        <w:jc w:val="left"/>
      </w:pPr>
      <w:r>
        <w:rPr>
          <w:rFonts w:ascii="Verdana"/>
          <w:b w:val="false"/>
          <w:i w:val="false"/>
          <w:color w:val="000000"/>
          <w:sz w:val="22"/>
        </w:rPr>
        <w:t>EEД – Директива о енергетској ефикасности – Директива 2012/27/EУ</w:t>
      </w:r>
    </w:p>
    <w:p>
      <w:pPr>
        <w:spacing w:after="150"/>
        <w:ind w:left="0"/>
        <w:jc w:val="left"/>
      </w:pPr>
      <w:r>
        <w:rPr>
          <w:rFonts w:ascii="Verdana"/>
          <w:b w:val="false"/>
          <w:i w:val="false"/>
          <w:color w:val="000000"/>
          <w:sz w:val="22"/>
        </w:rPr>
        <w:t>EE – енергетска ефикасност</w:t>
      </w:r>
    </w:p>
    <w:p>
      <w:pPr>
        <w:spacing w:after="150"/>
        <w:ind w:left="0"/>
        <w:jc w:val="left"/>
      </w:pPr>
      <w:r>
        <w:rPr>
          <w:rFonts w:ascii="Verdana"/>
          <w:b w:val="false"/>
          <w:i w:val="false"/>
          <w:color w:val="000000"/>
          <w:sz w:val="22"/>
        </w:rPr>
        <w:t>ЕМС – Aкциoнaрскo друштво „Eлeктрoмрeжa Србиje”</w:t>
      </w:r>
    </w:p>
    <w:p>
      <w:pPr>
        <w:spacing w:after="150"/>
        <w:ind w:left="0"/>
        <w:jc w:val="left"/>
      </w:pPr>
      <w:r>
        <w:rPr>
          <w:rFonts w:ascii="Verdana"/>
          <w:b w:val="false"/>
          <w:i w:val="false"/>
          <w:color w:val="000000"/>
          <w:sz w:val="22"/>
        </w:rPr>
        <w:t>ЕЗ – Енергетска заједница</w:t>
      </w:r>
    </w:p>
    <w:p>
      <w:pPr>
        <w:spacing w:after="150"/>
        <w:ind w:left="0"/>
        <w:jc w:val="left"/>
      </w:pPr>
      <w:r>
        <w:rPr>
          <w:rFonts w:ascii="Verdana"/>
          <w:b w:val="false"/>
          <w:i w:val="false"/>
          <w:color w:val="000000"/>
          <w:sz w:val="22"/>
        </w:rPr>
        <w:t>EPBD – Директива о енергетским перформансама зграда – Директива 2010/31/EУ</w:t>
      </w:r>
    </w:p>
    <w:p>
      <w:pPr>
        <w:spacing w:after="150"/>
        <w:ind w:left="0"/>
        <w:jc w:val="left"/>
      </w:pPr>
      <w:r>
        <w:rPr>
          <w:rFonts w:ascii="Verdana"/>
          <w:b w:val="false"/>
          <w:i w:val="false"/>
          <w:color w:val="000000"/>
          <w:sz w:val="22"/>
        </w:rPr>
        <w:t>ЕПС – Јавно предузеће „Електропривреда Србије”</w:t>
      </w:r>
    </w:p>
    <w:p>
      <w:pPr>
        <w:spacing w:after="150"/>
        <w:ind w:left="0"/>
        <w:jc w:val="left"/>
      </w:pPr>
      <w:r>
        <w:rPr>
          <w:rFonts w:ascii="Verdana"/>
          <w:b w:val="false"/>
          <w:i w:val="false"/>
          <w:color w:val="000000"/>
          <w:sz w:val="22"/>
        </w:rPr>
        <w:t>ESCO – компаније које пружају енергетске услуге у складу са Законом о ефикасном коришћењу енергије/Законом о енергетској ефикасности и рационалној употреби енергије</w:t>
      </w:r>
    </w:p>
    <w:p>
      <w:pPr>
        <w:spacing w:after="150"/>
        <w:ind w:left="0"/>
        <w:jc w:val="left"/>
      </w:pPr>
      <w:r>
        <w:rPr>
          <w:rFonts w:ascii="Verdana"/>
          <w:b w:val="false"/>
          <w:i w:val="false"/>
          <w:color w:val="000000"/>
          <w:sz w:val="22"/>
        </w:rPr>
        <w:t>EСД – Директива о енергетској ефикасности финалне потрошње енергије и енергетским услугама – Директива 2006/32/ЕЗ</w:t>
      </w:r>
    </w:p>
    <w:p>
      <w:pPr>
        <w:spacing w:after="150"/>
        <w:ind w:left="0"/>
        <w:jc w:val="left"/>
      </w:pPr>
      <w:r>
        <w:rPr>
          <w:rFonts w:ascii="Verdana"/>
          <w:b w:val="false"/>
          <w:i w:val="false"/>
          <w:color w:val="000000"/>
          <w:sz w:val="22"/>
        </w:rPr>
        <w:t>ЕУ – Европска унија</w:t>
      </w:r>
    </w:p>
    <w:p>
      <w:pPr>
        <w:spacing w:after="150"/>
        <w:ind w:left="0"/>
        <w:jc w:val="left"/>
      </w:pPr>
      <w:r>
        <w:rPr>
          <w:rFonts w:ascii="Verdana"/>
          <w:b w:val="false"/>
          <w:i w:val="false"/>
          <w:color w:val="000000"/>
          <w:sz w:val="22"/>
        </w:rPr>
        <w:t>EURO 1–6 – европски прописи о издувној емисији моторних возила</w:t>
      </w:r>
    </w:p>
    <w:p>
      <w:pPr>
        <w:spacing w:after="150"/>
        <w:ind w:left="0"/>
        <w:jc w:val="left"/>
      </w:pPr>
      <w:r>
        <w:rPr>
          <w:rFonts w:ascii="Verdana"/>
          <w:b w:val="false"/>
          <w:i w:val="false"/>
          <w:color w:val="000000"/>
          <w:sz w:val="22"/>
        </w:rPr>
        <w:t>ИСЕМ – Информациони систем за енергетски менаџмент</w:t>
      </w:r>
    </w:p>
    <w:p>
      <w:pPr>
        <w:spacing w:after="150"/>
        <w:ind w:left="0"/>
        <w:jc w:val="left"/>
      </w:pPr>
      <w:r>
        <w:rPr>
          <w:rFonts w:ascii="Verdana"/>
          <w:b w:val="false"/>
          <w:i w:val="false"/>
          <w:color w:val="000000"/>
          <w:sz w:val="22"/>
        </w:rPr>
        <w:t>ЈЛС – јединица локалне самоуправе</w:t>
      </w:r>
    </w:p>
    <w:p>
      <w:pPr>
        <w:spacing w:after="150"/>
        <w:ind w:left="0"/>
        <w:jc w:val="left"/>
      </w:pPr>
      <w:r>
        <w:rPr>
          <w:rFonts w:ascii="Verdana"/>
          <w:b w:val="false"/>
          <w:i w:val="false"/>
          <w:color w:val="000000"/>
          <w:sz w:val="22"/>
        </w:rPr>
        <w:t>ЈПП – јавно-приватно партнерство</w:t>
      </w:r>
    </w:p>
    <w:p>
      <w:pPr>
        <w:spacing w:after="150"/>
        <w:ind w:left="0"/>
        <w:jc w:val="left"/>
      </w:pPr>
      <w:r>
        <w:rPr>
          <w:rFonts w:ascii="Verdana"/>
          <w:b w:val="false"/>
          <w:i w:val="false"/>
          <w:color w:val="000000"/>
          <w:sz w:val="22"/>
        </w:rPr>
        <w:t>ГХГ – гасови са ефектом стаклене баште</w:t>
      </w:r>
    </w:p>
    <w:p>
      <w:pPr>
        <w:spacing w:after="150"/>
        <w:ind w:left="0"/>
        <w:jc w:val="left"/>
      </w:pPr>
      <w:r>
        <w:rPr>
          <w:rFonts w:ascii="Verdana"/>
          <w:b w:val="false"/>
          <w:i w:val="false"/>
          <w:color w:val="000000"/>
          <w:sz w:val="22"/>
        </w:rPr>
        <w:t>GIZ – Немачка организација за техничку сарадњу</w:t>
      </w:r>
    </w:p>
    <w:p>
      <w:pPr>
        <w:spacing w:after="150"/>
        <w:ind w:left="0"/>
        <w:jc w:val="left"/>
      </w:pPr>
      <w:r>
        <w:rPr>
          <w:rFonts w:ascii="Verdana"/>
          <w:b w:val="false"/>
          <w:i w:val="false"/>
          <w:color w:val="000000"/>
          <w:sz w:val="22"/>
        </w:rPr>
        <w:t>GIZ/ORF – Отворени регионални фонд за Југоисточну Европу у оквиру GIZ-а</w:t>
      </w:r>
    </w:p>
    <w:p>
      <w:pPr>
        <w:spacing w:after="150"/>
        <w:ind w:left="0"/>
        <w:jc w:val="left"/>
      </w:pPr>
      <w:r>
        <w:rPr>
          <w:rFonts w:ascii="Verdana"/>
          <w:b w:val="false"/>
          <w:i w:val="false"/>
          <w:color w:val="000000"/>
          <w:sz w:val="22"/>
        </w:rPr>
        <w:t>GGF – Фонд „Зелено за растˮ</w:t>
      </w:r>
    </w:p>
    <w:p>
      <w:pPr>
        <w:spacing w:after="150"/>
        <w:ind w:left="0"/>
        <w:jc w:val="left"/>
      </w:pPr>
      <w:r>
        <w:rPr>
          <w:rFonts w:ascii="Verdana"/>
          <w:b w:val="false"/>
          <w:i w:val="false"/>
          <w:color w:val="000000"/>
          <w:sz w:val="22"/>
        </w:rPr>
        <w:t>GEF – Глобални фонд за животну средину</w:t>
      </w:r>
    </w:p>
    <w:p>
      <w:pPr>
        <w:spacing w:after="150"/>
        <w:ind w:left="0"/>
        <w:jc w:val="left"/>
      </w:pPr>
      <w:r>
        <w:rPr>
          <w:rFonts w:ascii="Verdana"/>
          <w:b w:val="false"/>
          <w:i w:val="false"/>
          <w:color w:val="000000"/>
          <w:sz w:val="22"/>
        </w:rPr>
        <w:t>МФИ – међународне финансијске институције</w:t>
      </w:r>
    </w:p>
    <w:p>
      <w:pPr>
        <w:spacing w:after="150"/>
        <w:ind w:left="0"/>
        <w:jc w:val="left"/>
      </w:pPr>
      <w:r>
        <w:rPr>
          <w:rFonts w:ascii="Verdana"/>
          <w:b w:val="false"/>
          <w:i w:val="false"/>
          <w:color w:val="000000"/>
          <w:sz w:val="22"/>
        </w:rPr>
        <w:t>МГСИ – Министарство грађевинарства, саобраћаја и инфраструктуре Републике Србије</w:t>
      </w:r>
    </w:p>
    <w:p>
      <w:pPr>
        <w:spacing w:after="150"/>
        <w:ind w:left="0"/>
        <w:jc w:val="left"/>
      </w:pPr>
      <w:r>
        <w:rPr>
          <w:rFonts w:ascii="Verdana"/>
          <w:b w:val="false"/>
          <w:i w:val="false"/>
          <w:color w:val="000000"/>
          <w:sz w:val="22"/>
        </w:rPr>
        <w:t>ММСП – микро, мала и средња предузећа</w:t>
      </w:r>
    </w:p>
    <w:p>
      <w:pPr>
        <w:spacing w:after="150"/>
        <w:ind w:left="0"/>
        <w:jc w:val="left"/>
      </w:pPr>
      <w:r>
        <w:rPr>
          <w:rFonts w:ascii="Verdana"/>
          <w:b w:val="false"/>
          <w:i w:val="false"/>
          <w:color w:val="000000"/>
          <w:sz w:val="22"/>
        </w:rPr>
        <w:t>МРЕ – Министарство рударства и енергетике Републике Србије</w:t>
      </w:r>
    </w:p>
    <w:p>
      <w:pPr>
        <w:spacing w:after="150"/>
        <w:ind w:left="0"/>
        <w:jc w:val="left"/>
      </w:pPr>
      <w:r>
        <w:rPr>
          <w:rFonts w:ascii="Verdana"/>
          <w:b w:val="false"/>
          <w:i w:val="false"/>
          <w:color w:val="000000"/>
          <w:sz w:val="22"/>
        </w:rPr>
        <w:t>МП – Министарство привреде Републике Србије</w:t>
      </w:r>
    </w:p>
    <w:p>
      <w:pPr>
        <w:spacing w:after="150"/>
        <w:ind w:left="0"/>
        <w:jc w:val="left"/>
      </w:pPr>
      <w:r>
        <w:rPr>
          <w:rFonts w:ascii="Verdana"/>
          <w:b w:val="false"/>
          <w:i w:val="false"/>
          <w:color w:val="000000"/>
          <w:sz w:val="22"/>
        </w:rPr>
        <w:t>МСП – мала и средња предузећа</w:t>
      </w:r>
    </w:p>
    <w:p>
      <w:pPr>
        <w:spacing w:after="150"/>
        <w:ind w:left="0"/>
        <w:jc w:val="left"/>
      </w:pPr>
      <w:r>
        <w:rPr>
          <w:rFonts w:ascii="Verdana"/>
          <w:b w:val="false"/>
          <w:i w:val="false"/>
          <w:color w:val="000000"/>
          <w:sz w:val="22"/>
        </w:rPr>
        <w:t>МТТТ – Министарство трговине, туризма и телекомуникација Републике Србије</w:t>
      </w:r>
    </w:p>
    <w:p>
      <w:pPr>
        <w:spacing w:after="150"/>
        <w:ind w:left="0"/>
        <w:jc w:val="left"/>
      </w:pPr>
      <w:r>
        <w:rPr>
          <w:rFonts w:ascii="Verdana"/>
          <w:b w:val="false"/>
          <w:i w:val="false"/>
          <w:color w:val="000000"/>
          <w:sz w:val="22"/>
        </w:rPr>
        <w:t>MRSD – милиона динара</w:t>
      </w:r>
    </w:p>
    <w:p>
      <w:pPr>
        <w:spacing w:after="150"/>
        <w:ind w:left="0"/>
        <w:jc w:val="left"/>
      </w:pPr>
      <w:r>
        <w:rPr>
          <w:rFonts w:ascii="Verdana"/>
          <w:b w:val="false"/>
          <w:i w:val="false"/>
          <w:color w:val="000000"/>
          <w:sz w:val="22"/>
        </w:rPr>
        <w:t>MEUR (M€) – милиона EUR</w:t>
      </w:r>
    </w:p>
    <w:p>
      <w:pPr>
        <w:spacing w:after="150"/>
        <w:ind w:left="0"/>
        <w:jc w:val="left"/>
      </w:pPr>
      <w:r>
        <w:rPr>
          <w:rFonts w:ascii="Verdana"/>
          <w:b w:val="false"/>
          <w:i w:val="false"/>
          <w:color w:val="000000"/>
          <w:sz w:val="22"/>
        </w:rPr>
        <w:t>MVP – Информациони систем за праћење и проверу остварених уштеда финалне енергије, којим управља министарство надлежно за послове енергетике</w:t>
      </w:r>
    </w:p>
    <w:p>
      <w:pPr>
        <w:spacing w:after="150"/>
        <w:ind w:left="0"/>
        <w:jc w:val="left"/>
      </w:pPr>
      <w:r>
        <w:rPr>
          <w:rFonts w:ascii="Verdana"/>
          <w:b w:val="false"/>
          <w:i w:val="false"/>
          <w:color w:val="000000"/>
          <w:sz w:val="22"/>
        </w:rPr>
        <w:t>nZEB – зграда са готово нултом потрошњом енергије</w:t>
      </w:r>
    </w:p>
    <w:p>
      <w:pPr>
        <w:spacing w:after="150"/>
        <w:ind w:left="0"/>
        <w:jc w:val="left"/>
      </w:pPr>
      <w:r>
        <w:rPr>
          <w:rFonts w:ascii="Verdana"/>
          <w:b w:val="false"/>
          <w:i w:val="false"/>
          <w:color w:val="000000"/>
          <w:sz w:val="22"/>
        </w:rPr>
        <w:t>ОДС – оператор дистрибутивног система</w:t>
      </w:r>
    </w:p>
    <w:p>
      <w:pPr>
        <w:spacing w:after="150"/>
        <w:ind w:left="0"/>
        <w:jc w:val="left"/>
      </w:pPr>
      <w:r>
        <w:rPr>
          <w:rFonts w:ascii="Verdana"/>
          <w:b w:val="false"/>
          <w:i w:val="false"/>
          <w:color w:val="000000"/>
          <w:sz w:val="22"/>
        </w:rPr>
        <w:t>ОИЕ – обновљиви извори енергије</w:t>
      </w:r>
    </w:p>
    <w:p>
      <w:pPr>
        <w:spacing w:after="150"/>
        <w:ind w:left="0"/>
        <w:jc w:val="left"/>
      </w:pPr>
      <w:r>
        <w:rPr>
          <w:rFonts w:ascii="Verdana"/>
          <w:b w:val="false"/>
          <w:i w:val="false"/>
          <w:color w:val="000000"/>
          <w:sz w:val="22"/>
        </w:rPr>
        <w:t>ОПД – методологија израчунавања уштеда енергије „Одозго према доле”</w:t>
      </w:r>
    </w:p>
    <w:p>
      <w:pPr>
        <w:spacing w:after="150"/>
        <w:ind w:left="0"/>
        <w:jc w:val="left"/>
      </w:pPr>
      <w:r>
        <w:rPr>
          <w:rFonts w:ascii="Verdana"/>
          <w:b w:val="false"/>
          <w:i w:val="false"/>
          <w:color w:val="000000"/>
          <w:sz w:val="22"/>
        </w:rPr>
        <w:t>ОПГ – методологија израчунавања уштеда енергије „Одоздо према горе”</w:t>
      </w:r>
    </w:p>
    <w:p>
      <w:pPr>
        <w:spacing w:after="150"/>
        <w:ind w:left="0"/>
        <w:jc w:val="left"/>
      </w:pPr>
      <w:r>
        <w:rPr>
          <w:rFonts w:ascii="Verdana"/>
          <w:b w:val="false"/>
          <w:i w:val="false"/>
          <w:color w:val="000000"/>
          <w:sz w:val="22"/>
        </w:rPr>
        <w:t>ПОС – Програм остваривања стратегије развоја енергетике Републике Србије до 2025. године са пројекцијама до 2030. године за период од 2017. до 2023. године</w:t>
      </w:r>
    </w:p>
    <w:p>
      <w:pPr>
        <w:spacing w:after="150"/>
        <w:ind w:left="0"/>
        <w:jc w:val="left"/>
      </w:pPr>
      <w:r>
        <w:rPr>
          <w:rFonts w:ascii="Verdana"/>
          <w:b w:val="false"/>
          <w:i w:val="false"/>
          <w:color w:val="000000"/>
          <w:sz w:val="22"/>
        </w:rPr>
        <w:t>РС – Република Србија</w:t>
      </w:r>
    </w:p>
    <w:p>
      <w:pPr>
        <w:spacing w:after="150"/>
        <w:ind w:left="0"/>
        <w:jc w:val="left"/>
      </w:pPr>
      <w:r>
        <w:rPr>
          <w:rFonts w:ascii="Verdana"/>
          <w:b w:val="false"/>
          <w:i w:val="false"/>
          <w:color w:val="000000"/>
          <w:sz w:val="22"/>
        </w:rPr>
        <w:t>РСД – динар</w:t>
      </w:r>
    </w:p>
    <w:p>
      <w:pPr>
        <w:spacing w:after="150"/>
        <w:ind w:left="0"/>
        <w:jc w:val="left"/>
      </w:pPr>
      <w:r>
        <w:rPr>
          <w:rFonts w:ascii="Verdana"/>
          <w:b w:val="false"/>
          <w:i w:val="false"/>
          <w:color w:val="000000"/>
          <w:sz w:val="22"/>
        </w:rPr>
        <w:t>РЗС – Републички завод за статистику</w:t>
      </w:r>
    </w:p>
    <w:p>
      <w:pPr>
        <w:spacing w:after="150"/>
        <w:ind w:left="0"/>
        <w:jc w:val="left"/>
      </w:pPr>
      <w:r>
        <w:rPr>
          <w:rFonts w:ascii="Verdana"/>
          <w:b w:val="false"/>
          <w:i w:val="false"/>
          <w:color w:val="000000"/>
          <w:sz w:val="22"/>
        </w:rPr>
        <w:t>СДГ – системи даљинског грејања</w:t>
      </w:r>
    </w:p>
    <w:p>
      <w:pPr>
        <w:spacing w:after="150"/>
        <w:ind w:left="0"/>
        <w:jc w:val="left"/>
      </w:pPr>
      <w:r>
        <w:rPr>
          <w:rFonts w:ascii="Verdana"/>
          <w:b w:val="false"/>
          <w:i w:val="false"/>
          <w:color w:val="000000"/>
          <w:sz w:val="22"/>
        </w:rPr>
        <w:t>СЕИ – База података „Српски енергетски индикатори”</w:t>
      </w:r>
    </w:p>
    <w:p>
      <w:pPr>
        <w:spacing w:after="150"/>
        <w:ind w:left="0"/>
        <w:jc w:val="left"/>
      </w:pPr>
      <w:r>
        <w:rPr>
          <w:rFonts w:ascii="Verdana"/>
          <w:b w:val="false"/>
          <w:i w:val="false"/>
          <w:color w:val="000000"/>
          <w:sz w:val="22"/>
        </w:rPr>
        <w:t>СЕМ – Систем енергетског менаџмента</w:t>
      </w:r>
    </w:p>
    <w:p>
      <w:pPr>
        <w:spacing w:after="150"/>
        <w:ind w:left="0"/>
        <w:jc w:val="left"/>
      </w:pPr>
      <w:r>
        <w:rPr>
          <w:rFonts w:ascii="Verdana"/>
          <w:b w:val="false"/>
          <w:i w:val="false"/>
          <w:color w:val="000000"/>
          <w:sz w:val="22"/>
        </w:rPr>
        <w:t>ТАБУЛА – Типологија грађевинског фонда за процену енергетске ефикасности</w:t>
      </w:r>
    </w:p>
    <w:p>
      <w:pPr>
        <w:spacing w:after="150"/>
        <w:ind w:left="0"/>
        <w:jc w:val="left"/>
      </w:pPr>
      <w:r>
        <w:rPr>
          <w:rFonts w:ascii="Verdana"/>
          <w:b w:val="false"/>
          <w:i w:val="false"/>
          <w:color w:val="000000"/>
          <w:sz w:val="22"/>
        </w:rPr>
        <w:t>TFC – укупна потрошња финалне енергије (Total Final Consumption)</w:t>
      </w:r>
    </w:p>
    <w:p>
      <w:pPr>
        <w:spacing w:after="150"/>
        <w:ind w:left="0"/>
        <w:jc w:val="left"/>
      </w:pPr>
      <w:r>
        <w:rPr>
          <w:rFonts w:ascii="Verdana"/>
          <w:b w:val="false"/>
          <w:i w:val="false"/>
          <w:color w:val="000000"/>
          <w:sz w:val="22"/>
        </w:rPr>
        <w:t>TPES – укупна испоручена примарна енергија (Total Primary Energy Supply)</w:t>
      </w:r>
    </w:p>
    <w:p>
      <w:pPr>
        <w:spacing w:after="150"/>
        <w:ind w:left="0"/>
        <w:jc w:val="left"/>
      </w:pPr>
      <w:r>
        <w:rPr>
          <w:rFonts w:ascii="Verdana"/>
          <w:b w:val="false"/>
          <w:i w:val="false"/>
          <w:color w:val="000000"/>
          <w:sz w:val="22"/>
        </w:rPr>
        <w:t>КЈН – Управа за јавне набавке/Канцеларија за јавне набавке (почев од 1. јула 2020. године)</w:t>
      </w:r>
    </w:p>
    <w:p>
      <w:pPr>
        <w:spacing w:after="150"/>
        <w:ind w:left="0"/>
        <w:jc w:val="left"/>
      </w:pPr>
      <w:r>
        <w:rPr>
          <w:rFonts w:ascii="Verdana"/>
          <w:b w:val="false"/>
          <w:i w:val="false"/>
          <w:color w:val="000000"/>
          <w:sz w:val="22"/>
        </w:rPr>
        <w:t>UNDP – Програм Уједињених нација за развој</w:t>
      </w:r>
    </w:p>
    <w:p>
      <w:pPr>
        <w:spacing w:after="120"/>
        <w:ind w:left="0"/>
        <w:jc w:val="center"/>
      </w:pPr>
      <w:r>
        <w:rPr>
          <w:rFonts w:ascii="Verdana"/>
          <w:b w:val="false"/>
          <w:i w:val="false"/>
          <w:color w:val="000000"/>
          <w:sz w:val="22"/>
        </w:rPr>
        <w:t>РЕЗИМЕ</w:t>
      </w:r>
    </w:p>
    <w:p>
      <w:pPr>
        <w:spacing w:after="150"/>
        <w:ind w:left="0"/>
        <w:jc w:val="left"/>
      </w:pPr>
      <w:r>
        <w:rPr>
          <w:rFonts w:ascii="Verdana"/>
          <w:b w:val="false"/>
          <w:i w:val="false"/>
          <w:color w:val="000000"/>
          <w:sz w:val="22"/>
        </w:rPr>
        <w:t>Четврти акциони план за енергетску ефикасност Републике Србије припремљен је за период до 31. децембра 2021. године. Извештај нарочито садржи постигнуте резултате уштеда финалне енергије, статусу реализације појединих мера дефинисаних у оквиру 3. АПEE, циљеве за уштеду финалне енергије у 2020. и 2021. години, мере за њихово достизање, као и статус имплементације мера дефинисаних Директивом 2012/27/EУ о енергетској ефикасности а преузетих од стране Енергетске заједнице Одлуком Министарског савета (D/2015/08/MC-EnC).</w:t>
      </w:r>
    </w:p>
    <w:p>
      <w:pPr>
        <w:spacing w:after="150"/>
        <w:ind w:left="0"/>
        <w:jc w:val="left"/>
      </w:pPr>
      <w:r>
        <w:rPr>
          <w:rFonts w:ascii="Verdana"/>
          <w:b w:val="false"/>
          <w:i w:val="false"/>
          <w:color w:val="000000"/>
          <w:sz w:val="22"/>
        </w:rPr>
        <w:t>Циљ предвиђене укупне уштеде енергије у 2018. години, како је утврђено још у оквиру 1. АПЕЕ износи 0,7524 Mtoe, што представља 9% референтне потрошње енергије у 2008. години. Министарство рударства и енергетике, према свим прикупљеним, обрађеним и процењеним подацима налази да је остварено 88% од задатог циља, како је и приказано у Табели 1 овог документа.</w:t>
      </w:r>
    </w:p>
    <w:p>
      <w:pPr>
        <w:spacing w:after="150"/>
        <w:ind w:left="0"/>
        <w:jc w:val="left"/>
      </w:pPr>
      <w:r>
        <w:rPr>
          <w:rFonts w:ascii="Verdana"/>
          <w:b w:val="false"/>
          <w:i w:val="false"/>
          <w:color w:val="000000"/>
          <w:sz w:val="22"/>
        </w:rPr>
        <w:t>Показује се да највећи утицај на резултате уштеда, као и у претходном АПЕЕ, имају системске мере које обухватају велики део секторске потрошње као нпр. изградња објеката по новим прописима, промоција и продаја ефикасних уређаја; замена старих возила новим итд. У овом извештајном периоду значајна новина су остварене уштеде енергије по основу имплементације Система енергетског менаџмента, како у јавно-комерцијалном сектору тако и у индустрији. У Прилогу 4 дат је списак свих мера.</w:t>
      </w:r>
    </w:p>
    <w:p>
      <w:pPr>
        <w:spacing w:after="150"/>
        <w:ind w:left="0"/>
        <w:jc w:val="left"/>
      </w:pPr>
      <w:r>
        <w:rPr>
          <w:rFonts w:ascii="Verdana"/>
          <w:b w:val="false"/>
          <w:i w:val="false"/>
          <w:color w:val="000000"/>
          <w:sz w:val="22"/>
        </w:rPr>
        <w:t xml:space="preserve">Што се тиче циља за 2020. годину он је утврђен у ПОС као cap-consuption за примарну енергије у висини од 17,981 милиона toe примарне енергије и 13,103 милиона toe за финалну енергију. За 2021. годину циљ за cap-consuption </w:t>
      </w:r>
      <w:r>
        <w:rPr>
          <w:rFonts w:ascii="Verdana"/>
          <w:b w:val="false"/>
          <w:i w:val="false"/>
          <w:color w:val="000000"/>
          <w:sz w:val="22"/>
        </w:rPr>
        <w:t>задржава се на истом нивоу као за 2020. годину.</w:t>
      </w:r>
    </w:p>
    <w:p>
      <w:pPr>
        <w:spacing w:after="150"/>
        <w:ind w:left="0"/>
        <w:jc w:val="left"/>
      </w:pPr>
      <w:r>
        <w:rPr>
          <w:rFonts w:ascii="Verdana"/>
          <w:b w:val="false"/>
          <w:i w:val="false"/>
          <w:color w:val="000000"/>
          <w:sz w:val="22"/>
        </w:rPr>
        <w:t>Институционални и правни оквир за имплементацију мера, надзор над имплементацијом и извештавање се у односу на претходни АПЕЕ није значајније мењао, док се правни оквир променио јер је донет нови Закон о енергетској ефикасности и рационалној употреби енергије („Службени гласник РС”, број 40/21 – у даљем тексту: ЗЕЕРУЕ). На основу члана 7. ЗЕЕРУЕ, основни акти којима се утврђује политика енергетске ефикасности су: Стратегија развоја енергетике Републике Србије која се доноси у складу са законом којим се уређује област енергетике, програм којим се утврђују услови, начин, динамика и мере за остваривање Стратегије, која се доноси у складу са законом којим се уређује област енергетике и интегрисани национални енергетски и климатски план који се доноси у складу са законом којим се уређује област енергетике. На основу члана 167. став 1. тачка 1) ЗЕЕРУЕ, даном ступања на снагу ЗЕЕРУЕ престаје да важи Закон о ефикасном коришћењу енергије („Службени гласник РС”, број 25/13 – у даљем тексту: ЗЕКЕ), осим одредаба чл. 7–9. које се односе на Aкциони план за енергетску ефикасност Републике Србије, које важе до 31. децембра 2021. године.</w:t>
      </w:r>
    </w:p>
    <w:p>
      <w:pPr>
        <w:spacing w:after="150"/>
        <w:ind w:left="0"/>
        <w:jc w:val="left"/>
      </w:pPr>
      <w:r>
        <w:rPr>
          <w:rFonts w:ascii="Verdana"/>
          <w:b w:val="false"/>
          <w:i w:val="false"/>
          <w:color w:val="000000"/>
          <w:sz w:val="22"/>
        </w:rPr>
        <w:t>Основна институција која је одговорна за контролу имплементацију АПЕЕ је министарство надлежно за послове енергетике у складу са чланом 9. Закона о ефикасном коришћењу енергије.</w:t>
      </w:r>
    </w:p>
    <w:p>
      <w:pPr>
        <w:spacing w:after="150"/>
        <w:ind w:left="0"/>
        <w:jc w:val="left"/>
      </w:pPr>
      <w:r>
        <w:rPr>
          <w:rFonts w:ascii="Verdana"/>
          <w:b w:val="false"/>
          <w:i w:val="false"/>
          <w:color w:val="000000"/>
          <w:sz w:val="22"/>
        </w:rPr>
        <w:t>Финансијски оквир није значајније унапређен у извештајном периоду 2016–2018. Увођење накнаде за енергетску ефикасност, кроз Закон о накнадама за коришћење јавних добара („Службени гласник РС”, бр. 95/18 и 49/19) који је донет крајем 2018. године, треба да омогући значајнија наменска буџетска средства за имплементацију мера енергетске ефикасности. По основу наведене накнаде на годишњем нивоу ће се прикупити средства у висини од око 9 MEUR, а накнада представља приход буџета Републике Србије.</w:t>
      </w:r>
    </w:p>
    <w:p>
      <w:pPr>
        <w:spacing w:after="150"/>
        <w:ind w:left="0"/>
        <w:jc w:val="left"/>
      </w:pPr>
      <w:r>
        <w:rPr>
          <w:rFonts w:ascii="Verdana"/>
          <w:b w:val="false"/>
          <w:i w:val="false"/>
          <w:color w:val="000000"/>
          <w:sz w:val="22"/>
        </w:rPr>
        <w:t>Значајније унапређење имплементационе политике очекују се кроз успостављање Управе за финансирање и подстицање енергетске ефикасности, као органа управе у саставу Министарства рударства и енергетике, чије оснивање је предвиђено на основу ЗЕЕРУЕ.</w:t>
      </w:r>
    </w:p>
    <w:p>
      <w:pPr>
        <w:spacing w:after="120"/>
        <w:ind w:left="0"/>
        <w:jc w:val="center"/>
      </w:pPr>
      <w:r>
        <w:rPr>
          <w:rFonts w:ascii="Verdana"/>
          <w:b w:val="false"/>
          <w:i w:val="false"/>
          <w:color w:val="000000"/>
          <w:sz w:val="22"/>
        </w:rPr>
        <w:t>1. УВОД</w:t>
      </w:r>
    </w:p>
    <w:p>
      <w:pPr>
        <w:spacing w:after="150"/>
        <w:ind w:left="0"/>
        <w:jc w:val="left"/>
      </w:pPr>
      <w:r>
        <w:rPr>
          <w:rFonts w:ascii="Verdana"/>
          <w:b w:val="false"/>
          <w:i w:val="false"/>
          <w:color w:val="000000"/>
          <w:sz w:val="22"/>
        </w:rPr>
        <w:t>У 2018. години у Републици Србији је било 6,98 милиона становника. Број становника смањен је за 2,1% у односу на извештај из 2014. године дат у 3. АПЕЕ. БДП Републике Србије био је 5072932,2 MRSD (42.855 М€) у 2018. години што је за око 76% више у односу на ниво из 2015. према текућим ценама. Позитивни тренд раста БДП одржао се у целом периоду имплементације 3. АПЕЕ (у периоду од 2016. до 2018. године), тако да је 2018. године БДП по глави становника у Републици Србији износио је 6.143 €, док је у 28 земаља Европске уније износио 36.736 €. Стопа незапослености, у односу на претходан период, је смањена и у 2018. години износила је 11,3%.</w:t>
      </w:r>
    </w:p>
    <w:p>
      <w:pPr>
        <w:spacing w:after="150"/>
        <w:ind w:left="0"/>
        <w:jc w:val="left"/>
      </w:pPr>
      <w:r>
        <w:rPr>
          <w:rFonts w:ascii="Verdana"/>
          <w:b w:val="false"/>
          <w:i w:val="false"/>
          <w:color w:val="000000"/>
          <w:sz w:val="22"/>
        </w:rPr>
        <w:t>Финална потрошња енергије је смањена за 2% у периоду од 2010. до 2018. године. Прецизније, финална потрошња енергије смањена је у периоду од 2012. до 2014. године, док је тренд раста забележен од 2015. до 2018. године, упоредо са растом привредних активности. Примарна потрошња енергије смањена је за 13% у периоду од 2010. до 2014. године, док је у периоду од 2014. до 2018. године забележен тренд повећања, који је резултирао растом од 15%</w:t>
      </w:r>
      <w:r>
        <w:rPr>
          <w:rFonts w:ascii="Verdana"/>
          <w:b w:val="false"/>
          <w:i w:val="false"/>
          <w:color w:val="000000"/>
          <w:sz w:val="22"/>
          <w:vertAlign w:val="superscript"/>
        </w:rPr>
        <w:t>1</w:t>
      </w:r>
      <w:r>
        <w:rPr>
          <w:rFonts w:ascii="Verdana"/>
          <w:b w:val="false"/>
          <w:i w:val="false"/>
          <w:color w:val="000000"/>
          <w:sz w:val="22"/>
        </w:rPr>
        <w:t>.</w:t>
      </w:r>
    </w:p>
    <w:p>
      <w:pPr>
        <w:spacing w:after="150"/>
        <w:ind w:left="0"/>
        <w:jc w:val="left"/>
      </w:pPr>
      <w:r>
        <w:rPr>
          <w:rFonts w:ascii="Verdana"/>
          <w:b w:val="false"/>
          <w:i w:val="false"/>
          <w:color w:val="000000"/>
          <w:sz w:val="22"/>
        </w:rPr>
        <w:t>За извештајни период од 2016. до 2018. године, када је имплементиран 3. АПЕЕ, усвојена су два битна акта за област енергетске ефикасности. Први акт је Уредба о утврђивању програма остваривања стратегије развоја енергетике за период од 2017. до 2023. године („Службени гласник РС”, број 104/17), којом се задаје циљ за 2020. годину за ЕЕ, а други акт је Закон о накнадама за коришћење јавних добара („Службени гласник РС”, бр. 95/18 и 49/19), који уводи основ за успостављање одрживог финансирања енергетске ефикасности кроз увођење накнаде за енергетску ефикасност.</w:t>
      </w:r>
    </w:p>
    <w:p>
      <w:pPr>
        <w:spacing w:after="150"/>
        <w:ind w:left="0"/>
        <w:jc w:val="left"/>
      </w:pPr>
      <w:r>
        <w:rPr>
          <w:rFonts w:ascii="Verdana"/>
          <w:b w:val="false"/>
          <w:i w:val="false"/>
          <w:color w:val="000000"/>
          <w:sz w:val="22"/>
        </w:rPr>
        <w:t>Проблеми у имплементацији три усвојена плана за енергетску ефикасност Републике Србије, у периоду од 2010. до 2018. године тицали су се у великој мери спорог опоравка привреде, након рецесије повезане са Светском економском кризом, и катастрофалних поплава из 2014. године. Након достигнуте фискалне стабилности у претходне три године и успостављања динамичних стопа привредног раста, Влада је фокусирана на интензивирање започетих системских реформи, како би се обезбедило структурно уравнотежење привреде</w:t>
      </w:r>
      <w:r>
        <w:rPr>
          <w:rFonts w:ascii="Verdana"/>
          <w:b w:val="false"/>
          <w:i w:val="false"/>
          <w:color w:val="000000"/>
          <w:sz w:val="22"/>
          <w:vertAlign w:val="superscript"/>
        </w:rPr>
        <w:t>2</w:t>
      </w:r>
      <w:r>
        <w:rPr>
          <w:rFonts w:ascii="Verdana"/>
          <w:b w:val="false"/>
          <w:i w:val="false"/>
          <w:color w:val="000000"/>
          <w:sz w:val="22"/>
        </w:rPr>
        <w:t>.</w:t>
      </w:r>
    </w:p>
    <w:p>
      <w:pPr>
        <w:spacing w:after="150"/>
        <w:ind w:left="0"/>
        <w:jc w:val="left"/>
      </w:pPr>
      <w:r>
        <w:rPr>
          <w:rFonts w:ascii="Verdana"/>
          <w:b w:val="false"/>
          <w:i w:val="false"/>
          <w:color w:val="000000"/>
          <w:sz w:val="22"/>
        </w:rPr>
        <w:t>––––––––</w:t>
      </w:r>
    </w:p>
    <w:p>
      <w:pPr>
        <w:spacing w:after="150"/>
        <w:ind w:left="0"/>
        <w:jc w:val="left"/>
      </w:pPr>
      <w:r>
        <w:rPr>
          <w:rFonts w:ascii="Verdana"/>
          <w:b w:val="false"/>
          <w:i w:val="false"/>
          <w:color w:val="000000"/>
          <w:sz w:val="22"/>
        </w:rPr>
        <w:t>1	Годишњи извештај за Стратегију развоја енергетике и Програм остваривања Стратегије за период 2017–2018. године. Пројекат Развоја капацитета енергетског планирања у Републици Србији, EuropeAid/135625/IH/SER/RS</w:t>
      </w:r>
    </w:p>
    <w:p>
      <w:pPr>
        <w:spacing w:after="150"/>
        <w:ind w:left="0"/>
        <w:jc w:val="left"/>
      </w:pPr>
      <w:r>
        <w:rPr>
          <w:rFonts w:ascii="Verdana"/>
          <w:b w:val="false"/>
          <w:i w:val="false"/>
          <w:color w:val="000000"/>
          <w:sz w:val="22"/>
        </w:rPr>
        <w:t>2	Фискална стратегија за 2019. годину са пројекцијама за 2020. и 2021. годину</w:t>
      </w:r>
    </w:p>
    <w:p>
      <w:pPr>
        <w:spacing w:after="150"/>
        <w:ind w:left="0"/>
        <w:jc w:val="left"/>
      </w:pPr>
      <w:r>
        <w:rPr>
          <w:rFonts w:ascii="Verdana"/>
          <w:b w:val="false"/>
          <w:i w:val="false"/>
          <w:color w:val="000000"/>
          <w:sz w:val="22"/>
        </w:rPr>
        <w:t>Четврти акциони план за енергетску ефикасност Републике Србије припремљен је за период до 31. децембра 2021. године (у даљем тексту: 4. AПEE). 4. AПEE садржи извештај о досадашњим резултатима уштеда енергије на страни финалне потрошње и степен реализације циља постављеног још у 1. АПЕЕ; резултате уштеда енергије на страни примарне потрошње и статус реализације појединих техничких мера дефинисаних у оквиру 3. AПEE; преглед активности спроведених у циљу транспозиције и имплементације Директиве 2012/27/EУ о енергетској ефикасности (у даљем тексту: EEД); и даје и планове у вези са даљим усклађивањем са захтевима EEД и индикативан циљ закључно са 2021. годином.</w:t>
      </w:r>
    </w:p>
    <w:p>
      <w:pPr>
        <w:spacing w:after="150"/>
        <w:ind w:left="0"/>
        <w:jc w:val="left"/>
      </w:pPr>
      <w:r>
        <w:rPr>
          <w:rFonts w:ascii="Verdana"/>
          <w:b w:val="false"/>
          <w:i w:val="false"/>
          <w:color w:val="000000"/>
          <w:sz w:val="22"/>
        </w:rPr>
        <w:t>Индикативни циљ укупне уштеде финалне енергије у 2018. години, како је утврђено у сва три акциона плана за енергетску ефикасност износио је 0,7524 Mtoe, што је представљало 9% референтне потрошње финалне енергије у 2008. години. 1. АПЕЕ је био креиран у складу са Одлуком 2009/05/МС-Enc од 18. децембра 2009. године Министарског савета Енергетске заједнице и Директивом 2006/32/ЕЗ Европског парламента и Савета о енергетској ефикасности код крајњих корисника и енергетским услугама; док су каснији документи, 2. и 3. АПЕЕ креирани у складу са истом одлуком Министарског савета и донети на основу Закона о ефикасном коришћењу енергије („Службени гласник РС”, број 25/13), у формату који је припремила Енергетска заједница (тзв. NEEAP template).</w:t>
      </w:r>
    </w:p>
    <w:p>
      <w:pPr>
        <w:spacing w:after="150"/>
        <w:ind w:left="0"/>
        <w:jc w:val="left"/>
      </w:pPr>
      <w:r>
        <w:rPr>
          <w:rFonts w:ascii="Verdana"/>
          <w:b w:val="false"/>
          <w:i w:val="false"/>
          <w:color w:val="000000"/>
          <w:sz w:val="22"/>
        </w:rPr>
        <w:t>Како је Директива 2006/32/EЗ у Европској унији престала да важи и уместо ње ступила на снагу Директива 2012/27/EУ о енергетској ефикасности, Енергетска заједница је Одлуком Министарског савета (D/2015/08/MC-EnC) из октобра 2015. године усвојила обавезујућу примену Директиве 2012/27/EУ за потписнице уговора о Енергетској заједници, почевши од 2017. године. Тиме је 3. AПEE био последњи AПEE који се радио у складу са захтевима Директиве 2006/32/EЗ (у даљем тексту: ЕСД директива), али је већ садржао и неке елементе који се тичу Директиве 2012/27/EУ. Наведеном одлуком су успостављени и нови индикативни циљеви за енергетску ефикасност, за земље потписнице Уговора о Енергетској заједници, изражени кроз задату вредност максималне потрошње финалне и примарне енергије за 2020. годину.</w:t>
      </w:r>
    </w:p>
    <w:p>
      <w:pPr>
        <w:spacing w:after="150"/>
        <w:ind w:left="0"/>
        <w:jc w:val="left"/>
      </w:pPr>
      <w:r>
        <w:rPr>
          <w:rFonts w:ascii="Verdana"/>
          <w:b w:val="false"/>
          <w:i w:val="false"/>
          <w:color w:val="000000"/>
          <w:sz w:val="22"/>
        </w:rPr>
        <w:t>Енергетска заједница је 2018. године усвојила Препоруку 2018/01/MC-EnC о припреми и развоју интегрисаних националних планова за енергетику и климу; такође у току је процес преговора у оквиру Енергетске заједнице о успостављању нових циљева за ЕЕ, ОИЕ и ГХГ емисије за 2030. годину, на начин како је то већ уређено у ЕУ, кроз тзв. „Clean Energy for all Europeans package” који је на снази од јуна 2019. године. Овим „пакетом” ЕУ се обавезала да до 2030. године смањи емисије ГХГ за 40% у односу на 1990. годину, да повећа енергетску ефикасности за 32,5% и да оствари учешће ОИЕ од 32% на нивоу ЕУ, с тим да свака земља чланица ЕУ задаје сопствене циљеве који треба да допринесу општем циљу за ЕУ.</w:t>
      </w:r>
    </w:p>
    <w:p>
      <w:pPr>
        <w:spacing w:after="150"/>
        <w:ind w:left="0"/>
        <w:jc w:val="left"/>
      </w:pPr>
      <w:r>
        <w:rPr>
          <w:rFonts w:ascii="Verdana"/>
          <w:b w:val="false"/>
          <w:i w:val="false"/>
          <w:color w:val="000000"/>
          <w:sz w:val="22"/>
        </w:rPr>
        <w:t>Република Србија је према проценама, које су изведене на основу прикупљених података о остваривању циља за период од 2010. до 2018. године, имплементирала акционе планове успешно, тј. остварила је 88% од задатог циља за 2018. годину. Такође је на путу да реализује циљ изражен у виду максималне дозвољене потрошње за примарну и финалну енергију задат за 2020. годину у ПОС.</w:t>
      </w:r>
    </w:p>
    <w:p>
      <w:pPr>
        <w:spacing w:after="120"/>
        <w:ind w:left="0"/>
        <w:jc w:val="center"/>
      </w:pPr>
      <w:r>
        <w:rPr>
          <w:rFonts w:ascii="Verdana"/>
          <w:b w:val="false"/>
          <w:i w:val="false"/>
          <w:color w:val="000000"/>
          <w:sz w:val="22"/>
        </w:rPr>
        <w:t>2. ПРЕГЛЕД НАЦИОНАЛНИХ ЦИЉЕВА ЗА ЕНЕРГЕТСКУ ЕФИКАСНОСТ И ОСТВАРЕНИХ УШТЕДА</w:t>
      </w:r>
    </w:p>
    <w:p>
      <w:pPr>
        <w:spacing w:after="150"/>
        <w:ind w:left="0"/>
        <w:jc w:val="left"/>
      </w:pPr>
      <w:r>
        <w:rPr>
          <w:rFonts w:ascii="Verdana"/>
          <w:b w:val="false"/>
          <w:i w:val="false"/>
          <w:color w:val="000000"/>
          <w:sz w:val="22"/>
        </w:rPr>
        <w:t>Укупна уштеда финалне енергије у 2018. години, према проценама Министарства рударства и енергетике (у даљем тексту Министарство) је 0,661 Mtoe, што представља 88% од постављеног индикативног циља за период од 2010. до 2018. година, а у складу са захтевима ЕСД директиве. У Табели 1. приказана је процена остварених резултата по секторима финалне потрошње.</w:t>
      </w:r>
    </w:p>
    <w:p>
      <w:pPr>
        <w:spacing w:after="150"/>
        <w:ind w:left="0"/>
        <w:jc w:val="left"/>
      </w:pPr>
      <w:r>
        <w:rPr>
          <w:rFonts w:ascii="Verdana"/>
          <w:b w:val="false"/>
          <w:i w:val="false"/>
          <w:color w:val="000000"/>
          <w:sz w:val="22"/>
        </w:rPr>
        <w:t>Табела 1. Национални индикативни циљ за 2018. годину и његово остварење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247"/>
        <w:gridCol w:w="2433"/>
        <w:gridCol w:w="4720"/>
      </w:tblGrid>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Национални наговештени циљ за 2018.</w:t>
            </w:r>
          </w:p>
        </w:tc>
        <w:tc>
          <w:tcPr>
            <w:tcW w:w="47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0,7524 (Mtoe)</w:t>
            </w:r>
          </w:p>
        </w:tc>
      </w:tr>
      <w:tr>
        <w:trPr>
          <w:trHeight w:val="45" w:hRule="atLeast"/>
        </w:trPr>
        <w:tc>
          <w:tcPr>
            <w:tcW w:w="7247"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Подела циљева по секторима</w:t>
            </w:r>
          </w:p>
        </w:tc>
        <w:tc>
          <w:tcPr>
            <w:tcW w:w="2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Секторски циљ</w:t>
            </w:r>
          </w:p>
        </w:tc>
        <w:tc>
          <w:tcPr>
            <w:tcW w:w="47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Остварена уштеда у 2018.</w:t>
            </w:r>
          </w:p>
        </w:tc>
      </w:tr>
      <w:tr>
        <w:trPr>
          <w:trHeight w:val="45" w:hRule="atLeast"/>
        </w:trPr>
        <w:tc>
          <w:tcPr>
            <w:tcW w:w="0" w:type="auto"/>
            <w:vMerge/>
            <w:tcBorders>
              <w:top w:val="nil"/>
              <w:left w:val="single" w:color="000000" w:sz="8"/>
              <w:bottom w:val="single" w:color="000000" w:sz="8"/>
              <w:right w:val="single" w:color="000000" w:sz="8"/>
            </w:tcBorders>
          </w:tcPr>
          <w:p/>
        </w:tc>
        <w:tc>
          <w:tcPr>
            <w:tcW w:w="2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c>
          <w:tcPr>
            <w:tcW w:w="47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r>
      <w:tr>
        <w:trPr>
          <w:trHeight w:val="45" w:hRule="atLeast"/>
        </w:trPr>
        <w:tc>
          <w:tcPr>
            <w:tcW w:w="72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домаћинства</w:t>
            </w:r>
          </w:p>
        </w:tc>
        <w:tc>
          <w:tcPr>
            <w:tcW w:w="2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0,2776</w:t>
            </w:r>
          </w:p>
        </w:tc>
        <w:tc>
          <w:tcPr>
            <w:tcW w:w="47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0,2487</w:t>
            </w:r>
          </w:p>
        </w:tc>
      </w:tr>
      <w:tr>
        <w:trPr>
          <w:trHeight w:val="45" w:hRule="atLeast"/>
        </w:trPr>
        <w:tc>
          <w:tcPr>
            <w:tcW w:w="72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и комерцијални сектор</w:t>
            </w:r>
          </w:p>
        </w:tc>
        <w:tc>
          <w:tcPr>
            <w:tcW w:w="2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0,1581</w:t>
            </w:r>
          </w:p>
        </w:tc>
        <w:tc>
          <w:tcPr>
            <w:tcW w:w="47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0,097</w:t>
            </w:r>
          </w:p>
        </w:tc>
      </w:tr>
      <w:tr>
        <w:trPr>
          <w:trHeight w:val="45" w:hRule="atLeast"/>
        </w:trPr>
        <w:tc>
          <w:tcPr>
            <w:tcW w:w="72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индустрија</w:t>
            </w:r>
          </w:p>
        </w:tc>
        <w:tc>
          <w:tcPr>
            <w:tcW w:w="2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0,1227</w:t>
            </w:r>
          </w:p>
        </w:tc>
        <w:tc>
          <w:tcPr>
            <w:tcW w:w="47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0,0736</w:t>
            </w:r>
          </w:p>
        </w:tc>
      </w:tr>
      <w:tr>
        <w:trPr>
          <w:trHeight w:val="45" w:hRule="atLeast"/>
        </w:trPr>
        <w:tc>
          <w:tcPr>
            <w:tcW w:w="72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саобраћаја</w:t>
            </w:r>
          </w:p>
        </w:tc>
        <w:tc>
          <w:tcPr>
            <w:tcW w:w="2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0,1940</w:t>
            </w:r>
          </w:p>
        </w:tc>
        <w:tc>
          <w:tcPr>
            <w:tcW w:w="47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0,2417</w:t>
            </w:r>
          </w:p>
        </w:tc>
      </w:tr>
      <w:tr>
        <w:trPr>
          <w:trHeight w:val="45" w:hRule="atLeast"/>
        </w:trPr>
        <w:tc>
          <w:tcPr>
            <w:tcW w:w="72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 (Mtoe):</w:t>
            </w:r>
          </w:p>
        </w:tc>
        <w:tc>
          <w:tcPr>
            <w:tcW w:w="2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0,7524</w:t>
            </w:r>
          </w:p>
        </w:tc>
        <w:tc>
          <w:tcPr>
            <w:tcW w:w="47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0,661</w:t>
            </w:r>
          </w:p>
        </w:tc>
      </w:tr>
      <w:tr>
        <w:trPr>
          <w:trHeight w:val="45" w:hRule="atLeast"/>
        </w:trPr>
        <w:tc>
          <w:tcPr>
            <w:tcW w:w="72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 (GWh):</w:t>
            </w:r>
          </w:p>
        </w:tc>
        <w:tc>
          <w:tcPr>
            <w:tcW w:w="2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8.750</w:t>
            </w:r>
          </w:p>
        </w:tc>
        <w:tc>
          <w:tcPr>
            <w:tcW w:w="47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7.687,44</w:t>
            </w:r>
          </w:p>
        </w:tc>
      </w:tr>
      <w:tr>
        <w:trPr>
          <w:trHeight w:val="45" w:hRule="atLeast"/>
        </w:trPr>
        <w:tc>
          <w:tcPr>
            <w:tcW w:w="72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Проценат (%) (у поређењу са ЕСД референтном потрошњом од 8,411 Mtoe)</w:t>
            </w:r>
          </w:p>
        </w:tc>
        <w:tc>
          <w:tcPr>
            <w:tcW w:w="2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w:t>
            </w:r>
          </w:p>
        </w:tc>
        <w:tc>
          <w:tcPr>
            <w:tcW w:w="47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7,91%</w:t>
            </w:r>
          </w:p>
        </w:tc>
      </w:tr>
    </w:tbl>
    <w:p>
      <w:pPr>
        <w:spacing w:after="150"/>
        <w:ind w:left="0"/>
        <w:jc w:val="left"/>
      </w:pPr>
      <w:r>
        <w:rPr>
          <w:rFonts w:ascii="Verdana"/>
          <w:b w:val="false"/>
          <w:i w:val="false"/>
          <w:color w:val="000000"/>
          <w:sz w:val="22"/>
        </w:rPr>
        <w:t>Као што се може приметити из Табеле 1, у односу на циљеве постављене у 3. АПЕЕ, Сектор саобраћаја је показао најбоље резултате у реализацији уштеда финалне енергије, а затим га по реализацији циља прате Сектор домаћинства, јавно комерцијални и индустрија. Ту чињеницу објашњавамо и тиме што су приликом процене резултата, у овом АПЕЕ, најпотпунији подаци прикупљени и анализирани за Саобраћаја.</w:t>
      </w:r>
    </w:p>
    <w:p>
      <w:pPr>
        <w:spacing w:after="150"/>
        <w:ind w:left="0"/>
        <w:jc w:val="left"/>
      </w:pPr>
      <w:r>
        <w:rPr>
          <w:rFonts w:ascii="Verdana"/>
          <w:b w:val="false"/>
          <w:i w:val="false"/>
          <w:color w:val="000000"/>
          <w:sz w:val="22"/>
        </w:rPr>
        <w:t>Процене Министарства су да су уштеде и веће од приказаних у овој табели, али и даље Министарство нема у пуној мери податке о активностима које се тичу енергетске ефикасности на страни домаћинстава, Јавно комерцијалног сектора и Сектора индустрије. Проблем прикупљања, обраде и верификације података, који је пратио сва три претходна акциона плана још увек није у потпуности превазиђен. Достављање података о пројектима и мерама ЕЕ, у Јавном сектору, се и даље одвијало путем ОПГ образаца, електронском поштом, а запослени у МРЕ би уносили и обрађивали те податке. Нови Законом о енергетској ефикасности и рационалној употреби енергије предвиђа механизам аутоматизације праћења уштеда кроз MVP информациони систем, где корисници, нарочито из Јавног сектора, имају обавезу уношења података о спроведеним мерама и оствареним уштедама енергије, док МРЕ управља информационим системом. Такође су уведене казнене одредбе за одговорна лица у Јавном сектору која не достављају податке, а унапређени су и механизми надзора над спровођењем закона.</w:t>
      </w:r>
    </w:p>
    <w:p>
      <w:pPr>
        <w:spacing w:after="150"/>
        <w:ind w:left="0"/>
        <w:jc w:val="left"/>
      </w:pPr>
      <w:r>
        <w:rPr>
          <w:rFonts w:ascii="Verdana"/>
          <w:b w:val="false"/>
          <w:i w:val="false"/>
          <w:color w:val="000000"/>
          <w:sz w:val="22"/>
        </w:rPr>
        <w:t>Податке потребне за прорачун уштеда енергије, који се односе на Сектор домаћинства, Републички завод за статистику још увек не прати на начин да се могу искористити директно као улаз за ОПД методологију; док се у Сектору индустрије тек очекује унапређење извештавања кроз даљу имплементацију Система енергетског менаџмента.</w:t>
      </w:r>
    </w:p>
    <w:p>
      <w:pPr>
        <w:spacing w:after="150"/>
        <w:ind w:left="0"/>
        <w:jc w:val="left"/>
      </w:pPr>
      <w:r>
        <w:rPr>
          <w:rFonts w:ascii="Verdana"/>
          <w:b w:val="false"/>
          <w:i w:val="false"/>
          <w:color w:val="000000"/>
          <w:sz w:val="22"/>
        </w:rPr>
        <w:t>Најпотпуније податке МРЕ је добило у оквиру сектора саобраћаја, кроз развијену сарадњу са другим институцијама система.</w:t>
      </w:r>
    </w:p>
    <w:p>
      <w:pPr>
        <w:spacing w:after="150"/>
        <w:ind w:left="0"/>
        <w:jc w:val="left"/>
      </w:pPr>
      <w:r>
        <w:rPr>
          <w:rFonts w:ascii="Verdana"/>
          <w:b w:val="false"/>
          <w:i w:val="false"/>
          <w:color w:val="000000"/>
          <w:sz w:val="22"/>
        </w:rPr>
        <w:t>У извештавању о уштедама енергије, у овом документу, за процењене уштеда је коришћена методологија ОПГ, док су за Систем енергетског менаџмента коришћене разлике у измереној вредности потрошње примарне енергије.</w:t>
      </w:r>
    </w:p>
    <w:p>
      <w:pPr>
        <w:spacing w:after="120"/>
        <w:ind w:left="0"/>
        <w:jc w:val="center"/>
      </w:pPr>
      <w:r>
        <w:rPr>
          <w:rFonts w:ascii="Verdana"/>
          <w:b/>
          <w:i w:val="false"/>
          <w:color w:val="000000"/>
          <w:sz w:val="22"/>
        </w:rPr>
        <w:t>2.1. Преглед уштеда финалне енергије</w:t>
      </w:r>
    </w:p>
    <w:p>
      <w:pPr>
        <w:spacing w:after="120"/>
        <w:ind w:left="0"/>
        <w:jc w:val="center"/>
      </w:pPr>
      <w:r>
        <w:rPr>
          <w:rFonts w:ascii="Verdana"/>
          <w:b w:val="false"/>
          <w:i/>
          <w:color w:val="000000"/>
          <w:sz w:val="22"/>
        </w:rPr>
        <w:t>2.1.1. Сектор домаћинства</w:t>
      </w:r>
    </w:p>
    <w:p>
      <w:pPr>
        <w:spacing w:after="150"/>
        <w:ind w:left="0"/>
        <w:jc w:val="left"/>
      </w:pPr>
      <w:r>
        <w:rPr>
          <w:rFonts w:ascii="Verdana"/>
          <w:b w:val="false"/>
          <w:i w:val="false"/>
          <w:color w:val="000000"/>
          <w:sz w:val="22"/>
        </w:rPr>
        <w:t>Приликом одређивања уштеда финалне енергије у Сектору домаћинства, за оцену резултата предложених мера датих у 3. АПЕЕ, коришћени су следећи извори:</w:t>
      </w:r>
    </w:p>
    <w:p>
      <w:pPr>
        <w:spacing w:after="150"/>
        <w:ind w:left="0"/>
        <w:jc w:val="left"/>
      </w:pPr>
      <w:r>
        <w:rPr>
          <w:rFonts w:ascii="Verdana"/>
          <w:b w:val="false"/>
          <w:i w:val="false"/>
          <w:color w:val="000000"/>
          <w:sz w:val="22"/>
        </w:rPr>
        <w:t>а) подаци од Међународних финансијских институција које су пласирале кредите преко банака;</w:t>
      </w:r>
    </w:p>
    <w:p>
      <w:pPr>
        <w:spacing w:after="150"/>
        <w:ind w:left="0"/>
        <w:jc w:val="left"/>
      </w:pPr>
      <w:r>
        <w:rPr>
          <w:rFonts w:ascii="Verdana"/>
          <w:b w:val="false"/>
          <w:i w:val="false"/>
          <w:color w:val="000000"/>
          <w:sz w:val="22"/>
        </w:rPr>
        <w:t>б) од Републичког завода за статистику подаци о броју новоизграђених и дограђених стамбених објеката, из Табеле је коришћена расподела зграда по типу и години изградње, подаци о потрошњи зграда преузети са http://webtool.building-typology.eu, инжењерске процене о ефикасности термотехничких система од 70%, и коришћена је вредност максималне дозвољене годишње потребне финалне енергије за грејање прописане Правилником о условима, садржини и начину издавања сертификата о енергетском својствима зграда („Службени гласник РС”, бр. 69/12 и 44/18 – др. пропис);</w:t>
      </w:r>
    </w:p>
    <w:p>
      <w:pPr>
        <w:spacing w:after="150"/>
        <w:ind w:left="0"/>
        <w:jc w:val="left"/>
      </w:pPr>
      <w:r>
        <w:rPr>
          <w:rFonts w:ascii="Verdana"/>
          <w:b w:val="false"/>
          <w:i w:val="false"/>
          <w:color w:val="000000"/>
          <w:sz w:val="22"/>
        </w:rPr>
        <w:t>в) од више различитих овлашћених увозника добијени су подаци о броју продатих уређаја који утичу на потрошњу енергије и класи енергетске ефикасности и процењеној потрошњи тих уређаја.</w:t>
      </w:r>
    </w:p>
    <w:p>
      <w:pPr>
        <w:spacing w:after="150"/>
        <w:ind w:left="0"/>
        <w:jc w:val="left"/>
      </w:pPr>
      <w:r>
        <w:rPr>
          <w:rFonts w:ascii="Verdana"/>
          <w:b w:val="false"/>
          <w:i w:val="false"/>
          <w:color w:val="000000"/>
          <w:sz w:val="22"/>
        </w:rPr>
        <w:t>Табела 2. Преглед мера у Домаћинствима са проценом њихове имплементације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034"/>
        <w:gridCol w:w="4676"/>
        <w:gridCol w:w="4013"/>
        <w:gridCol w:w="4677"/>
      </w:tblGrid>
      <w:tr>
        <w:trPr>
          <w:trHeight w:val="45" w:hRule="atLeast"/>
        </w:trPr>
        <w:tc>
          <w:tcPr>
            <w:tcW w:w="10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46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40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Планиране уштеде за 3. АПЕЕ</w:t>
            </w:r>
          </w:p>
        </w:tc>
        <w:tc>
          <w:tcPr>
            <w:tcW w:w="4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2018. години</w:t>
            </w:r>
          </w:p>
        </w:tc>
      </w:tr>
      <w:tr>
        <w:trPr>
          <w:trHeight w:val="45" w:hRule="atLeast"/>
        </w:trPr>
        <w:tc>
          <w:tcPr>
            <w:tcW w:w="1034" w:type="dxa"/>
            <w:tcBorders>
              <w:top w:val="single" w:color="000000" w:sz="8"/>
              <w:left w:val="single" w:color="000000" w:sz="8"/>
              <w:bottom w:val="single" w:color="000000" w:sz="8"/>
              <w:right w:val="single" w:color="000000" w:sz="8"/>
            </w:tcBorders>
            <w:vAlign w:val="center"/>
          </w:tcPr>
          <w:p/>
        </w:tc>
        <w:tc>
          <w:tcPr>
            <w:tcW w:w="4676" w:type="dxa"/>
            <w:tcBorders>
              <w:top w:val="single" w:color="000000" w:sz="8"/>
              <w:left w:val="single" w:color="000000" w:sz="8"/>
              <w:bottom w:val="single" w:color="000000" w:sz="8"/>
              <w:right w:val="single" w:color="000000" w:sz="8"/>
            </w:tcBorders>
            <w:vAlign w:val="center"/>
          </w:tcPr>
          <w:p/>
        </w:tc>
        <w:tc>
          <w:tcPr>
            <w:tcW w:w="40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c>
          <w:tcPr>
            <w:tcW w:w="4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r>
      <w:tr>
        <w:trPr>
          <w:trHeight w:val="45" w:hRule="atLeast"/>
        </w:trPr>
        <w:tc>
          <w:tcPr>
            <w:tcW w:w="10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Д1</w:t>
            </w:r>
          </w:p>
        </w:tc>
        <w:tc>
          <w:tcPr>
            <w:tcW w:w="46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Мере енергетске ефикасности у стамбеним зградама</w:t>
            </w:r>
          </w:p>
        </w:tc>
        <w:tc>
          <w:tcPr>
            <w:tcW w:w="40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0,0586</w:t>
            </w:r>
          </w:p>
        </w:tc>
        <w:tc>
          <w:tcPr>
            <w:tcW w:w="4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0,0242</w:t>
            </w:r>
          </w:p>
        </w:tc>
      </w:tr>
      <w:tr>
        <w:trPr>
          <w:trHeight w:val="45" w:hRule="atLeast"/>
        </w:trPr>
        <w:tc>
          <w:tcPr>
            <w:tcW w:w="10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Д2</w:t>
            </w:r>
          </w:p>
        </w:tc>
        <w:tc>
          <w:tcPr>
            <w:tcW w:w="46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грађевинска регулатива и сертификати о енергетским својствима зграда – Сектор домаћинства</w:t>
            </w:r>
          </w:p>
        </w:tc>
        <w:tc>
          <w:tcPr>
            <w:tcW w:w="40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0,1021</w:t>
            </w:r>
          </w:p>
        </w:tc>
        <w:tc>
          <w:tcPr>
            <w:tcW w:w="4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0,1405</w:t>
            </w:r>
          </w:p>
        </w:tc>
      </w:tr>
      <w:tr>
        <w:trPr>
          <w:trHeight w:val="45" w:hRule="atLeast"/>
        </w:trPr>
        <w:tc>
          <w:tcPr>
            <w:tcW w:w="10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Д3</w:t>
            </w:r>
          </w:p>
        </w:tc>
        <w:tc>
          <w:tcPr>
            <w:tcW w:w="46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Промовисање употребе енергетски ефикасних уређаја у домаћинству</w:t>
            </w:r>
          </w:p>
        </w:tc>
        <w:tc>
          <w:tcPr>
            <w:tcW w:w="40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0,1169</w:t>
            </w:r>
          </w:p>
        </w:tc>
        <w:tc>
          <w:tcPr>
            <w:tcW w:w="4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0,0840</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Домаћинства сумарно</w:t>
            </w:r>
          </w:p>
        </w:tc>
        <w:tc>
          <w:tcPr>
            <w:tcW w:w="40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0,2776</w:t>
            </w:r>
          </w:p>
        </w:tc>
        <w:tc>
          <w:tcPr>
            <w:tcW w:w="4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0,2487</w:t>
            </w:r>
          </w:p>
        </w:tc>
      </w:tr>
    </w:tbl>
    <w:p>
      <w:pPr>
        <w:spacing w:after="150"/>
        <w:ind w:left="0"/>
        <w:jc w:val="left"/>
      </w:pPr>
      <w:r>
        <w:rPr>
          <w:rFonts w:ascii="Verdana"/>
          <w:b w:val="false"/>
          <w:i w:val="false"/>
          <w:color w:val="000000"/>
          <w:sz w:val="22"/>
        </w:rPr>
        <w:t>– Мера Д1 се односила на финансијске подстицаје МФИ које су допринеле уштедама енергије кроз реконструкцију и рехабилитацију стамбених зграда.</w:t>
      </w:r>
    </w:p>
    <w:p>
      <w:pPr>
        <w:spacing w:after="150"/>
        <w:ind w:left="0"/>
        <w:jc w:val="left"/>
      </w:pPr>
      <w:r>
        <w:rPr>
          <w:rFonts w:ascii="Verdana"/>
          <w:b w:val="false"/>
          <w:i w:val="false"/>
          <w:color w:val="000000"/>
          <w:sz w:val="22"/>
        </w:rPr>
        <w:t>– Најзначајније уштеде су остварене на основу мере Д2 – Нове грађевинске регулативе, а приметан је значајан тренд раста броја новоизграђених стамбених објеката, који је у периоду претходног АПЕЕ износио око 1.000.000 m</w:t>
      </w:r>
      <w:r>
        <w:rPr>
          <w:rFonts w:ascii="Verdana"/>
          <w:b w:val="false"/>
          <w:i w:val="false"/>
          <w:color w:val="000000"/>
          <w:sz w:val="22"/>
          <w:vertAlign w:val="superscript"/>
        </w:rPr>
        <w:t>2</w:t>
      </w:r>
      <w:r>
        <w:rPr>
          <w:rFonts w:ascii="Verdana"/>
          <w:b w:val="false"/>
          <w:i w:val="false"/>
          <w:color w:val="000000"/>
          <w:sz w:val="22"/>
        </w:rPr>
        <w:t xml:space="preserve"> годишње, док се у последње три године креће од 1.500.000 до 2.200.000 m</w:t>
      </w:r>
      <w:r>
        <w:rPr>
          <w:rFonts w:ascii="Verdana"/>
          <w:b w:val="false"/>
          <w:i w:val="false"/>
          <w:color w:val="000000"/>
          <w:sz w:val="22"/>
          <w:vertAlign w:val="superscript"/>
        </w:rPr>
        <w:t>2</w:t>
      </w:r>
      <w:r>
        <w:rPr>
          <w:rFonts w:ascii="Verdana"/>
          <w:b w:val="false"/>
          <w:i w:val="false"/>
          <w:color w:val="000000"/>
          <w:sz w:val="22"/>
        </w:rPr>
        <w:t>.</w:t>
      </w:r>
    </w:p>
    <w:p>
      <w:pPr>
        <w:spacing w:after="150"/>
        <w:ind w:left="0"/>
        <w:jc w:val="left"/>
      </w:pPr>
      <w:r>
        <w:rPr>
          <w:rFonts w:ascii="Verdana"/>
          <w:b w:val="false"/>
          <w:i w:val="false"/>
          <w:color w:val="000000"/>
          <w:sz w:val="22"/>
        </w:rPr>
        <w:t>– Затим их следе уштеде остварене на основу мере Д3 – Промовисања употребе енергетски ефикасних уређаја у домаћинству, где се мером означавања производа који утичу на потрошњу енергије значајно утиче на раст употребе ефикаснијих производа. Иначе, подаци о уштедама по овој мери су прикупљени у мини истраживању, на основу података добијених од овлашћених представништава произвођача, које је спровело Министарство.</w:t>
      </w:r>
    </w:p>
    <w:p>
      <w:pPr>
        <w:spacing w:after="150"/>
        <w:ind w:left="0"/>
        <w:jc w:val="left"/>
      </w:pPr>
      <w:r>
        <w:rPr>
          <w:rFonts w:ascii="Verdana"/>
          <w:b w:val="false"/>
          <w:i w:val="false"/>
          <w:color w:val="000000"/>
          <w:sz w:val="22"/>
        </w:rPr>
        <w:t>Процене уштеда у овом сектору урађене су у сарадњи са консултантима GIZ-ORFa (Пројекат MVP Plus).</w:t>
      </w:r>
    </w:p>
    <w:p>
      <w:pPr>
        <w:spacing w:after="120"/>
        <w:ind w:left="0"/>
        <w:jc w:val="center"/>
      </w:pPr>
      <w:r>
        <w:rPr>
          <w:rFonts w:ascii="Verdana"/>
          <w:b w:val="false"/>
          <w:i/>
          <w:color w:val="000000"/>
          <w:sz w:val="22"/>
        </w:rPr>
        <w:t>2.1.2. Јавно-комерцијални сектор</w:t>
      </w:r>
    </w:p>
    <w:p>
      <w:pPr>
        <w:spacing w:after="150"/>
        <w:ind w:left="0"/>
        <w:jc w:val="left"/>
      </w:pPr>
      <w:r>
        <w:rPr>
          <w:rFonts w:ascii="Verdana"/>
          <w:b w:val="false"/>
          <w:i w:val="false"/>
          <w:color w:val="000000"/>
          <w:sz w:val="22"/>
        </w:rPr>
        <w:t>Табела 3. Преглед мера у Јавно-комерцијалном сектору са проценом њихове имплементације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96"/>
        <w:gridCol w:w="6912"/>
        <w:gridCol w:w="3091"/>
        <w:gridCol w:w="3601"/>
      </w:tblGrid>
      <w:tr>
        <w:trPr>
          <w:trHeight w:val="45" w:hRule="atLeast"/>
        </w:trPr>
        <w:tc>
          <w:tcPr>
            <w:tcW w:w="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69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3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Планиране уштеде за 3. АПЕЕ</w:t>
            </w:r>
          </w:p>
        </w:tc>
        <w:tc>
          <w:tcPr>
            <w:tcW w:w="36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2018. години</w:t>
            </w:r>
          </w:p>
        </w:tc>
      </w:tr>
      <w:tr>
        <w:trPr>
          <w:trHeight w:val="45" w:hRule="atLeast"/>
        </w:trPr>
        <w:tc>
          <w:tcPr>
            <w:tcW w:w="796" w:type="dxa"/>
            <w:tcBorders>
              <w:top w:val="single" w:color="000000" w:sz="8"/>
              <w:left w:val="single" w:color="000000" w:sz="8"/>
              <w:bottom w:val="single" w:color="000000" w:sz="8"/>
              <w:right w:val="single" w:color="000000" w:sz="8"/>
            </w:tcBorders>
            <w:vAlign w:val="center"/>
          </w:tcPr>
          <w:p/>
        </w:tc>
        <w:tc>
          <w:tcPr>
            <w:tcW w:w="6912" w:type="dxa"/>
            <w:tcBorders>
              <w:top w:val="single" w:color="000000" w:sz="8"/>
              <w:left w:val="single" w:color="000000" w:sz="8"/>
              <w:bottom w:val="single" w:color="000000" w:sz="8"/>
              <w:right w:val="single" w:color="000000" w:sz="8"/>
            </w:tcBorders>
            <w:vAlign w:val="center"/>
          </w:tcPr>
          <w:p/>
        </w:tc>
        <w:tc>
          <w:tcPr>
            <w:tcW w:w="3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c>
          <w:tcPr>
            <w:tcW w:w="36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r>
      <w:tr>
        <w:trPr>
          <w:trHeight w:val="45" w:hRule="atLeast"/>
        </w:trPr>
        <w:tc>
          <w:tcPr>
            <w:tcW w:w="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ЈК1</w:t>
            </w:r>
          </w:p>
        </w:tc>
        <w:tc>
          <w:tcPr>
            <w:tcW w:w="69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зграда у јавном и комерцијалном сектору</w:t>
            </w:r>
          </w:p>
        </w:tc>
        <w:tc>
          <w:tcPr>
            <w:tcW w:w="3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0,0474</w:t>
            </w:r>
          </w:p>
        </w:tc>
        <w:tc>
          <w:tcPr>
            <w:tcW w:w="36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0,0087</w:t>
            </w:r>
          </w:p>
        </w:tc>
      </w:tr>
      <w:tr>
        <w:trPr>
          <w:trHeight w:val="45" w:hRule="atLeast"/>
        </w:trPr>
        <w:tc>
          <w:tcPr>
            <w:tcW w:w="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ЈК2</w:t>
            </w:r>
          </w:p>
        </w:tc>
        <w:tc>
          <w:tcPr>
            <w:tcW w:w="69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грађевинска регулатива и сертификати о енергетским својствима зграда</w:t>
            </w:r>
          </w:p>
        </w:tc>
        <w:tc>
          <w:tcPr>
            <w:tcW w:w="3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0,0819</w:t>
            </w:r>
          </w:p>
        </w:tc>
        <w:tc>
          <w:tcPr>
            <w:tcW w:w="36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0,0807</w:t>
            </w:r>
          </w:p>
        </w:tc>
      </w:tr>
      <w:tr>
        <w:trPr>
          <w:trHeight w:val="45" w:hRule="atLeast"/>
        </w:trPr>
        <w:tc>
          <w:tcPr>
            <w:tcW w:w="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ЈК3</w:t>
            </w:r>
          </w:p>
        </w:tc>
        <w:tc>
          <w:tcPr>
            <w:tcW w:w="69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Модернизација система јавног осветљења у ЈЛС</w:t>
            </w:r>
          </w:p>
        </w:tc>
        <w:tc>
          <w:tcPr>
            <w:tcW w:w="3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0,0089</w:t>
            </w:r>
          </w:p>
        </w:tc>
        <w:tc>
          <w:tcPr>
            <w:tcW w:w="36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0,0057</w:t>
            </w:r>
          </w:p>
        </w:tc>
      </w:tr>
      <w:tr>
        <w:trPr>
          <w:trHeight w:val="45" w:hRule="atLeast"/>
        </w:trPr>
        <w:tc>
          <w:tcPr>
            <w:tcW w:w="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ЈК4</w:t>
            </w:r>
          </w:p>
        </w:tc>
        <w:tc>
          <w:tcPr>
            <w:tcW w:w="69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енергетског менаџмента (СЕМ) у јавни и комерцијални сектор</w:t>
            </w:r>
          </w:p>
        </w:tc>
        <w:tc>
          <w:tcPr>
            <w:tcW w:w="3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0,0130</w:t>
            </w:r>
          </w:p>
        </w:tc>
        <w:tc>
          <w:tcPr>
            <w:tcW w:w="36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0,0016</w:t>
            </w:r>
          </w:p>
        </w:tc>
      </w:tr>
      <w:tr>
        <w:trPr>
          <w:trHeight w:val="45" w:hRule="atLeast"/>
        </w:trPr>
        <w:tc>
          <w:tcPr>
            <w:tcW w:w="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ЈК5</w:t>
            </w:r>
          </w:p>
        </w:tc>
        <w:tc>
          <w:tcPr>
            <w:tcW w:w="69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Минимални критеријуми у погледу енергетске ефикасности у поступку јавне набавке добара</w:t>
            </w:r>
          </w:p>
        </w:tc>
        <w:tc>
          <w:tcPr>
            <w:tcW w:w="3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36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ЈК6</w:t>
            </w:r>
          </w:p>
        </w:tc>
        <w:tc>
          <w:tcPr>
            <w:tcW w:w="69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Подстицајне мере за високо ефикасна постројења за комбиновану производњу топлотне и електричне енергије на природни гас (CHP)</w:t>
            </w:r>
          </w:p>
        </w:tc>
        <w:tc>
          <w:tcPr>
            <w:tcW w:w="3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36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ЈК7</w:t>
            </w:r>
          </w:p>
        </w:tc>
        <w:tc>
          <w:tcPr>
            <w:tcW w:w="69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система за грејање и система за климатизацију зграда и примена алтернативних мера</w:t>
            </w:r>
          </w:p>
        </w:tc>
        <w:tc>
          <w:tcPr>
            <w:tcW w:w="3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0,0070</w:t>
            </w:r>
          </w:p>
        </w:tc>
        <w:tc>
          <w:tcPr>
            <w:tcW w:w="36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Јавно-комерцијални сумарно</w:t>
            </w:r>
          </w:p>
        </w:tc>
        <w:tc>
          <w:tcPr>
            <w:tcW w:w="30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0,1581</w:t>
            </w:r>
          </w:p>
        </w:tc>
        <w:tc>
          <w:tcPr>
            <w:tcW w:w="36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0,0967</w:t>
            </w:r>
          </w:p>
        </w:tc>
      </w:tr>
    </w:tbl>
    <w:p>
      <w:pPr>
        <w:spacing w:after="150"/>
        <w:ind w:left="0"/>
        <w:jc w:val="left"/>
      </w:pPr>
      <w:r>
        <w:rPr>
          <w:rFonts w:ascii="Verdana"/>
          <w:b w:val="false"/>
          <w:i w:val="false"/>
          <w:color w:val="000000"/>
          <w:sz w:val="22"/>
        </w:rPr>
        <w:t>Приликом одређивања уштеда финалне енергије у Јавно-комерцијалном сектору, за оцену резултата предложених мера датих у 3. АПЕЕ, коришћени су следећи извори:</w:t>
      </w:r>
    </w:p>
    <w:p>
      <w:pPr>
        <w:spacing w:after="150"/>
        <w:ind w:left="0"/>
        <w:jc w:val="left"/>
      </w:pPr>
      <w:r>
        <w:rPr>
          <w:rFonts w:ascii="Verdana"/>
          <w:b w:val="false"/>
          <w:i w:val="false"/>
          <w:color w:val="000000"/>
          <w:sz w:val="22"/>
        </w:rPr>
        <w:t>а) подаци од Међународних финансијских институција које су пласирале кредите преко банака.</w:t>
      </w:r>
    </w:p>
    <w:p>
      <w:pPr>
        <w:spacing w:after="150"/>
        <w:ind w:left="0"/>
        <w:jc w:val="left"/>
      </w:pPr>
      <w:r>
        <w:rPr>
          <w:rFonts w:ascii="Verdana"/>
          <w:b w:val="false"/>
          <w:i w:val="false"/>
          <w:color w:val="000000"/>
          <w:sz w:val="22"/>
        </w:rPr>
        <w:t>б) од Републичког завода за статистику подаци о броју новоизграђених и дограђених јавно комерцијалних објеката, из СЕИ базе процењених вредности потрошње у јавно комерцијалним објектима различите врсте, Правилника о условима, садржини и начину издавања сертификата о енергетском својствима зграда и инжењерске процене о ефикасности термотехничких система од 70%.</w:t>
      </w:r>
    </w:p>
    <w:p>
      <w:pPr>
        <w:spacing w:after="150"/>
        <w:ind w:left="0"/>
        <w:jc w:val="left"/>
      </w:pPr>
      <w:r>
        <w:rPr>
          <w:rFonts w:ascii="Verdana"/>
          <w:b w:val="false"/>
          <w:i w:val="false"/>
          <w:color w:val="000000"/>
          <w:sz w:val="22"/>
        </w:rPr>
        <w:t>в) подаци о унетим пројектима у ОПГ базу пројеката.</w:t>
      </w:r>
    </w:p>
    <w:p>
      <w:pPr>
        <w:spacing w:after="150"/>
        <w:ind w:left="0"/>
        <w:jc w:val="left"/>
      </w:pPr>
      <w:r>
        <w:rPr>
          <w:rFonts w:ascii="Verdana"/>
          <w:b w:val="false"/>
          <w:i w:val="false"/>
          <w:color w:val="000000"/>
          <w:sz w:val="22"/>
        </w:rPr>
        <w:t>Прикупљени подаци су обрађени применом ОПГ методологије, осим у случају Система енергетског менаџмента, где су коришћене нормализоване разлике у потрошњи енергије у две године примене СЕМ.</w:t>
      </w:r>
    </w:p>
    <w:p>
      <w:pPr>
        <w:spacing w:after="150"/>
        <w:ind w:left="0"/>
        <w:jc w:val="left"/>
      </w:pPr>
      <w:r>
        <w:rPr>
          <w:rFonts w:ascii="Verdana"/>
          <w:b w:val="false"/>
          <w:i w:val="false"/>
          <w:color w:val="000000"/>
          <w:sz w:val="22"/>
        </w:rPr>
        <w:t>– Мера ЈК1 односи си се на домаће и међународне финансијске подстицаје за реконструкцију и рехабилитацију зграда и термотехничких система, и уштеде по овој мери прикупљене су од ЈЛС путем ОПГ образаца.</w:t>
      </w:r>
    </w:p>
    <w:p>
      <w:pPr>
        <w:spacing w:after="150"/>
        <w:ind w:left="0"/>
        <w:jc w:val="left"/>
      </w:pPr>
      <w:r>
        <w:rPr>
          <w:rFonts w:ascii="Verdana"/>
          <w:b w:val="false"/>
          <w:i w:val="false"/>
          <w:color w:val="000000"/>
          <w:sz w:val="22"/>
        </w:rPr>
        <w:t>– У ЈК сектору најзначајније уштеде су остварене на основу мере ЈК2 Нове грађевинске регулативе, а приметан је као и код домаћинстава тренд раста броја новоизграђених објеката. Процењене уштеде у овом сектору су ревидиране у односу на 3. АПЕЕ, због тога што су резултати истраживања (спроведеног на пројекту ИПА 12) о потрошњи финалне енергије у зградама ЈК сектора дали значајно ниже вредности потрошње енергије у односу на теоријске вредности потрошње енергије који су коришћени приликом прорачуна у оквиру претходних акционих планова. Због недостатка података потребних за процену уштеда код свих реконструисаних зграда из овог сектора приликом прорачуна уштеда узети су само подаци из ОПГ образаца, и уштеда је дата у оквиру мере ЈК1.</w:t>
      </w:r>
    </w:p>
    <w:p>
      <w:pPr>
        <w:spacing w:after="150"/>
        <w:ind w:left="0"/>
        <w:jc w:val="left"/>
      </w:pPr>
      <w:r>
        <w:rPr>
          <w:rFonts w:ascii="Verdana"/>
          <w:b w:val="false"/>
          <w:i w:val="false"/>
          <w:color w:val="000000"/>
          <w:sz w:val="22"/>
        </w:rPr>
        <w:t>– Мера ЈК3 односи се на модернизацију енергетске ефикасности јавне расвете. У будућем периоду на јавну расвету значајно ће утицати увођење еко-дизајн производа.</w:t>
      </w:r>
    </w:p>
    <w:p>
      <w:pPr>
        <w:spacing w:after="150"/>
        <w:ind w:left="0"/>
        <w:jc w:val="left"/>
      </w:pPr>
      <w:r>
        <w:rPr>
          <w:rFonts w:ascii="Verdana"/>
          <w:b w:val="false"/>
          <w:i w:val="false"/>
          <w:color w:val="000000"/>
          <w:sz w:val="22"/>
        </w:rPr>
        <w:t>– Мере ЈК4, ЈК5, ЈК6 и ЈК7 обрађене су у оквиру поглавља 3.</w:t>
      </w:r>
    </w:p>
    <w:p>
      <w:pPr>
        <w:spacing w:after="150"/>
        <w:ind w:left="0"/>
        <w:jc w:val="left"/>
      </w:pPr>
      <w:r>
        <w:rPr>
          <w:rFonts w:ascii="Verdana"/>
          <w:b w:val="false"/>
          <w:i w:val="false"/>
          <w:color w:val="000000"/>
          <w:sz w:val="22"/>
        </w:rPr>
        <w:t>У овом сектору и даље постоји проблем прикупљања података по ОПГ обрасцима, на који је већ указивано, због тога што се у недовољној мери приказује стање на терену и које се активности спроводе а нарочито на нивоу ЈЛС. Министарство ће наставити да унапређује систем извештавања о пројектима и мерама ЕЕ, посебно због обавезе коју ће имати у наступајућем периоду да надзире и верификује уштеда према члану 7. ЕЕД.</w:t>
      </w:r>
    </w:p>
    <w:p>
      <w:pPr>
        <w:spacing w:after="150"/>
        <w:ind w:left="0"/>
        <w:jc w:val="left"/>
      </w:pPr>
      <w:r>
        <w:rPr>
          <w:rFonts w:ascii="Verdana"/>
          <w:b w:val="false"/>
          <w:i w:val="false"/>
          <w:color w:val="000000"/>
          <w:sz w:val="22"/>
        </w:rPr>
        <w:t>Процене уштеда енергије у овом сектору урађене су у сарадњи са консултантима са GIZ-ORF.</w:t>
      </w:r>
    </w:p>
    <w:p>
      <w:pPr>
        <w:spacing w:after="120"/>
        <w:ind w:left="0"/>
        <w:jc w:val="center"/>
      </w:pPr>
      <w:r>
        <w:rPr>
          <w:rFonts w:ascii="Verdana"/>
          <w:b w:val="false"/>
          <w:i/>
          <w:color w:val="000000"/>
          <w:sz w:val="22"/>
        </w:rPr>
        <w:t>2.1.3. Сектор саобраћаја</w:t>
      </w:r>
    </w:p>
    <w:p>
      <w:pPr>
        <w:spacing w:after="150"/>
        <w:ind w:left="0"/>
        <w:jc w:val="left"/>
      </w:pPr>
      <w:r>
        <w:rPr>
          <w:rFonts w:ascii="Verdana"/>
          <w:b w:val="false"/>
          <w:i w:val="false"/>
          <w:color w:val="000000"/>
          <w:sz w:val="22"/>
        </w:rPr>
        <w:t>Табела 4. Преглед мера у Сектору саобраћаја са проценом њихове имплементације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076"/>
        <w:gridCol w:w="7807"/>
        <w:gridCol w:w="2548"/>
        <w:gridCol w:w="2969"/>
      </w:tblGrid>
      <w:tr>
        <w:trPr>
          <w:trHeight w:val="45" w:hRule="atLeast"/>
        </w:trPr>
        <w:tc>
          <w:tcPr>
            <w:tcW w:w="1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78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25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Планиране уштеде за 3. АПЕЕ</w:t>
            </w:r>
          </w:p>
        </w:tc>
        <w:tc>
          <w:tcPr>
            <w:tcW w:w="29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2018. години</w:t>
            </w:r>
          </w:p>
        </w:tc>
      </w:tr>
      <w:tr>
        <w:trPr>
          <w:trHeight w:val="45" w:hRule="atLeast"/>
        </w:trPr>
        <w:tc>
          <w:tcPr>
            <w:tcW w:w="1076" w:type="dxa"/>
            <w:tcBorders>
              <w:top w:val="single" w:color="000000" w:sz="8"/>
              <w:left w:val="single" w:color="000000" w:sz="8"/>
              <w:bottom w:val="single" w:color="000000" w:sz="8"/>
              <w:right w:val="single" w:color="000000" w:sz="8"/>
            </w:tcBorders>
            <w:vAlign w:val="center"/>
          </w:tcPr>
          <w:p/>
        </w:tc>
        <w:tc>
          <w:tcPr>
            <w:tcW w:w="7807" w:type="dxa"/>
            <w:tcBorders>
              <w:top w:val="single" w:color="000000" w:sz="8"/>
              <w:left w:val="single" w:color="000000" w:sz="8"/>
              <w:bottom w:val="single" w:color="000000" w:sz="8"/>
              <w:right w:val="single" w:color="000000" w:sz="8"/>
            </w:tcBorders>
            <w:vAlign w:val="center"/>
          </w:tcPr>
          <w:p/>
        </w:tc>
        <w:tc>
          <w:tcPr>
            <w:tcW w:w="25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c>
          <w:tcPr>
            <w:tcW w:w="29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r>
      <w:tr>
        <w:trPr>
          <w:trHeight w:val="45" w:hRule="atLeast"/>
        </w:trPr>
        <w:tc>
          <w:tcPr>
            <w:tcW w:w="1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w:t>
            </w:r>
          </w:p>
        </w:tc>
        <w:tc>
          <w:tcPr>
            <w:tcW w:w="78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Имплементација EC 443/2009 о смањењу емисије CO</w:t>
            </w:r>
            <w:r>
              <w:rPr>
                <w:rFonts w:ascii="Verdana"/>
                <w:b w:val="false"/>
                <w:i w:val="false"/>
                <w:color w:val="000000"/>
                <w:sz w:val="22"/>
                <w:vertAlign w:val="subscript"/>
              </w:rPr>
              <w:t>2</w:t>
            </w:r>
            <w:r>
              <w:rPr>
                <w:rFonts w:ascii="Verdana"/>
                <w:b w:val="false"/>
                <w:i w:val="false"/>
                <w:color w:val="000000"/>
                <w:sz w:val="22"/>
              </w:rPr>
              <w:t xml:space="preserve"> нових путничких возила</w:t>
            </w:r>
          </w:p>
        </w:tc>
        <w:tc>
          <w:tcPr>
            <w:tcW w:w="25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0,0599</w:t>
            </w:r>
          </w:p>
        </w:tc>
        <w:tc>
          <w:tcPr>
            <w:tcW w:w="29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0,1447</w:t>
            </w:r>
          </w:p>
        </w:tc>
      </w:tr>
      <w:tr>
        <w:trPr>
          <w:trHeight w:val="45" w:hRule="atLeast"/>
        </w:trPr>
        <w:tc>
          <w:tcPr>
            <w:tcW w:w="1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Т2</w:t>
            </w:r>
          </w:p>
        </w:tc>
        <w:tc>
          <w:tcPr>
            <w:tcW w:w="78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Еко-вожња</w:t>
            </w:r>
          </w:p>
        </w:tc>
        <w:tc>
          <w:tcPr>
            <w:tcW w:w="25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0,0022</w:t>
            </w:r>
          </w:p>
        </w:tc>
        <w:tc>
          <w:tcPr>
            <w:tcW w:w="29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1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Т3</w:t>
            </w:r>
          </w:p>
        </w:tc>
        <w:tc>
          <w:tcPr>
            <w:tcW w:w="78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Управљање мобилношћу</w:t>
            </w:r>
          </w:p>
        </w:tc>
        <w:tc>
          <w:tcPr>
            <w:tcW w:w="25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9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1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Т4</w:t>
            </w:r>
          </w:p>
        </w:tc>
        <w:tc>
          <w:tcPr>
            <w:tcW w:w="78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у систему јавног транспорта путника</w:t>
            </w:r>
          </w:p>
        </w:tc>
        <w:tc>
          <w:tcPr>
            <w:tcW w:w="25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9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0,0114</w:t>
            </w:r>
          </w:p>
        </w:tc>
      </w:tr>
      <w:tr>
        <w:trPr>
          <w:trHeight w:val="45" w:hRule="atLeast"/>
        </w:trPr>
        <w:tc>
          <w:tcPr>
            <w:tcW w:w="1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Т5</w:t>
            </w:r>
          </w:p>
        </w:tc>
        <w:tc>
          <w:tcPr>
            <w:tcW w:w="78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у систему транспорта робе</w:t>
            </w:r>
          </w:p>
        </w:tc>
        <w:tc>
          <w:tcPr>
            <w:tcW w:w="25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9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1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Т6</w:t>
            </w:r>
          </w:p>
        </w:tc>
        <w:tc>
          <w:tcPr>
            <w:tcW w:w="78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Регулисање EURO стандарда у погледу нивоа емисије за увезене путничке аутомобиле</w:t>
            </w:r>
          </w:p>
        </w:tc>
        <w:tc>
          <w:tcPr>
            <w:tcW w:w="25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 зато што су резултати мере обухваћени мером Т1</w:t>
            </w:r>
          </w:p>
        </w:tc>
        <w:tc>
          <w:tcPr>
            <w:tcW w:w="29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Резултати мере обухваћени мером Т1</w:t>
            </w:r>
          </w:p>
        </w:tc>
      </w:tr>
      <w:tr>
        <w:trPr>
          <w:trHeight w:val="45" w:hRule="atLeast"/>
        </w:trPr>
        <w:tc>
          <w:tcPr>
            <w:tcW w:w="1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Т7</w:t>
            </w:r>
          </w:p>
        </w:tc>
        <w:tc>
          <w:tcPr>
            <w:tcW w:w="78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Ефикасне гуме (пнеуматици) за друмска возила</w:t>
            </w:r>
          </w:p>
        </w:tc>
        <w:tc>
          <w:tcPr>
            <w:tcW w:w="25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0,0100</w:t>
            </w:r>
          </w:p>
        </w:tc>
        <w:tc>
          <w:tcPr>
            <w:tcW w:w="29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1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Т8</w:t>
            </w:r>
          </w:p>
        </w:tc>
        <w:tc>
          <w:tcPr>
            <w:tcW w:w="78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Побољшање квалитета редовних (годишњих) техничких прегледа возила</w:t>
            </w:r>
          </w:p>
        </w:tc>
        <w:tc>
          <w:tcPr>
            <w:tcW w:w="25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9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1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Т9</w:t>
            </w:r>
          </w:p>
        </w:tc>
        <w:tc>
          <w:tcPr>
            <w:tcW w:w="78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Модернизација возног парка у циљу испуњења техничких услова за обављање домаћег и међународног транспорта</w:t>
            </w:r>
          </w:p>
        </w:tc>
        <w:tc>
          <w:tcPr>
            <w:tcW w:w="25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0,0819</w:t>
            </w:r>
          </w:p>
        </w:tc>
        <w:tc>
          <w:tcPr>
            <w:tcW w:w="29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0,0856</w:t>
            </w:r>
          </w:p>
        </w:tc>
      </w:tr>
      <w:tr>
        <w:trPr>
          <w:trHeight w:val="45" w:hRule="atLeast"/>
        </w:trPr>
        <w:tc>
          <w:tcPr>
            <w:tcW w:w="1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Т10</w:t>
            </w:r>
          </w:p>
        </w:tc>
        <w:tc>
          <w:tcPr>
            <w:tcW w:w="78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Маркирање горива и мониторинг квалитета горива</w:t>
            </w:r>
          </w:p>
        </w:tc>
        <w:tc>
          <w:tcPr>
            <w:tcW w:w="25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0,0300</w:t>
            </w:r>
          </w:p>
        </w:tc>
        <w:tc>
          <w:tcPr>
            <w:tcW w:w="29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1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Т11</w:t>
            </w:r>
          </w:p>
        </w:tc>
        <w:tc>
          <w:tcPr>
            <w:tcW w:w="78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Обавезна замена летњих гума (пнеуматика)</w:t>
            </w:r>
          </w:p>
        </w:tc>
        <w:tc>
          <w:tcPr>
            <w:tcW w:w="25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0,0100</w:t>
            </w:r>
          </w:p>
        </w:tc>
        <w:tc>
          <w:tcPr>
            <w:tcW w:w="29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1076" w:type="dxa"/>
            <w:tcBorders>
              <w:top w:val="single" w:color="000000" w:sz="8"/>
              <w:left w:val="single" w:color="000000" w:sz="8"/>
              <w:bottom w:val="single" w:color="000000" w:sz="8"/>
              <w:right w:val="single" w:color="000000" w:sz="8"/>
            </w:tcBorders>
            <w:vAlign w:val="center"/>
          </w:tcPr>
          <w:p/>
        </w:tc>
        <w:tc>
          <w:tcPr>
            <w:tcW w:w="78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подстицајних механизама за замену постојећег возног парка</w:t>
            </w:r>
            <w:r>
              <w:rPr>
                <w:rFonts w:ascii="Verdana"/>
                <w:b w:val="false"/>
                <w:i w:val="false"/>
                <w:color w:val="000000"/>
                <w:sz w:val="22"/>
                <w:vertAlign w:val="superscript"/>
              </w:rPr>
              <w:t>3</w:t>
            </w:r>
          </w:p>
        </w:tc>
        <w:tc>
          <w:tcPr>
            <w:tcW w:w="25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9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 улази у реализоване уштеде јер је обухваћен мером Т1</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Саобраћај сумарно</w:t>
            </w:r>
          </w:p>
        </w:tc>
        <w:tc>
          <w:tcPr>
            <w:tcW w:w="25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0,1940</w:t>
            </w:r>
          </w:p>
        </w:tc>
        <w:tc>
          <w:tcPr>
            <w:tcW w:w="29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0,2417</w:t>
            </w:r>
          </w:p>
        </w:tc>
      </w:tr>
    </w:tbl>
    <w:p>
      <w:pPr>
        <w:spacing w:after="150"/>
        <w:ind w:left="0"/>
        <w:jc w:val="left"/>
      </w:pPr>
      <w:r>
        <w:rPr>
          <w:rFonts w:ascii="Verdana"/>
          <w:b w:val="false"/>
          <w:i w:val="false"/>
          <w:color w:val="000000"/>
          <w:sz w:val="22"/>
        </w:rPr>
        <w:t>––––––––</w:t>
      </w:r>
    </w:p>
    <w:p>
      <w:pPr>
        <w:spacing w:after="150"/>
        <w:ind w:left="0"/>
        <w:jc w:val="left"/>
      </w:pPr>
      <w:r>
        <w:rPr>
          <w:rFonts w:ascii="Verdana"/>
          <w:b w:val="false"/>
          <w:i w:val="false"/>
          <w:color w:val="000000"/>
          <w:sz w:val="22"/>
        </w:rPr>
        <w:t>3	Мера из 1. и 2. АПЕЕ, ефекти још постоје у 2018. години</w:t>
      </w:r>
    </w:p>
    <w:p>
      <w:pPr>
        <w:spacing w:after="150"/>
        <w:ind w:left="0"/>
        <w:jc w:val="left"/>
      </w:pPr>
      <w:r>
        <w:rPr>
          <w:rFonts w:ascii="Verdana"/>
          <w:b w:val="false"/>
          <w:i w:val="false"/>
          <w:color w:val="000000"/>
          <w:sz w:val="22"/>
        </w:rPr>
        <w:t>Министарство је одустало од процењивања већег броја мера из 3. АПЕЕ у Сектору транспорта, услед недостајућих података или непостојања адекватне методологије за процену уштеда. Процењене су следеће мере:</w:t>
      </w:r>
    </w:p>
    <w:p>
      <w:pPr>
        <w:spacing w:after="150"/>
        <w:ind w:left="0"/>
        <w:jc w:val="left"/>
      </w:pPr>
      <w:r>
        <w:rPr>
          <w:rFonts w:ascii="Verdana"/>
          <w:b w:val="false"/>
          <w:i w:val="false"/>
          <w:color w:val="000000"/>
          <w:sz w:val="22"/>
        </w:rPr>
        <w:t xml:space="preserve">– Мера </w:t>
      </w:r>
      <w:r>
        <w:rPr>
          <w:rFonts w:ascii="Verdana"/>
          <w:b w:val="false"/>
          <w:i w:val="false"/>
          <w:color w:val="000000"/>
          <w:sz w:val="22"/>
        </w:rPr>
        <w:t>Т1 – Имплементација Уредбе (EЗ) 443/2009 о ограничавању емисије CO</w:t>
      </w:r>
      <w:r>
        <w:rPr>
          <w:rFonts w:ascii="Verdana"/>
          <w:b w:val="false"/>
          <w:i w:val="false"/>
          <w:color w:val="000000"/>
          <w:sz w:val="22"/>
          <w:vertAlign w:val="subscript"/>
        </w:rPr>
        <w:t>2</w:t>
      </w:r>
      <w:r>
        <w:rPr>
          <w:rFonts w:ascii="Verdana"/>
          <w:b w:val="false"/>
          <w:i w:val="false"/>
          <w:color w:val="000000"/>
          <w:sz w:val="22"/>
        </w:rPr>
        <w:t xml:space="preserve"> нових путничких возила и Уредбе (ЕУ) 510/2011 о ограничавању емисије CO</w:t>
      </w:r>
      <w:r>
        <w:rPr>
          <w:rFonts w:ascii="Verdana"/>
          <w:b w:val="false"/>
          <w:i w:val="false"/>
          <w:color w:val="000000"/>
          <w:sz w:val="22"/>
          <w:vertAlign w:val="subscript"/>
        </w:rPr>
        <w:t>2</w:t>
      </w:r>
      <w:r>
        <w:rPr>
          <w:rFonts w:ascii="Verdana"/>
          <w:b w:val="false"/>
          <w:i w:val="false"/>
          <w:color w:val="000000"/>
          <w:sz w:val="22"/>
        </w:rPr>
        <w:t xml:space="preserve"> нових лаких комерцијалних возила, </w:t>
      </w:r>
      <w:r>
        <w:rPr>
          <w:rFonts w:ascii="Verdana"/>
          <w:b w:val="false"/>
          <w:i w:val="false"/>
          <w:color w:val="000000"/>
          <w:sz w:val="22"/>
        </w:rPr>
        <w:t>која се односи на стандарде емисија нових путничких аутомобила и лаких комерцијалних возила, идентична је као у 2. и 3. АПЕЕ, а ажурирана како би се обухватиле промене у стављању на тржиште Републике Србије било продајом нових или увозом коришћених путничких аутомобила и лаких комерцијалних (доставних) возила.</w:t>
      </w:r>
    </w:p>
    <w:p>
      <w:pPr>
        <w:spacing w:after="150"/>
        <w:ind w:left="0"/>
        <w:jc w:val="left"/>
      </w:pPr>
      <w:r>
        <w:rPr>
          <w:rFonts w:ascii="Verdana"/>
          <w:b w:val="false"/>
          <w:i w:val="false"/>
          <w:color w:val="000000"/>
          <w:sz w:val="22"/>
        </w:rPr>
        <w:t>– За меру Т4 усмерену на унапређење енергетске ефикасности у јавном превозу потребно је увести даљи систематски и општеприхваћени приступ. До сада је реализована пре свега кроз индивидуалне напоре неких већих превозника (ГСП Београд, Arriva Litas d.o.o.).</w:t>
      </w:r>
    </w:p>
    <w:p>
      <w:pPr>
        <w:spacing w:after="150"/>
        <w:ind w:left="0"/>
        <w:jc w:val="left"/>
      </w:pPr>
      <w:r>
        <w:rPr>
          <w:rFonts w:ascii="Verdana"/>
          <w:b w:val="false"/>
          <w:i w:val="false"/>
          <w:color w:val="000000"/>
          <w:sz w:val="22"/>
        </w:rPr>
        <w:t>– Резултати мере Т6 су приказани у оквиру мере Т1. Од мере Т6 се одустаје за период после 2018. године јер је постала превазиђена – застарела, с обзиром да овај стандард у Републици Србији важи већ више од десет година а у ЕУ је одавно застарео.</w:t>
      </w:r>
    </w:p>
    <w:p>
      <w:pPr>
        <w:spacing w:after="150"/>
        <w:ind w:left="0"/>
        <w:jc w:val="left"/>
      </w:pPr>
      <w:r>
        <w:rPr>
          <w:rFonts w:ascii="Verdana"/>
          <w:b w:val="false"/>
          <w:i w:val="false"/>
          <w:color w:val="000000"/>
          <w:sz w:val="22"/>
        </w:rPr>
        <w:t>– Мера Т9 – Модернизација возног парка у циљу испуњења техничких услова за обављање домаћег и међународног транспорта односи се на модернизацију возног парка теретних возила врсте N2 и N3 у циљу испуњења техничких услова за обављање домаћег и међународног саобраћаја.</w:t>
      </w:r>
    </w:p>
    <w:p>
      <w:pPr>
        <w:spacing w:after="150"/>
        <w:ind w:left="0"/>
        <w:jc w:val="left"/>
      </w:pPr>
      <w:r>
        <w:rPr>
          <w:rFonts w:ascii="Verdana"/>
          <w:b w:val="false"/>
          <w:i w:val="false"/>
          <w:color w:val="000000"/>
          <w:sz w:val="22"/>
        </w:rPr>
        <w:t>– Мера Увођење подстицајних механизама за замену постојећег возног парка била је део 2. АПЕЕ (мера Т3 у 2. АПЕЕ) и имплементирана је у периоду 2010–2012. године. Спровођење мере укинуто је у недостатку финансијских средстава. Међутим, остварене уштеде важиле су до 2018. године, имајући у виду уобичајени експлоатациони (радни) век возила.</w:t>
      </w:r>
    </w:p>
    <w:p>
      <w:pPr>
        <w:spacing w:after="150"/>
        <w:ind w:left="0"/>
        <w:jc w:val="left"/>
      </w:pPr>
      <w:r>
        <w:rPr>
          <w:rFonts w:ascii="Verdana"/>
          <w:b w:val="false"/>
          <w:i w:val="false"/>
          <w:color w:val="000000"/>
          <w:sz w:val="22"/>
        </w:rPr>
        <w:t>Мере енергетске ефикасности у Сектору саобраћаја показују значајан потенцијал за даље унапређење и остварење уштеда. Прикупљање и процена уштеда је реализована у сарадњи са Министарством унутрашњих послова (Сектором за аналитику, телекомуникационе и информационе технологије), Агенцијом за безбедност саобраћаја Републике Србије и консултантима са Саобраћајног факултета, коришћењем ОПГ методологије. У овом сектору је била омогућена најшира анализа података с обзиром на све податке којима су располагале претходно поменуте институције.</w:t>
      </w:r>
    </w:p>
    <w:p>
      <w:pPr>
        <w:spacing w:after="120"/>
        <w:ind w:left="0"/>
        <w:jc w:val="center"/>
      </w:pPr>
      <w:r>
        <w:rPr>
          <w:rFonts w:ascii="Verdana"/>
          <w:b w:val="false"/>
          <w:i/>
          <w:color w:val="000000"/>
          <w:sz w:val="22"/>
        </w:rPr>
        <w:t>2.1.4. Сектор индустрије</w:t>
      </w:r>
    </w:p>
    <w:p>
      <w:pPr>
        <w:spacing w:after="150"/>
        <w:ind w:left="0"/>
        <w:jc w:val="left"/>
      </w:pPr>
      <w:r>
        <w:rPr>
          <w:rFonts w:ascii="Verdana"/>
          <w:b w:val="false"/>
          <w:i w:val="false"/>
          <w:color w:val="000000"/>
          <w:sz w:val="22"/>
        </w:rPr>
        <w:t>Табела 5. Преглед мера у Сектору индустрије са проценом њихове имплементације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825"/>
        <w:gridCol w:w="6639"/>
        <w:gridCol w:w="3203"/>
        <w:gridCol w:w="3733"/>
      </w:tblGrid>
      <w:tr>
        <w:trPr>
          <w:trHeight w:val="45" w:hRule="atLeast"/>
        </w:trPr>
        <w:tc>
          <w:tcPr>
            <w:tcW w:w="8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663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32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Планиране уштеде за 3. АПЕЕ</w:t>
            </w:r>
          </w:p>
        </w:tc>
        <w:tc>
          <w:tcPr>
            <w:tcW w:w="37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2018. години</w:t>
            </w:r>
          </w:p>
        </w:tc>
      </w:tr>
      <w:tr>
        <w:trPr>
          <w:trHeight w:val="45" w:hRule="atLeast"/>
        </w:trPr>
        <w:tc>
          <w:tcPr>
            <w:tcW w:w="825" w:type="dxa"/>
            <w:tcBorders>
              <w:top w:val="single" w:color="000000" w:sz="8"/>
              <w:left w:val="single" w:color="000000" w:sz="8"/>
              <w:bottom w:val="single" w:color="000000" w:sz="8"/>
              <w:right w:val="single" w:color="000000" w:sz="8"/>
            </w:tcBorders>
            <w:vAlign w:val="center"/>
          </w:tcPr>
          <w:p/>
        </w:tc>
        <w:tc>
          <w:tcPr>
            <w:tcW w:w="6639" w:type="dxa"/>
            <w:tcBorders>
              <w:top w:val="single" w:color="000000" w:sz="8"/>
              <w:left w:val="single" w:color="000000" w:sz="8"/>
              <w:bottom w:val="single" w:color="000000" w:sz="8"/>
              <w:right w:val="single" w:color="000000" w:sz="8"/>
            </w:tcBorders>
            <w:vAlign w:val="center"/>
          </w:tcPr>
          <w:p/>
        </w:tc>
        <w:tc>
          <w:tcPr>
            <w:tcW w:w="32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c>
          <w:tcPr>
            <w:tcW w:w="37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r>
      <w:tr>
        <w:trPr>
          <w:trHeight w:val="45" w:hRule="atLeast"/>
        </w:trPr>
        <w:tc>
          <w:tcPr>
            <w:tcW w:w="8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И1</w:t>
            </w:r>
          </w:p>
        </w:tc>
        <w:tc>
          <w:tcPr>
            <w:tcW w:w="663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енергетског менаџмента у великим индустријским потрошачима</w:t>
            </w:r>
          </w:p>
        </w:tc>
        <w:tc>
          <w:tcPr>
            <w:tcW w:w="32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0,0369</w:t>
            </w:r>
          </w:p>
        </w:tc>
        <w:tc>
          <w:tcPr>
            <w:tcW w:w="37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0,0182</w:t>
            </w:r>
          </w:p>
        </w:tc>
      </w:tr>
      <w:tr>
        <w:trPr>
          <w:trHeight w:val="45" w:hRule="atLeast"/>
        </w:trPr>
        <w:tc>
          <w:tcPr>
            <w:tcW w:w="8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И2</w:t>
            </w:r>
          </w:p>
        </w:tc>
        <w:tc>
          <w:tcPr>
            <w:tcW w:w="663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Програм побољшања енергетске ефикасности у индустрији</w:t>
            </w:r>
          </w:p>
        </w:tc>
        <w:tc>
          <w:tcPr>
            <w:tcW w:w="32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0,0726</w:t>
            </w:r>
          </w:p>
        </w:tc>
        <w:tc>
          <w:tcPr>
            <w:tcW w:w="37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0,0554</w:t>
            </w:r>
          </w:p>
        </w:tc>
      </w:tr>
      <w:tr>
        <w:trPr>
          <w:trHeight w:val="45" w:hRule="atLeast"/>
        </w:trPr>
        <w:tc>
          <w:tcPr>
            <w:tcW w:w="8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И3</w:t>
            </w:r>
          </w:p>
        </w:tc>
        <w:tc>
          <w:tcPr>
            <w:tcW w:w="663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Подстицајне тарифе за високо ефикасне CHP у индустрији</w:t>
            </w:r>
          </w:p>
        </w:tc>
        <w:tc>
          <w:tcPr>
            <w:tcW w:w="32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0,0132</w:t>
            </w:r>
          </w:p>
        </w:tc>
        <w:tc>
          <w:tcPr>
            <w:tcW w:w="37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8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И4</w:t>
            </w:r>
          </w:p>
        </w:tc>
        <w:tc>
          <w:tcPr>
            <w:tcW w:w="663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Минимални захтеви енергетске ефикасности за нова и реновирана постројења за производњу електричне и топлотне енергије, или системе за комбиновану производњу електричне и топлотне енергије</w:t>
            </w:r>
          </w:p>
        </w:tc>
        <w:tc>
          <w:tcPr>
            <w:tcW w:w="32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37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Индустрија сумарно</w:t>
            </w:r>
          </w:p>
        </w:tc>
        <w:tc>
          <w:tcPr>
            <w:tcW w:w="32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0,1227</w:t>
            </w:r>
          </w:p>
        </w:tc>
        <w:tc>
          <w:tcPr>
            <w:tcW w:w="37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0,0736</w:t>
            </w:r>
          </w:p>
        </w:tc>
      </w:tr>
    </w:tbl>
    <w:p>
      <w:pPr>
        <w:spacing w:after="150"/>
        <w:ind w:left="0"/>
        <w:jc w:val="left"/>
      </w:pPr>
      <w:r>
        <w:rPr>
          <w:rFonts w:ascii="Verdana"/>
          <w:b w:val="false"/>
          <w:i w:val="false"/>
          <w:color w:val="000000"/>
          <w:sz w:val="22"/>
        </w:rPr>
        <w:t>– Мера И1 – На основу Закона о ЕКЕ, као и на основу ЗЕЕРУЕ, велика индустријска предузећа која имају годишњу потрошњу енергије већу од 2500 toe, у обавези су да успоставе Систем енергетског менаџмента, и остваре уштеду у текућој години у износу од 1% у односу на потрошњу примарне енергије из претходне године. Почев од 2017. па до краја 2018. године у Сектору индустрије именовано је 47 енергетских менаџера. Прикупљено је 28 годишњих извештаја (у наставку текста ГИ) за 2017. годину и 76 ГИ за 2018. годину. За потребе одређивања уштеда по овој мери анализа је обухватила 13 ГИ из Сектора индустрије, без Сектора производње, преноса и дистрибуције енергије. Пријављено смањење потрошње финалне енергије за обвезнике који су известили о смањењу потрошње примарне енергије у опсегу од 1% до 23%, и код којих је дошло до смањење релевантних енергетских индикатора, износи 18,2 ktoe за 2018. годину.</w:t>
      </w:r>
    </w:p>
    <w:p>
      <w:pPr>
        <w:spacing w:after="150"/>
        <w:ind w:left="0"/>
        <w:jc w:val="left"/>
      </w:pPr>
      <w:r>
        <w:rPr>
          <w:rFonts w:ascii="Verdana"/>
          <w:b w:val="false"/>
          <w:i w:val="false"/>
          <w:color w:val="000000"/>
          <w:sz w:val="22"/>
        </w:rPr>
        <w:t>Да би се у будуће проценила вредност уштеда које настају пре свега као резултат примене мера ЕЕ радиће се на унапређењу праћења уштеда и анализи енергетских индикатора код обвезника СЕМ.</w:t>
      </w:r>
    </w:p>
    <w:p>
      <w:pPr>
        <w:spacing w:after="150"/>
        <w:ind w:left="0"/>
        <w:jc w:val="left"/>
      </w:pPr>
      <w:r>
        <w:rPr>
          <w:rFonts w:ascii="Verdana"/>
          <w:b w:val="false"/>
          <w:i w:val="false"/>
          <w:color w:val="000000"/>
          <w:sz w:val="22"/>
        </w:rPr>
        <w:t>– Мера И2 која се односи на Програме побољшања енергетске ефикасности у индустрији прати уштеде енергије на бази извештаја од међународних финансијских организација као што су EBRD, GGF и KfW.</w:t>
      </w:r>
    </w:p>
    <w:p>
      <w:pPr>
        <w:spacing w:after="150"/>
        <w:ind w:left="0"/>
        <w:jc w:val="left"/>
      </w:pPr>
      <w:r>
        <w:rPr>
          <w:rFonts w:ascii="Verdana"/>
          <w:b w:val="false"/>
          <w:i w:val="false"/>
          <w:color w:val="000000"/>
          <w:sz w:val="22"/>
        </w:rPr>
        <w:t>У оквиру WeBSEFF I и WeBSEFF II програма (кредитне линије EBRD), у периоду од 2009. до 2018. године, пласирано је 50 милиона евра кроз више од 160 пројеката енергетске ефикасности и обновљивих извора енергије у Републици Србији. Само у периоду од 2015. до 2018. године за мере енергетске ефикасности пласирана су четири кредита према јединицама локалне самоуправе и 41 кредит према Сектору индустрије. Фонд зеленог развоја југоисточне Европе (GGF) пласирао је 1093 кредита за пројекте у области енергетске ефикасности. Кредити су пласирани преко шест домаћих банака за мере набавке ефикасније опреме у Сектору пољопривреде и мере енергетске ефикасности у Зградарству. Само је један кредит пласиран за меру енергетске ефикасности у индустрији. Немачка развојна банка (KfW) једна је од највећих страних банка које у сарадњи са нашим банкама обезбеђује повољне кредите у Републици Србији и одобрава зајмове за предузећа финансирањем и мера енергетске ефикасности. KfW je 40% инвестиција реализовао у Енергетском сектору и исто толико у Финансијском сектору кроз подршку малим и средњим предузећима. Преосталих 20% је искоришћено у области заштите животне средине. У Енергетском сектору, KfW је поред финансирања пројеката који се баве снабдевањем енергијом, 2014. године започео са финансирањем пројеката који су фокусирани на уштеде у финалној потрошњи, чиме је омогућено финансирање мера енергетске ефикасности у јавним зградама. Осим тога, KfW је банкама у Србији одобрио кредитне линије за рефинансирање пројеката из области енергетске ефикасности и обновљивих извора енергије који су намењени предузећима и приватним домаћинствима. Додатним кредитним линијама, које су 2015. године стављене на располагање, омогућено је финансирање програма фокусираних на општинске инвестиције у пројекте енергетске ефикасности и заштите животне средине.</w:t>
      </w:r>
    </w:p>
    <w:p>
      <w:pPr>
        <w:spacing w:after="150"/>
        <w:ind w:left="0"/>
        <w:jc w:val="left"/>
      </w:pPr>
      <w:r>
        <w:rPr>
          <w:rFonts w:ascii="Verdana"/>
          <w:b w:val="false"/>
          <w:i w:val="false"/>
          <w:color w:val="000000"/>
          <w:sz w:val="22"/>
        </w:rPr>
        <w:t>На основу извештаја о уштедама енергије у Индустрији који су добијени од EBRD, GGF и KfW примећено је да GGF и KfW у периоду од 2016. до 2018. године нису пријавили улагања у пројекте енергетске ефикасности у индустрији. EBRD је пријавио да су уштеде енергије добијене од реализованих пројеката енергетске ефикасности у 2018. години десет пута мањи у односу на 2015. години, па се може закључити да су и улагања у пројекте енергетске ефикасности знатно мања.</w:t>
      </w:r>
    </w:p>
    <w:p>
      <w:pPr>
        <w:spacing w:after="150"/>
        <w:ind w:left="0"/>
        <w:jc w:val="left"/>
      </w:pPr>
      <w:r>
        <w:rPr>
          <w:rFonts w:ascii="Verdana"/>
          <w:b w:val="false"/>
          <w:i w:val="false"/>
          <w:color w:val="000000"/>
          <w:sz w:val="22"/>
        </w:rPr>
        <w:t>– Мере И3 и И4 – нису процењене јер нису уведени одговарајући механизми праћења. Детаљније су описане у поглављу 3.</w:t>
      </w:r>
    </w:p>
    <w:p>
      <w:pPr>
        <w:spacing w:after="120"/>
        <w:ind w:left="0"/>
        <w:jc w:val="center"/>
      </w:pPr>
      <w:r>
        <w:rPr>
          <w:rFonts w:ascii="Verdana"/>
          <w:b/>
          <w:i w:val="false"/>
          <w:color w:val="000000"/>
          <w:sz w:val="22"/>
        </w:rPr>
        <w:t>2.2. Преглед уштеда примарне енергије</w:t>
      </w:r>
      <w:r>
        <w:rPr>
          <w:rFonts w:ascii="Verdana"/>
          <w:b/>
          <w:i w:val="false"/>
          <w:color w:val="000000"/>
          <w:sz w:val="22"/>
          <w:vertAlign w:val="superscript"/>
        </w:rPr>
        <w:t>4</w:t>
      </w:r>
    </w:p>
    <w:p>
      <w:pPr>
        <w:spacing w:after="120"/>
        <w:ind w:left="0"/>
        <w:jc w:val="center"/>
      </w:pPr>
      <w:r>
        <w:rPr>
          <w:rFonts w:ascii="Verdana"/>
          <w:b w:val="false"/>
          <w:i/>
          <w:color w:val="000000"/>
          <w:sz w:val="22"/>
        </w:rPr>
        <w:t>2.2.1. Сектор СДГ</w:t>
      </w:r>
    </w:p>
    <w:p>
      <w:pPr>
        <w:spacing w:after="150"/>
        <w:ind w:left="0"/>
        <w:jc w:val="left"/>
      </w:pPr>
      <w:r>
        <w:rPr>
          <w:rFonts w:ascii="Verdana"/>
          <w:b w:val="false"/>
          <w:i w:val="false"/>
          <w:color w:val="000000"/>
          <w:sz w:val="22"/>
        </w:rPr>
        <w:t>У Републици Србији у 60 градова и општина уведен је систем даљинског грејања – СДГ, којим углавном управљају јавна предузећа. Сопствени капацитет производног система износе 5960,68 MW, a капацитет производног система који СДГ користе а власништво су других правних лица, износи 1048,46 MW. Дужина дистрибутивног система је 2393 km; постоје 24196 топлотно предајних станица за снабдевање крајњих купаца топлотном енергијом. Укупна површина објеката које загрева СДГ је 43.209.704,69 m</w:t>
      </w:r>
      <w:r>
        <w:rPr>
          <w:rFonts w:ascii="Verdana"/>
          <w:b w:val="false"/>
          <w:i w:val="false"/>
          <w:color w:val="000000"/>
          <w:sz w:val="22"/>
          <w:vertAlign w:val="superscript"/>
        </w:rPr>
        <w:t>2</w:t>
      </w:r>
      <w:r>
        <w:rPr>
          <w:rFonts w:ascii="Verdana"/>
          <w:b w:val="false"/>
          <w:i w:val="false"/>
          <w:color w:val="000000"/>
          <w:sz w:val="22"/>
        </w:rPr>
        <w:t>. што представља 26% укупног броја домаћинстава у Републици Србији. Укупна произведена топлотна енергија у СДГ у Републици Србији у периоду 2014–2018. приказана је у табели 6.</w:t>
      </w:r>
    </w:p>
    <w:p>
      <w:pPr>
        <w:spacing w:after="150"/>
        <w:ind w:left="0"/>
        <w:jc w:val="left"/>
      </w:pPr>
      <w:r>
        <w:rPr>
          <w:rFonts w:ascii="Verdana"/>
          <w:b w:val="false"/>
          <w:i w:val="false"/>
          <w:color w:val="000000"/>
          <w:sz w:val="22"/>
        </w:rPr>
        <w:t>––––––––</w:t>
      </w:r>
    </w:p>
    <w:p>
      <w:pPr>
        <w:spacing w:after="150"/>
        <w:ind w:left="0"/>
        <w:jc w:val="left"/>
      </w:pPr>
      <w:r>
        <w:rPr>
          <w:rFonts w:ascii="Verdana"/>
          <w:b w:val="false"/>
          <w:i w:val="false"/>
          <w:color w:val="000000"/>
          <w:sz w:val="22"/>
        </w:rPr>
        <w:t>4	Мере на страни примарне енергије су обрађене и достављене Министарству од овлашћених представника Пословног удружења Топлана Србије, односно ЈП Електропривреде Србије</w:t>
      </w:r>
    </w:p>
    <w:p>
      <w:pPr>
        <w:spacing w:after="150"/>
        <w:ind w:left="0"/>
        <w:jc w:val="left"/>
      </w:pPr>
      <w:r>
        <w:rPr>
          <w:rFonts w:ascii="Verdana"/>
          <w:b w:val="false"/>
          <w:i w:val="false"/>
          <w:color w:val="000000"/>
          <w:sz w:val="22"/>
        </w:rPr>
        <w:t>Табела 6. Произведена топлотна енергија на улазу у дистрибутивни систем 2014–2018.</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440"/>
        <w:gridCol w:w="5140"/>
        <w:gridCol w:w="5820"/>
      </w:tblGrid>
      <w:tr>
        <w:trPr>
          <w:trHeight w:val="45" w:hRule="atLeast"/>
        </w:trPr>
        <w:tc>
          <w:tcPr>
            <w:tcW w:w="34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w:t>
            </w:r>
          </w:p>
        </w:tc>
        <w:tc>
          <w:tcPr>
            <w:tcW w:w="5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GWh</w:t>
            </w:r>
          </w:p>
        </w:tc>
        <w:tc>
          <w:tcPr>
            <w:tcW w:w="58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TJ</w:t>
            </w:r>
          </w:p>
        </w:tc>
      </w:tr>
      <w:tr>
        <w:trPr>
          <w:trHeight w:val="45" w:hRule="atLeast"/>
        </w:trPr>
        <w:tc>
          <w:tcPr>
            <w:tcW w:w="34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2014.</w:t>
            </w:r>
          </w:p>
        </w:tc>
        <w:tc>
          <w:tcPr>
            <w:tcW w:w="5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6.024,05</w:t>
            </w:r>
          </w:p>
        </w:tc>
        <w:tc>
          <w:tcPr>
            <w:tcW w:w="58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21.686,59</w:t>
            </w:r>
          </w:p>
        </w:tc>
      </w:tr>
      <w:tr>
        <w:trPr>
          <w:trHeight w:val="45" w:hRule="atLeast"/>
        </w:trPr>
        <w:tc>
          <w:tcPr>
            <w:tcW w:w="34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2015.</w:t>
            </w:r>
          </w:p>
        </w:tc>
        <w:tc>
          <w:tcPr>
            <w:tcW w:w="5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6.229,86</w:t>
            </w:r>
          </w:p>
        </w:tc>
        <w:tc>
          <w:tcPr>
            <w:tcW w:w="58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22.427,49</w:t>
            </w:r>
          </w:p>
        </w:tc>
      </w:tr>
      <w:tr>
        <w:trPr>
          <w:trHeight w:val="45" w:hRule="atLeast"/>
        </w:trPr>
        <w:tc>
          <w:tcPr>
            <w:tcW w:w="34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2016.</w:t>
            </w:r>
          </w:p>
        </w:tc>
        <w:tc>
          <w:tcPr>
            <w:tcW w:w="5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6.889,70</w:t>
            </w:r>
          </w:p>
        </w:tc>
        <w:tc>
          <w:tcPr>
            <w:tcW w:w="58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24.802,93</w:t>
            </w:r>
          </w:p>
        </w:tc>
      </w:tr>
      <w:tr>
        <w:trPr>
          <w:trHeight w:val="45" w:hRule="atLeast"/>
        </w:trPr>
        <w:tc>
          <w:tcPr>
            <w:tcW w:w="34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5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6.894,37</w:t>
            </w:r>
          </w:p>
        </w:tc>
        <w:tc>
          <w:tcPr>
            <w:tcW w:w="58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24.819,73</w:t>
            </w:r>
          </w:p>
        </w:tc>
      </w:tr>
      <w:tr>
        <w:trPr>
          <w:trHeight w:val="45" w:hRule="atLeast"/>
        </w:trPr>
        <w:tc>
          <w:tcPr>
            <w:tcW w:w="34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5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6.926,56</w:t>
            </w:r>
          </w:p>
        </w:tc>
        <w:tc>
          <w:tcPr>
            <w:tcW w:w="58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24.935,61</w:t>
            </w:r>
          </w:p>
        </w:tc>
      </w:tr>
    </w:tbl>
    <w:p>
      <w:pPr>
        <w:spacing w:after="150"/>
        <w:ind w:left="0"/>
        <w:jc w:val="left"/>
      </w:pPr>
      <w:r>
        <w:rPr>
          <w:rFonts w:ascii="Verdana"/>
          <w:b w:val="false"/>
          <w:i w:val="false"/>
          <w:color w:val="000000"/>
          <w:sz w:val="22"/>
        </w:rPr>
        <w:t>Специфична потрошња топлоте на годишњем нивоу станова прикључених на СДГ током 2018. године износила је 130,3 kWh/m</w:t>
      </w:r>
      <w:r>
        <w:rPr>
          <w:rFonts w:ascii="Verdana"/>
          <w:b w:val="false"/>
          <w:i w:val="false"/>
          <w:color w:val="000000"/>
          <w:sz w:val="22"/>
          <w:vertAlign w:val="superscript"/>
        </w:rPr>
        <w:t>2</w:t>
      </w:r>
      <w:r>
        <w:rPr>
          <w:rFonts w:ascii="Verdana"/>
          <w:b w:val="false"/>
          <w:i w:val="false"/>
          <w:color w:val="000000"/>
          <w:sz w:val="22"/>
        </w:rPr>
        <w:t>. Степен ефикасности производног система ДГ је 89,41 %, дистрибутивног система 84,80 %, а укупни степен корисности 75,82%</w:t>
      </w:r>
      <w:r>
        <w:rPr>
          <w:rFonts w:ascii="Verdana"/>
          <w:b w:val="false"/>
          <w:i w:val="false"/>
          <w:color w:val="000000"/>
          <w:sz w:val="22"/>
          <w:vertAlign w:val="superscript"/>
        </w:rPr>
        <w:t>5</w:t>
      </w:r>
      <w:r>
        <w:rPr>
          <w:rFonts w:ascii="Verdana"/>
          <w:b w:val="false"/>
          <w:i w:val="false"/>
          <w:color w:val="000000"/>
          <w:sz w:val="22"/>
        </w:rPr>
        <w:t>. Удео топлоте из когенерације у укупном улазу енергије у СДГ износи око 12%.</w:t>
      </w:r>
    </w:p>
    <w:p>
      <w:pPr>
        <w:spacing w:after="150"/>
        <w:ind w:left="0"/>
        <w:jc w:val="left"/>
      </w:pPr>
      <w:r>
        <w:rPr>
          <w:rFonts w:ascii="Verdana"/>
          <w:b w:val="false"/>
          <w:i w:val="false"/>
          <w:color w:val="000000"/>
          <w:sz w:val="22"/>
        </w:rPr>
        <w:t>Главне карактеристике СДГ у Републици Србији које доводе до ниске енергетске ефикасности су следеће: застарелост система мреже цевовода даљинског грејања, топлана и подстаница за предају топлоте, и низак удео рециклиране топлоте (топлоте из CHP и отпада) у укупном инпуту енергије у СДГ. Због ових проблема, неколико пројеката за обнову и модернизацију СДГ спроведено је током протекле деценије.</w:t>
      </w:r>
    </w:p>
    <w:p>
      <w:pPr>
        <w:spacing w:after="150"/>
        <w:ind w:left="0"/>
        <w:jc w:val="left"/>
      </w:pPr>
      <w:r>
        <w:rPr>
          <w:rFonts w:ascii="Verdana"/>
          <w:b w:val="false"/>
          <w:i w:val="false"/>
          <w:color w:val="000000"/>
          <w:sz w:val="22"/>
        </w:rPr>
        <w:t>Табела 7. Преглед мера у Сектору СДГ са проценом њихове имплементације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334"/>
        <w:gridCol w:w="5865"/>
        <w:gridCol w:w="2629"/>
        <w:gridCol w:w="4572"/>
      </w:tblGrid>
      <w:tr>
        <w:trPr>
          <w:trHeight w:val="45" w:hRule="atLeast"/>
        </w:trPr>
        <w:tc>
          <w:tcPr>
            <w:tcW w:w="13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5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26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Планиране уштеде за 3. АПЕЕ</w:t>
            </w:r>
          </w:p>
        </w:tc>
        <w:tc>
          <w:tcPr>
            <w:tcW w:w="45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2018. години</w:t>
            </w:r>
          </w:p>
        </w:tc>
      </w:tr>
      <w:tr>
        <w:trPr>
          <w:trHeight w:val="45" w:hRule="atLeast"/>
        </w:trPr>
        <w:tc>
          <w:tcPr>
            <w:tcW w:w="13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 1</w:t>
            </w:r>
          </w:p>
        </w:tc>
        <w:tc>
          <w:tcPr>
            <w:tcW w:w="5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система за дистрибуцију топлотне енергије ДГ</w:t>
            </w:r>
          </w:p>
        </w:tc>
        <w:tc>
          <w:tcPr>
            <w:tcW w:w="26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14,3</w:t>
            </w:r>
          </w:p>
        </w:tc>
        <w:tc>
          <w:tcPr>
            <w:tcW w:w="4572" w:type="dxa"/>
            <w:tcBorders>
              <w:top w:val="single" w:color="000000" w:sz="8"/>
              <w:left w:val="single" w:color="000000" w:sz="8"/>
              <w:bottom w:val="single" w:color="000000" w:sz="8"/>
              <w:right w:val="single" w:color="000000" w:sz="8"/>
            </w:tcBorders>
            <w:vAlign w:val="center"/>
          </w:tcPr>
          <w:p/>
        </w:tc>
      </w:tr>
      <w:tr>
        <w:trPr>
          <w:trHeight w:val="45" w:hRule="atLeast"/>
        </w:trPr>
        <w:tc>
          <w:tcPr>
            <w:tcW w:w="13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 2</w:t>
            </w:r>
          </w:p>
        </w:tc>
        <w:tc>
          <w:tcPr>
            <w:tcW w:w="5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и модернизација производних система ДГ</w:t>
            </w:r>
          </w:p>
        </w:tc>
        <w:tc>
          <w:tcPr>
            <w:tcW w:w="26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12,2</w:t>
            </w:r>
          </w:p>
        </w:tc>
        <w:tc>
          <w:tcPr>
            <w:tcW w:w="45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11,4</w:t>
            </w:r>
          </w:p>
        </w:tc>
      </w:tr>
      <w:tr>
        <w:trPr>
          <w:trHeight w:val="45" w:hRule="atLeast"/>
        </w:trPr>
        <w:tc>
          <w:tcPr>
            <w:tcW w:w="13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 3</w:t>
            </w:r>
          </w:p>
        </w:tc>
        <w:tc>
          <w:tcPr>
            <w:tcW w:w="5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сагоревања гасовитог горива у топланама</w:t>
            </w:r>
          </w:p>
        </w:tc>
        <w:tc>
          <w:tcPr>
            <w:tcW w:w="26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w:t>
            </w:r>
          </w:p>
        </w:tc>
        <w:tc>
          <w:tcPr>
            <w:tcW w:w="45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13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 4</w:t>
            </w:r>
          </w:p>
        </w:tc>
        <w:tc>
          <w:tcPr>
            <w:tcW w:w="5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сагоревања течног горива у топланама</w:t>
            </w:r>
          </w:p>
        </w:tc>
        <w:tc>
          <w:tcPr>
            <w:tcW w:w="26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w:t>
            </w:r>
          </w:p>
        </w:tc>
        <w:tc>
          <w:tcPr>
            <w:tcW w:w="45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13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 5</w:t>
            </w:r>
          </w:p>
        </w:tc>
        <w:tc>
          <w:tcPr>
            <w:tcW w:w="5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сагоревања чврстог горива у топланама</w:t>
            </w:r>
          </w:p>
        </w:tc>
        <w:tc>
          <w:tcPr>
            <w:tcW w:w="26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w:t>
            </w:r>
          </w:p>
        </w:tc>
        <w:tc>
          <w:tcPr>
            <w:tcW w:w="45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13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 6</w:t>
            </w:r>
          </w:p>
        </w:tc>
        <w:tc>
          <w:tcPr>
            <w:tcW w:w="5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дистрибуције топлотне енергије</w:t>
            </w:r>
          </w:p>
        </w:tc>
        <w:tc>
          <w:tcPr>
            <w:tcW w:w="26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14,3</w:t>
            </w:r>
          </w:p>
        </w:tc>
        <w:tc>
          <w:tcPr>
            <w:tcW w:w="45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0,8</w:t>
            </w:r>
          </w:p>
        </w:tc>
      </w:tr>
      <w:tr>
        <w:trPr>
          <w:trHeight w:val="45" w:hRule="atLeast"/>
        </w:trPr>
        <w:tc>
          <w:tcPr>
            <w:tcW w:w="13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 7</w:t>
            </w:r>
          </w:p>
        </w:tc>
        <w:tc>
          <w:tcPr>
            <w:tcW w:w="5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термоелектране Никола Тесла А на когенарацију</w:t>
            </w:r>
          </w:p>
        </w:tc>
        <w:tc>
          <w:tcPr>
            <w:tcW w:w="2629" w:type="dxa"/>
            <w:tcBorders>
              <w:top w:val="single" w:color="000000" w:sz="8"/>
              <w:left w:val="single" w:color="000000" w:sz="8"/>
              <w:bottom w:val="single" w:color="000000" w:sz="8"/>
              <w:right w:val="single" w:color="000000" w:sz="8"/>
            </w:tcBorders>
            <w:vAlign w:val="center"/>
          </w:tcPr>
          <w:p/>
        </w:tc>
        <w:tc>
          <w:tcPr>
            <w:tcW w:w="45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реализовано</w:t>
            </w:r>
          </w:p>
        </w:tc>
      </w:tr>
      <w:tr>
        <w:trPr>
          <w:trHeight w:val="45" w:hRule="atLeast"/>
        </w:trPr>
        <w:tc>
          <w:tcPr>
            <w:tcW w:w="13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 8</w:t>
            </w:r>
          </w:p>
        </w:tc>
        <w:tc>
          <w:tcPr>
            <w:tcW w:w="5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Минимални захтеви енергетске ефикасности за нова и реконструкција постројења за производњу електричне и топлотне енергије за СНР постројења</w:t>
            </w:r>
          </w:p>
        </w:tc>
        <w:tc>
          <w:tcPr>
            <w:tcW w:w="26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45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13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Даљинско грејање сумарно</w:t>
            </w:r>
          </w:p>
        </w:tc>
        <w:tc>
          <w:tcPr>
            <w:tcW w:w="5865" w:type="dxa"/>
            <w:tcBorders>
              <w:top w:val="single" w:color="000000" w:sz="8"/>
              <w:left w:val="single" w:color="000000" w:sz="8"/>
              <w:bottom w:val="single" w:color="000000" w:sz="8"/>
              <w:right w:val="single" w:color="000000" w:sz="8"/>
            </w:tcBorders>
            <w:vAlign w:val="center"/>
          </w:tcPr>
          <w:p/>
        </w:tc>
        <w:tc>
          <w:tcPr>
            <w:tcW w:w="26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47,9</w:t>
            </w:r>
          </w:p>
        </w:tc>
        <w:tc>
          <w:tcPr>
            <w:tcW w:w="45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12,2</w:t>
            </w:r>
          </w:p>
        </w:tc>
      </w:tr>
    </w:tbl>
    <w:p>
      <w:pPr>
        <w:spacing w:after="150"/>
        <w:ind w:left="0"/>
        <w:jc w:val="left"/>
      </w:pPr>
      <w:r>
        <w:rPr>
          <w:rFonts w:ascii="Verdana"/>
          <w:b w:val="false"/>
          <w:i w:val="false"/>
          <w:color w:val="000000"/>
          <w:sz w:val="22"/>
        </w:rPr>
        <w:t>Просечна старост производног дела система ДГ је 27 година. Више од 60% топловода ДГ старији су од 20 година. Просечна старост је 22 година (податак ТОПС 2018.)</w:t>
      </w:r>
    </w:p>
    <w:p>
      <w:pPr>
        <w:spacing w:after="150"/>
        <w:ind w:left="0"/>
        <w:jc w:val="left"/>
      </w:pPr>
      <w:r>
        <w:rPr>
          <w:rFonts w:ascii="Verdana"/>
          <w:b w:val="false"/>
          <w:i w:val="false"/>
          <w:color w:val="000000"/>
          <w:sz w:val="22"/>
        </w:rPr>
        <w:t>а) Мера СДГ 1– реконструкција и модернизација система за дистрибуцију топлотне енергије даљинског грејања остварује се заменом постојећих старих цеви и изолације предизолованим цевима, заменом арматуре и заменом друге опреме за мерење и регулацију на топловодима. Смањују се губици на одавање топлоте кроз изолацију, а смањује се губици који настају цурењем топле воде из топловода и смањује се потрошње енергената за даљинско грејање. Те мере су спроведене као део Пројекта „Рехабилитација система ДГ у Србији – Фаза IV”, који је су-финансиран од стране KfW банке и Републике Србије. Пројекат се спроводио у 21 ЈЛС у којима је извршена рехабилитација или изградња преко 200 km топловода и замењен магистрални топловод преко моста Газела у Београду.</w:t>
      </w:r>
    </w:p>
    <w:p>
      <w:pPr>
        <w:spacing w:after="150"/>
        <w:ind w:left="0"/>
        <w:jc w:val="left"/>
      </w:pPr>
      <w:r>
        <w:rPr>
          <w:rFonts w:ascii="Verdana"/>
          <w:b w:val="false"/>
          <w:i w:val="false"/>
          <w:color w:val="000000"/>
          <w:sz w:val="22"/>
        </w:rPr>
        <w:t>––––––––</w:t>
      </w:r>
    </w:p>
    <w:p>
      <w:pPr>
        <w:spacing w:after="150"/>
        <w:ind w:left="0"/>
        <w:jc w:val="left"/>
      </w:pPr>
      <w:r>
        <w:rPr>
          <w:rFonts w:ascii="Verdana"/>
          <w:b w:val="false"/>
          <w:i w:val="false"/>
          <w:color w:val="000000"/>
          <w:sz w:val="22"/>
        </w:rPr>
        <w:t>5	Извор: Извештај о раду система даљинског грејања у Републици Србији за 2018. годину, ПУ „Топлане Србије”.</w:t>
      </w:r>
    </w:p>
    <w:p>
      <w:pPr>
        <w:spacing w:after="150"/>
        <w:ind w:left="0"/>
        <w:jc w:val="left"/>
      </w:pPr>
      <w:r>
        <w:rPr>
          <w:rFonts w:ascii="Verdana"/>
          <w:b w:val="false"/>
          <w:i w:val="false"/>
          <w:color w:val="000000"/>
          <w:sz w:val="22"/>
        </w:rPr>
        <w:t>б) Мера СДГ2 односи се на реконструкције и модернизације топлана путем:</w:t>
      </w:r>
    </w:p>
    <w:p>
      <w:pPr>
        <w:spacing w:after="150"/>
        <w:ind w:left="0"/>
        <w:jc w:val="left"/>
      </w:pPr>
      <w:r>
        <w:rPr>
          <w:rFonts w:ascii="Verdana"/>
          <w:b w:val="false"/>
          <w:i w:val="false"/>
          <w:color w:val="000000"/>
          <w:sz w:val="22"/>
        </w:rPr>
        <w:t>– замена котлова, замена горионика,</w:t>
      </w:r>
    </w:p>
    <w:p>
      <w:pPr>
        <w:spacing w:after="150"/>
        <w:ind w:left="0"/>
        <w:jc w:val="left"/>
      </w:pPr>
      <w:r>
        <w:rPr>
          <w:rFonts w:ascii="Verdana"/>
          <w:b w:val="false"/>
          <w:i w:val="false"/>
          <w:color w:val="000000"/>
          <w:sz w:val="22"/>
        </w:rPr>
        <w:t>– реконструкција постојећих котлова, уградња економајзера за коришћење отпадне топлоте из димних гасова,</w:t>
      </w:r>
    </w:p>
    <w:p>
      <w:pPr>
        <w:spacing w:after="150"/>
        <w:ind w:left="0"/>
        <w:jc w:val="left"/>
      </w:pPr>
      <w:r>
        <w:rPr>
          <w:rFonts w:ascii="Verdana"/>
          <w:b w:val="false"/>
          <w:i w:val="false"/>
          <w:color w:val="000000"/>
          <w:sz w:val="22"/>
        </w:rPr>
        <w:t>– побољшање изолације,</w:t>
      </w:r>
    </w:p>
    <w:p>
      <w:pPr>
        <w:spacing w:after="150"/>
        <w:ind w:left="0"/>
        <w:jc w:val="left"/>
      </w:pPr>
      <w:r>
        <w:rPr>
          <w:rFonts w:ascii="Verdana"/>
          <w:b w:val="false"/>
          <w:i w:val="false"/>
          <w:color w:val="000000"/>
          <w:sz w:val="22"/>
        </w:rPr>
        <w:t>– замена запорне арматуре и друге опреме у топланама,</w:t>
      </w:r>
    </w:p>
    <w:p>
      <w:pPr>
        <w:spacing w:after="150"/>
        <w:ind w:left="0"/>
        <w:jc w:val="left"/>
      </w:pPr>
      <w:r>
        <w:rPr>
          <w:rFonts w:ascii="Verdana"/>
          <w:b w:val="false"/>
          <w:i w:val="false"/>
          <w:color w:val="000000"/>
          <w:sz w:val="22"/>
        </w:rPr>
        <w:t>– унапређење опреме за мерење и регулацију (праћење и управљање) и уградњу SCADA система за праћење и управљање радом котлова и горионика. Предузетим мерама смањује се температура димних гасова, цурење топле воде у котловима и одавање топлоте кроз изолацију уз повећање квалитета сагоревања и доводи до смањене потрошње енергената и смањених трошкова рада хемијске припреме воде и осталих погона.</w:t>
      </w:r>
    </w:p>
    <w:p>
      <w:pPr>
        <w:spacing w:after="150"/>
        <w:ind w:left="0"/>
        <w:jc w:val="left"/>
      </w:pPr>
      <w:r>
        <w:rPr>
          <w:rFonts w:ascii="Verdana"/>
          <w:b w:val="false"/>
          <w:i w:val="false"/>
          <w:color w:val="000000"/>
          <w:sz w:val="22"/>
        </w:rPr>
        <w:t>в) Мере СДГ3, СДГ4, и СДГ5 односе се на уградњу опреме за контролу састава (О2, CO, SOx, NOx) и температуре димних гасова, контролу састава и температуре димних гасова и подешавање рада горионика и котлова – континуална регулација сагоревања и реконструкцију горионика и котлова да би могло да се врши континуална регулација сагоревања. Предузетим мерама смањује се температура димних гасова и повећава квалитет сагоревања и доводи до смањене потрошње горива, али нема процене уштеда енергије.</w:t>
      </w:r>
    </w:p>
    <w:p>
      <w:pPr>
        <w:spacing w:after="150"/>
        <w:ind w:left="0"/>
        <w:jc w:val="left"/>
      </w:pPr>
      <w:r>
        <w:rPr>
          <w:rFonts w:ascii="Verdana"/>
          <w:b w:val="false"/>
          <w:i w:val="false"/>
          <w:color w:val="000000"/>
          <w:sz w:val="22"/>
        </w:rPr>
        <w:t>г) Мера СДГ6 односи се на уградњу опреме за надзор и управљање дистрибуцијом топлотне енергије и мерење и обраду оперативних параметара унутар топловодне мреже СДГ. Предузетим мерама смањује се губици у дистрибуцији топлотне енергије. Смањује се потрошње енергената за производњу топлотне енергије.</w:t>
      </w:r>
    </w:p>
    <w:p>
      <w:pPr>
        <w:spacing w:after="150"/>
        <w:ind w:left="0"/>
        <w:jc w:val="left"/>
      </w:pPr>
      <w:r>
        <w:rPr>
          <w:rFonts w:ascii="Verdana"/>
          <w:b w:val="false"/>
          <w:i w:val="false"/>
          <w:color w:val="000000"/>
          <w:sz w:val="22"/>
        </w:rPr>
        <w:t>д) Мера СДГ7 није реализована.</w:t>
      </w:r>
    </w:p>
    <w:p>
      <w:pPr>
        <w:spacing w:after="150"/>
        <w:ind w:left="0"/>
        <w:jc w:val="left"/>
      </w:pPr>
      <w:r>
        <w:rPr>
          <w:rFonts w:ascii="Verdana"/>
          <w:b w:val="false"/>
          <w:i w:val="false"/>
          <w:color w:val="000000"/>
          <w:sz w:val="22"/>
        </w:rPr>
        <w:t>ђ) Мера СДГ8 реализована је у ЈКП „Новосадска топлана” током 2015–2016. године. Извршена је уградња CHP постројења, снаге 10 MW електричне + 10 MW топлоте, коришћењем средстава KfW програма рехабилитације даљинских система грејања у РС, Фаза 4. У августу 2016. године ДТО Нови Сад је стекла статус повлашћеног произвођача електричне енергије за високо ефикасну когенерацију. Вредност инвестиције је 6,5 M€. ЈКП „Београдске електране” су спровеле сличан пројекат, истог капацитета, такође у оквиру поменутог KfW програма, Фаза 4 на локацији ТО Вождовац, који је завршен у априлу 2019. године. ЈКП „Новосадска топлана” изградила је постројење у оквиру ТО Југ, снаге 4 MW електричне + 4 MW топлоте крајем 2019. године; вредност ове инвестиције је око 4 М€ и финансирана је из сопствених средстава. Статус повлашћеног произвођача електричне енергије добијен је у априлу 2020. године.</w:t>
      </w:r>
    </w:p>
    <w:p>
      <w:pPr>
        <w:spacing w:after="150"/>
        <w:ind w:left="0"/>
        <w:jc w:val="left"/>
      </w:pPr>
      <w:r>
        <w:rPr>
          <w:rFonts w:ascii="Verdana"/>
          <w:b w:val="false"/>
          <w:i w:val="false"/>
          <w:color w:val="000000"/>
          <w:sz w:val="22"/>
        </w:rPr>
        <w:t>У оквиру СЕМ Министарство је сакупило једанаест ГИ од пет топлана. На локацијама у ЈКП у Јагодини, Панчеву и Краљеву је поред смањења примарне потрошње дошло и до смањење енергетских индикатора, тако да је укупно измерено смањење потрошње примарне енергије у износу од 1.112,86 toe.</w:t>
      </w:r>
    </w:p>
    <w:p>
      <w:pPr>
        <w:spacing w:after="120"/>
        <w:ind w:left="0"/>
        <w:jc w:val="center"/>
      </w:pPr>
      <w:r>
        <w:rPr>
          <w:rFonts w:ascii="Verdana"/>
          <w:b w:val="false"/>
          <w:i/>
          <w:color w:val="000000"/>
          <w:sz w:val="22"/>
        </w:rPr>
        <w:t>2.2.2. Електро-енергетски сектор</w:t>
      </w:r>
    </w:p>
    <w:p>
      <w:pPr>
        <w:spacing w:after="150"/>
        <w:ind w:left="0"/>
        <w:jc w:val="left"/>
      </w:pPr>
      <w:r>
        <w:rPr>
          <w:rFonts w:ascii="Verdana"/>
          <w:b w:val="false"/>
          <w:i w:val="false"/>
          <w:color w:val="000000"/>
          <w:sz w:val="22"/>
        </w:rPr>
        <w:t>Табела 8. Преглед појединачних мера у Електроенергетском систему</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88"/>
        <w:gridCol w:w="7446"/>
        <w:gridCol w:w="2602"/>
        <w:gridCol w:w="3564"/>
      </w:tblGrid>
      <w:tr>
        <w:trPr>
          <w:trHeight w:val="45" w:hRule="atLeast"/>
        </w:trPr>
        <w:tc>
          <w:tcPr>
            <w:tcW w:w="7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7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2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Планиране уштеде из 3. АПЕЕ</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2018. години</w:t>
            </w:r>
          </w:p>
        </w:tc>
      </w:tr>
      <w:tr>
        <w:trPr>
          <w:trHeight w:val="45" w:hRule="atLeast"/>
        </w:trPr>
        <w:tc>
          <w:tcPr>
            <w:tcW w:w="788" w:type="dxa"/>
            <w:tcBorders>
              <w:top w:val="single" w:color="000000" w:sz="8"/>
              <w:left w:val="single" w:color="000000" w:sz="8"/>
              <w:bottom w:val="single" w:color="000000" w:sz="8"/>
              <w:right w:val="single" w:color="000000" w:sz="8"/>
            </w:tcBorders>
            <w:vAlign w:val="center"/>
          </w:tcPr>
          <w:p/>
        </w:tc>
        <w:tc>
          <w:tcPr>
            <w:tcW w:w="7446" w:type="dxa"/>
            <w:tcBorders>
              <w:top w:val="single" w:color="000000" w:sz="8"/>
              <w:left w:val="single" w:color="000000" w:sz="8"/>
              <w:bottom w:val="single" w:color="000000" w:sz="8"/>
              <w:right w:val="single" w:color="000000" w:sz="8"/>
            </w:tcBorders>
            <w:vAlign w:val="center"/>
          </w:tcPr>
          <w:p/>
        </w:tc>
        <w:tc>
          <w:tcPr>
            <w:tcW w:w="2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(ktoe)</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(ktoe)</w:t>
            </w:r>
          </w:p>
        </w:tc>
      </w:tr>
      <w:tr>
        <w:trPr>
          <w:trHeight w:val="45" w:hRule="atLeast"/>
        </w:trPr>
        <w:tc>
          <w:tcPr>
            <w:tcW w:w="7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Е1</w:t>
            </w:r>
          </w:p>
        </w:tc>
        <w:tc>
          <w:tcPr>
            <w:tcW w:w="7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ефикасности котлова</w:t>
            </w:r>
          </w:p>
        </w:tc>
        <w:tc>
          <w:tcPr>
            <w:tcW w:w="2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37,2</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69</w:t>
            </w:r>
          </w:p>
        </w:tc>
      </w:tr>
      <w:tr>
        <w:trPr>
          <w:trHeight w:val="45" w:hRule="atLeast"/>
        </w:trPr>
        <w:tc>
          <w:tcPr>
            <w:tcW w:w="7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Е2</w:t>
            </w:r>
          </w:p>
        </w:tc>
        <w:tc>
          <w:tcPr>
            <w:tcW w:w="7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 управљања квалитетом угља</w:t>
            </w:r>
          </w:p>
        </w:tc>
        <w:tc>
          <w:tcPr>
            <w:tcW w:w="2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10,7</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7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Е3</w:t>
            </w:r>
          </w:p>
        </w:tc>
        <w:tc>
          <w:tcPr>
            <w:tcW w:w="7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ефикасности парних турбина</w:t>
            </w:r>
          </w:p>
        </w:tc>
        <w:tc>
          <w:tcPr>
            <w:tcW w:w="2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16,2</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75</w:t>
            </w:r>
          </w:p>
        </w:tc>
      </w:tr>
      <w:tr>
        <w:trPr>
          <w:trHeight w:val="45" w:hRule="atLeast"/>
        </w:trPr>
        <w:tc>
          <w:tcPr>
            <w:tcW w:w="7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Е4</w:t>
            </w:r>
          </w:p>
        </w:tc>
        <w:tc>
          <w:tcPr>
            <w:tcW w:w="7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Смањење сопствене потрошње енергије у термоелектранама</w:t>
            </w:r>
          </w:p>
        </w:tc>
        <w:tc>
          <w:tcPr>
            <w:tcW w:w="2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7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Е5</w:t>
            </w:r>
          </w:p>
        </w:tc>
        <w:tc>
          <w:tcPr>
            <w:tcW w:w="7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Реконфигурација дистрибутивне мреже</w:t>
            </w:r>
          </w:p>
        </w:tc>
        <w:tc>
          <w:tcPr>
            <w:tcW w:w="2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0,35</w:t>
            </w:r>
          </w:p>
        </w:tc>
      </w:tr>
      <w:tr>
        <w:trPr>
          <w:trHeight w:val="45" w:hRule="atLeast"/>
        </w:trPr>
        <w:tc>
          <w:tcPr>
            <w:tcW w:w="7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Е6</w:t>
            </w:r>
          </w:p>
        </w:tc>
        <w:tc>
          <w:tcPr>
            <w:tcW w:w="7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Регулација напона дистрибутивне мреже</w:t>
            </w:r>
          </w:p>
        </w:tc>
        <w:tc>
          <w:tcPr>
            <w:tcW w:w="2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w:t>
            </w:r>
          </w:p>
        </w:tc>
      </w:tr>
      <w:tr>
        <w:trPr>
          <w:trHeight w:val="45" w:hRule="atLeast"/>
        </w:trPr>
        <w:tc>
          <w:tcPr>
            <w:tcW w:w="7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Е7</w:t>
            </w:r>
          </w:p>
        </w:tc>
        <w:tc>
          <w:tcPr>
            <w:tcW w:w="7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Појачање дистрибутивне мреже</w:t>
            </w:r>
          </w:p>
        </w:tc>
        <w:tc>
          <w:tcPr>
            <w:tcW w:w="2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7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Е8</w:t>
            </w:r>
          </w:p>
        </w:tc>
        <w:tc>
          <w:tcPr>
            <w:tcW w:w="7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Уградња паметних бројила</w:t>
            </w:r>
          </w:p>
        </w:tc>
        <w:tc>
          <w:tcPr>
            <w:tcW w:w="2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19,1</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7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Е9</w:t>
            </w:r>
          </w:p>
        </w:tc>
        <w:tc>
          <w:tcPr>
            <w:tcW w:w="7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Минимални захтеви EE за нова и реконструисана постројења за производњу топлотне и електричне енергије или </w:t>
            </w:r>
            <w:r>
              <w:rPr>
                <w:rFonts w:ascii="Verdana"/>
                <w:b w:val="false"/>
                <w:i/>
                <w:color w:val="000000"/>
                <w:sz w:val="22"/>
              </w:rPr>
              <w:t>CHP</w:t>
            </w:r>
            <w:r>
              <w:rPr>
                <w:rFonts w:ascii="Verdana"/>
                <w:b w:val="false"/>
                <w:i w:val="false"/>
                <w:color w:val="000000"/>
                <w:sz w:val="22"/>
              </w:rPr>
              <w:t xml:space="preserve"> постројења</w:t>
            </w:r>
          </w:p>
        </w:tc>
        <w:tc>
          <w:tcPr>
            <w:tcW w:w="2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788" w:type="dxa"/>
            <w:tcBorders>
              <w:top w:val="single" w:color="000000" w:sz="8"/>
              <w:left w:val="single" w:color="000000" w:sz="8"/>
              <w:bottom w:val="single" w:color="000000" w:sz="8"/>
              <w:right w:val="single" w:color="000000" w:sz="8"/>
            </w:tcBorders>
            <w:vAlign w:val="center"/>
          </w:tcPr>
          <w:p/>
        </w:tc>
        <w:tc>
          <w:tcPr>
            <w:tcW w:w="7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w:t>
            </w:r>
          </w:p>
        </w:tc>
        <w:tc>
          <w:tcPr>
            <w:tcW w:w="2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102,2</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146</w:t>
            </w:r>
          </w:p>
        </w:tc>
      </w:tr>
    </w:tbl>
    <w:p>
      <w:pPr>
        <w:spacing w:after="150"/>
        <w:ind w:left="0"/>
        <w:jc w:val="left"/>
      </w:pPr>
      <w:r>
        <w:rPr>
          <w:rFonts w:ascii="Verdana"/>
          <w:b w:val="false"/>
          <w:i w:val="false"/>
          <w:color w:val="000000"/>
          <w:sz w:val="22"/>
        </w:rPr>
        <w:t xml:space="preserve">а) Мера E1 </w:t>
      </w:r>
      <w:r>
        <w:rPr>
          <w:rFonts w:ascii="Verdana"/>
          <w:b w:val="false"/>
          <w:i w:val="false"/>
          <w:color w:val="000000"/>
          <w:sz w:val="22"/>
        </w:rPr>
        <w:t>– Котловска постројења у блоковима термоелектрана у ЕПС су већином старија од 30 година. Смањен је степен корисности и поузданост блока. Текућим одржавањем, годишњим ремонтнима, адаптацијама и санацијама постиже се повећање степена корисности котловских постројења за 1,5% у односу на стање пре ремонта. Реконструкцијом котловских постројења уз примену нових технологија би се постигло: повећање степена корисности котловских постројења за 1÷1,5% (процентних поена) у односу на пројектовани степен корисности и смањење потрошње угља – лигнита за производњу електричне енергије. Зато је неопходно извршити капиталне ремонте котловских постројења, да би се садашње стање котловских постројења унапредило до пројектних вредности.</w:t>
      </w:r>
    </w:p>
    <w:p>
      <w:pPr>
        <w:spacing w:after="150"/>
        <w:ind w:left="0"/>
        <w:jc w:val="left"/>
      </w:pPr>
      <w:r>
        <w:rPr>
          <w:rFonts w:ascii="Verdana"/>
          <w:b w:val="false"/>
          <w:i w:val="false"/>
          <w:color w:val="000000"/>
          <w:sz w:val="22"/>
        </w:rPr>
        <w:t xml:space="preserve">б) Мера Е2 </w:t>
      </w:r>
      <w:r>
        <w:rPr>
          <w:rFonts w:ascii="Verdana"/>
          <w:b/>
          <w:i w:val="false"/>
          <w:color w:val="000000"/>
          <w:sz w:val="22"/>
        </w:rPr>
        <w:t>–</w:t>
      </w:r>
      <w:r>
        <w:rPr>
          <w:rFonts w:ascii="Verdana"/>
          <w:b w:val="false"/>
          <w:i w:val="false"/>
          <w:color w:val="000000"/>
          <w:sz w:val="22"/>
        </w:rPr>
        <w:t xml:space="preserve"> Мера није реализована до краја.</w:t>
      </w:r>
    </w:p>
    <w:p>
      <w:pPr>
        <w:spacing w:after="150"/>
        <w:ind w:left="0"/>
        <w:jc w:val="left"/>
      </w:pPr>
      <w:r>
        <w:rPr>
          <w:rFonts w:ascii="Verdana"/>
          <w:b w:val="false"/>
          <w:i w:val="false"/>
          <w:color w:val="000000"/>
          <w:sz w:val="22"/>
        </w:rPr>
        <w:t>в) Мера Е3 односи се на унапређење ефикасности парних турбина. Циљ је смањење бруто специфичне потрошње топлоте за 80÷100 kJ/kWh. Спровођењем активности у годишњим ремонтима постиже се повећање степена корисности турбинских постројења за 1% у односу на стање пре ремонта. При прорачуну уштеде полази се од претпоставке да је просечно унапређење ефикасности TA постројења 0,5%.</w:t>
      </w:r>
    </w:p>
    <w:p>
      <w:pPr>
        <w:spacing w:after="150"/>
        <w:ind w:left="0"/>
        <w:jc w:val="left"/>
      </w:pPr>
      <w:r>
        <w:rPr>
          <w:rFonts w:ascii="Verdana"/>
          <w:b w:val="false"/>
          <w:i w:val="false"/>
          <w:color w:val="000000"/>
          <w:sz w:val="22"/>
        </w:rPr>
        <w:t xml:space="preserve">г) Мера Е4 </w:t>
      </w:r>
      <w:r>
        <w:rPr>
          <w:rFonts w:ascii="Verdana"/>
          <w:b/>
          <w:i w:val="false"/>
          <w:color w:val="000000"/>
          <w:sz w:val="22"/>
        </w:rPr>
        <w:t>–</w:t>
      </w:r>
      <w:r>
        <w:rPr>
          <w:rFonts w:ascii="Verdana"/>
          <w:b w:val="false"/>
          <w:i w:val="false"/>
          <w:color w:val="000000"/>
          <w:sz w:val="22"/>
        </w:rPr>
        <w:t xml:space="preserve"> Технолошки процеси у термоелектранама „учествују” у сопственoj потрошњу енергије блока са око 5,8–12% бруто произведене електричне енергије. Применом савремених технологија и оптимизацијом рада великих потрошача сопствена потрошња енергије у блоковима термоелектрана ЕПС може се у знатној мери смањити. Са друге стране очекује се повећање сопствене потрошње блокова услед изградње нових постројења са циљем заштите животне средине, нпр: постројења за одсумпоравање димних гасова, постројења за пречишћавање отпадних вода, постројења за угушћени транспорт пепела и привремених одлагалишта отпада у кругу ТЕ.</w:t>
      </w:r>
    </w:p>
    <w:p>
      <w:pPr>
        <w:spacing w:after="150"/>
        <w:ind w:left="0"/>
        <w:jc w:val="left"/>
      </w:pPr>
      <w:r>
        <w:rPr>
          <w:rFonts w:ascii="Verdana"/>
          <w:b w:val="false"/>
          <w:i w:val="false"/>
          <w:color w:val="000000"/>
          <w:sz w:val="22"/>
        </w:rPr>
        <w:t xml:space="preserve">д) Мера Е5 </w:t>
      </w:r>
      <w:r>
        <w:rPr>
          <w:rFonts w:ascii="Verdana"/>
          <w:b/>
          <w:i w:val="false"/>
          <w:color w:val="000000"/>
          <w:sz w:val="22"/>
        </w:rPr>
        <w:t>–</w:t>
      </w:r>
      <w:r>
        <w:rPr>
          <w:rFonts w:ascii="Verdana"/>
          <w:b w:val="false"/>
          <w:i w:val="false"/>
          <w:color w:val="000000"/>
          <w:sz w:val="22"/>
        </w:rPr>
        <w:t xml:space="preserve"> Реконфигурација дистрибутивне мреже реализује се променом уклопног стања мреже. Мера резултује смањењем губитака енергије, повећањем капацитет система и могућношћу одлагања или елиминације капиталних издатака за побољшање система и проширење. Реконфигурација дистрибутивне мреже је перманентна активност коју спроводе центри управљања у оквиру Дирекције за управљање ДЕЕС, у циљу балансирања оптерећења енергетских трансформатора у ДЕЕС, као и оптималног оптерећења водова, било да се ради о нормалним или поремећеним режимима рада.</w:t>
      </w:r>
    </w:p>
    <w:p>
      <w:pPr>
        <w:spacing w:after="150"/>
        <w:ind w:left="0"/>
        <w:jc w:val="left"/>
      </w:pPr>
      <w:r>
        <w:rPr>
          <w:rFonts w:ascii="Verdana"/>
          <w:b w:val="false"/>
          <w:i w:val="false"/>
          <w:color w:val="000000"/>
          <w:sz w:val="22"/>
        </w:rPr>
        <w:t xml:space="preserve">ђ) Мера Е6 </w:t>
      </w:r>
      <w:r>
        <w:rPr>
          <w:rFonts w:ascii="Verdana"/>
          <w:b/>
          <w:i w:val="false"/>
          <w:color w:val="000000"/>
          <w:sz w:val="22"/>
        </w:rPr>
        <w:t>–</w:t>
      </w:r>
      <w:r>
        <w:rPr>
          <w:rFonts w:ascii="Verdana"/>
          <w:b w:val="false"/>
          <w:i w:val="false"/>
          <w:color w:val="000000"/>
          <w:sz w:val="22"/>
        </w:rPr>
        <w:t xml:space="preserve"> Конзервативна регулација напона (CVR) мора постићи циљ минимализовања губитака енергије док се одржавају прихватљиви профили напона на дистрибутивним фидерима. Регулација напона дистрибутивне мреже је перманентна активност коју спроводе центри управљања у оквиру Дирекције за управљање ДЕЕС, а у циљу обезбеђивања оптималног рада дистрибутивног електроенергетског система у целини. Регулација напона дистрибутивне мреже (E6) се спроводи у координацији са мером реконфигурације дистрибутивне мреже (E5), па је стога те мере веома тешко одвојити, а самим тим и уштеде које се њиховом применом остварују.</w:t>
      </w:r>
    </w:p>
    <w:p>
      <w:pPr>
        <w:spacing w:after="150"/>
        <w:ind w:left="0"/>
        <w:jc w:val="left"/>
      </w:pPr>
      <w:r>
        <w:rPr>
          <w:rFonts w:ascii="Verdana"/>
          <w:b w:val="false"/>
          <w:i w:val="false"/>
          <w:color w:val="000000"/>
          <w:sz w:val="22"/>
        </w:rPr>
        <w:t>е) Мера E7 – Појачање дистрибутивне мреже, није реализована (појачања дистрибутивне мреже у циљу смањење губитака). Оператор дистрибутивног система (ОДС) није имао могућности да спроведе мере зато што је у протеклом периоду био лимитиран у погледу инвестиционих улагања. Цена приступа дистрибутивном систему се није мењала четири године, а затим и ограничењима која су наметнута од стране матичног предузећа, тако да се морало приоритетно улагати у пројекте од значаја за Републику Србију, затим у пројекте којима се ревитализују постојећи електро енергетски објекти (ЕЕО) због своје дотрајалости, као и пројекте који омогућавају коришћење ДЕЕС новим корисницима система у деловима система у којима постоје загушења или мрежа није довољно развијена.</w:t>
      </w:r>
    </w:p>
    <w:p>
      <w:pPr>
        <w:spacing w:after="150"/>
        <w:ind w:left="0"/>
        <w:jc w:val="left"/>
      </w:pPr>
      <w:r>
        <w:rPr>
          <w:rFonts w:ascii="Verdana"/>
          <w:b w:val="false"/>
          <w:i w:val="false"/>
          <w:color w:val="000000"/>
          <w:sz w:val="22"/>
        </w:rPr>
        <w:t xml:space="preserve">ж) Мера Е8 </w:t>
      </w:r>
      <w:r>
        <w:rPr>
          <w:rFonts w:ascii="Verdana"/>
          <w:b/>
          <w:i w:val="false"/>
          <w:color w:val="000000"/>
          <w:sz w:val="22"/>
        </w:rPr>
        <w:t>–</w:t>
      </w:r>
      <w:r>
        <w:rPr>
          <w:rFonts w:ascii="Verdana"/>
          <w:b w:val="false"/>
          <w:i w:val="false"/>
          <w:color w:val="000000"/>
          <w:sz w:val="22"/>
        </w:rPr>
        <w:t xml:space="preserve"> Уштеде енергије нису могле бити процењене. У извештајном периоду од 2016. до 2018. године на конзуму ЕПС Дистрибуције је инсталиран следећи број „паметних” бројила: монофазних бројила 30.000 комада, трофазних бројила 105.000 комада, директне мерне групе 6.500 комада, полуиндиректне мерне групе 3940 комада, индиректне мерне групе 1.820 комада.</w:t>
      </w:r>
    </w:p>
    <w:p>
      <w:pPr>
        <w:spacing w:after="150"/>
        <w:ind w:left="0"/>
        <w:jc w:val="left"/>
      </w:pPr>
      <w:r>
        <w:rPr>
          <w:rFonts w:ascii="Verdana"/>
          <w:b w:val="false"/>
          <w:i w:val="false"/>
          <w:color w:val="000000"/>
          <w:sz w:val="22"/>
        </w:rPr>
        <w:t>з) Код мере Е9 уштеде енергије нису процењене.</w:t>
      </w:r>
    </w:p>
    <w:p>
      <w:pPr>
        <w:spacing w:after="150"/>
        <w:ind w:left="0"/>
        <w:jc w:val="left"/>
      </w:pPr>
      <w:r>
        <w:rPr>
          <w:rFonts w:ascii="Verdana"/>
          <w:b w:val="false"/>
          <w:i w:val="false"/>
          <w:color w:val="000000"/>
          <w:sz w:val="22"/>
        </w:rPr>
        <w:t>Посебно место заузима мера која није наведена у табели техничких мера – системска регулаторна мера увођења СЕМ у Електропривреду Србије. Само на основу те мере пријављене су уштеде у примарној енергији од 191 ktoe. Да се измерена уштеда пријављена у оквиру достављених годишњих извештаја не би двоструко рачунала и кроз спроведене техничке мере она није приказана као посебна у Табели 8.</w:t>
      </w:r>
    </w:p>
    <w:p>
      <w:pPr>
        <w:spacing w:after="120"/>
        <w:ind w:left="0"/>
        <w:jc w:val="center"/>
      </w:pPr>
      <w:r>
        <w:rPr>
          <w:rFonts w:ascii="Verdana"/>
          <w:b/>
          <w:i w:val="false"/>
          <w:color w:val="000000"/>
          <w:sz w:val="22"/>
        </w:rPr>
        <w:t>2.3. Национални циљ енергетске ефикасности који је био постављен за 2020. годину</w:t>
      </w:r>
    </w:p>
    <w:p>
      <w:pPr>
        <w:spacing w:after="150"/>
        <w:ind w:left="0"/>
        <w:jc w:val="left"/>
      </w:pPr>
      <w:r>
        <w:rPr>
          <w:rFonts w:ascii="Verdana"/>
          <w:b w:val="false"/>
          <w:i w:val="false"/>
          <w:color w:val="000000"/>
          <w:sz w:val="22"/>
        </w:rPr>
        <w:t xml:space="preserve">Директивом ЕЕД Европска унија утврдила је заједнички циљ за државе чланице, да потрошња енергије у ЕУ у 2020. години не сме бити већа од 1474 милиона toe примарне енергије, односно, 1078 милиона toe финалне енергије. Приликом постављања циља, коришћен је програму </w:t>
      </w:r>
      <w:r>
        <w:rPr>
          <w:rFonts w:ascii="Verdana"/>
          <w:b w:val="false"/>
          <w:i/>
          <w:color w:val="000000"/>
          <w:sz w:val="22"/>
        </w:rPr>
        <w:t>PRIMES</w:t>
      </w:r>
      <w:r>
        <w:rPr>
          <w:rFonts w:ascii="Verdana"/>
          <w:b w:val="false"/>
          <w:i w:val="false"/>
          <w:color w:val="000000"/>
          <w:sz w:val="22"/>
        </w:rPr>
        <w:t xml:space="preserve"> за одређивање пројекције кретања будуће енергетске потрошње без мера ЕЕ, и у односу на такав сценарио развоја постављен је циљ смањења потрошње од 20% у 2020. години.</w:t>
      </w:r>
    </w:p>
    <w:p>
      <w:pPr>
        <w:spacing w:after="150"/>
        <w:ind w:left="0"/>
        <w:jc w:val="left"/>
      </w:pPr>
      <w:r>
        <w:rPr>
          <w:rFonts w:ascii="Verdana"/>
          <w:b w:val="false"/>
          <w:i w:val="false"/>
          <w:color w:val="000000"/>
          <w:sz w:val="22"/>
        </w:rPr>
        <w:t>Табела 9. Процене енергетске производње и потрошње за 2020. годину</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925"/>
        <w:gridCol w:w="7475"/>
      </w:tblGrid>
      <w:tr>
        <w:trPr>
          <w:trHeight w:val="45" w:hRule="atLeast"/>
        </w:trPr>
        <w:tc>
          <w:tcPr>
            <w:tcW w:w="69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Процена потрошње енергије у 2020.</w:t>
            </w:r>
          </w:p>
        </w:tc>
        <w:tc>
          <w:tcPr>
            <w:tcW w:w="74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Јединица</w:t>
            </w:r>
          </w:p>
          <w:p>
            <w:pPr>
              <w:spacing w:after="150"/>
              <w:ind w:left="0"/>
              <w:jc w:val="left"/>
            </w:pPr>
            <w:r>
              <w:rPr>
                <w:rFonts w:ascii="Verdana"/>
                <w:b w:val="false"/>
                <w:i w:val="false"/>
                <w:color w:val="000000"/>
                <w:sz w:val="22"/>
              </w:rPr>
              <w:t>(ktoe)</w:t>
            </w:r>
          </w:p>
        </w:tc>
      </w:tr>
      <w:tr>
        <w:trPr>
          <w:trHeight w:val="45" w:hRule="atLeast"/>
        </w:trPr>
        <w:tc>
          <w:tcPr>
            <w:tcW w:w="69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Укупна примарна енергија за потрошњу у 2020.</w:t>
            </w:r>
          </w:p>
        </w:tc>
        <w:tc>
          <w:tcPr>
            <w:tcW w:w="74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14.614,871</w:t>
            </w:r>
          </w:p>
        </w:tc>
      </w:tr>
      <w:tr>
        <w:trPr>
          <w:trHeight w:val="45" w:hRule="atLeast"/>
        </w:trPr>
        <w:tc>
          <w:tcPr>
            <w:tcW w:w="69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по гориву за производњу електричне енергије (главна активност је производња електричне енергије)</w:t>
            </w:r>
          </w:p>
        </w:tc>
        <w:tc>
          <w:tcPr>
            <w:tcW w:w="74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4632,294</w:t>
            </w:r>
          </w:p>
        </w:tc>
      </w:tr>
      <w:tr>
        <w:trPr>
          <w:trHeight w:val="45" w:hRule="atLeast"/>
        </w:trPr>
        <w:tc>
          <w:tcPr>
            <w:tcW w:w="69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Бруто производња електричне енергије (главна активност је производња електричне енергије)</w:t>
            </w:r>
          </w:p>
        </w:tc>
        <w:tc>
          <w:tcPr>
            <w:tcW w:w="74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1671,138</w:t>
            </w:r>
          </w:p>
        </w:tc>
      </w:tr>
      <w:tr>
        <w:trPr>
          <w:trHeight w:val="45" w:hRule="atLeast"/>
        </w:trPr>
        <w:tc>
          <w:tcPr>
            <w:tcW w:w="69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по гориву за производњу електричне енергије за CHP постројења</w:t>
            </w:r>
          </w:p>
        </w:tc>
        <w:tc>
          <w:tcPr>
            <w:tcW w:w="74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1814,352</w:t>
            </w:r>
          </w:p>
        </w:tc>
      </w:tr>
      <w:tr>
        <w:trPr>
          <w:trHeight w:val="45" w:hRule="atLeast"/>
        </w:trPr>
        <w:tc>
          <w:tcPr>
            <w:tcW w:w="69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Бруто производња топлотне енергије за CHP постројења</w:t>
            </w:r>
          </w:p>
        </w:tc>
        <w:tc>
          <w:tcPr>
            <w:tcW w:w="74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213,586</w:t>
            </w:r>
          </w:p>
        </w:tc>
      </w:tr>
      <w:tr>
        <w:trPr>
          <w:trHeight w:val="45" w:hRule="atLeast"/>
        </w:trPr>
        <w:tc>
          <w:tcPr>
            <w:tcW w:w="69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Бруто производња електричне енергије за CHP постројења</w:t>
            </w:r>
          </w:p>
        </w:tc>
        <w:tc>
          <w:tcPr>
            <w:tcW w:w="74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556,692</w:t>
            </w:r>
          </w:p>
        </w:tc>
      </w:tr>
      <w:tr>
        <w:trPr>
          <w:trHeight w:val="45" w:hRule="atLeast"/>
        </w:trPr>
        <w:tc>
          <w:tcPr>
            <w:tcW w:w="69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Губици при дистрибуцији</w:t>
            </w:r>
          </w:p>
        </w:tc>
        <w:tc>
          <w:tcPr>
            <w:tcW w:w="74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317,965</w:t>
            </w:r>
          </w:p>
        </w:tc>
      </w:tr>
      <w:tr>
        <w:trPr>
          <w:trHeight w:val="45" w:hRule="atLeast"/>
        </w:trPr>
        <w:tc>
          <w:tcPr>
            <w:tcW w:w="69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Укупна финална потрошња енергије</w:t>
            </w:r>
          </w:p>
        </w:tc>
        <w:tc>
          <w:tcPr>
            <w:tcW w:w="74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9057,181</w:t>
            </w:r>
          </w:p>
        </w:tc>
      </w:tr>
      <w:tr>
        <w:trPr>
          <w:trHeight w:val="45" w:hRule="atLeast"/>
        </w:trPr>
        <w:tc>
          <w:tcPr>
            <w:tcW w:w="69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Финална потрошња енергије – Индустрија</w:t>
            </w:r>
          </w:p>
        </w:tc>
        <w:tc>
          <w:tcPr>
            <w:tcW w:w="74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2446,649</w:t>
            </w:r>
          </w:p>
        </w:tc>
      </w:tr>
      <w:tr>
        <w:trPr>
          <w:trHeight w:val="45" w:hRule="atLeast"/>
        </w:trPr>
        <w:tc>
          <w:tcPr>
            <w:tcW w:w="69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Финална потрошња енергије – Саобраћај</w:t>
            </w:r>
          </w:p>
        </w:tc>
        <w:tc>
          <w:tcPr>
            <w:tcW w:w="74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2224,661</w:t>
            </w:r>
          </w:p>
        </w:tc>
      </w:tr>
      <w:tr>
        <w:trPr>
          <w:trHeight w:val="45" w:hRule="atLeast"/>
        </w:trPr>
        <w:tc>
          <w:tcPr>
            <w:tcW w:w="69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Финална потрошња енергије – Домаћинства</w:t>
            </w:r>
          </w:p>
        </w:tc>
        <w:tc>
          <w:tcPr>
            <w:tcW w:w="74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2778,026</w:t>
            </w:r>
          </w:p>
        </w:tc>
      </w:tr>
      <w:tr>
        <w:trPr>
          <w:trHeight w:val="45" w:hRule="atLeast"/>
        </w:trPr>
        <w:tc>
          <w:tcPr>
            <w:tcW w:w="69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Финална потрошња енергије – Јавно комерцијални сектор</w:t>
            </w:r>
          </w:p>
        </w:tc>
        <w:tc>
          <w:tcPr>
            <w:tcW w:w="74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821,394</w:t>
            </w:r>
          </w:p>
        </w:tc>
      </w:tr>
      <w:tr>
        <w:trPr>
          <w:trHeight w:val="45" w:hRule="atLeast"/>
        </w:trPr>
        <w:tc>
          <w:tcPr>
            <w:tcW w:w="69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Финална потрошња енергије – Пољопривреда и шумарство</w:t>
            </w:r>
          </w:p>
        </w:tc>
        <w:tc>
          <w:tcPr>
            <w:tcW w:w="74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186,480</w:t>
            </w:r>
          </w:p>
        </w:tc>
      </w:tr>
    </w:tbl>
    <w:p>
      <w:pPr>
        <w:spacing w:after="150"/>
        <w:ind w:left="0"/>
        <w:jc w:val="left"/>
      </w:pPr>
      <w:r>
        <w:rPr>
          <w:rFonts w:ascii="Verdana"/>
          <w:b w:val="false"/>
          <w:i w:val="false"/>
          <w:color w:val="000000"/>
          <w:sz w:val="22"/>
        </w:rPr>
        <w:t>За поједине државе чланице Европске уније појединачни циљеви нису дефинисани у ЕЕД, већ је државама препоручено да преиспитају своје националне циљеве да би се уклопиле у заједнички циљ.</w:t>
      </w:r>
    </w:p>
    <w:p>
      <w:pPr>
        <w:spacing w:after="150"/>
        <w:ind w:left="0"/>
        <w:jc w:val="left"/>
      </w:pPr>
      <w:r>
        <w:rPr>
          <w:rFonts w:ascii="Verdana"/>
          <w:b w:val="false"/>
          <w:i w:val="false"/>
          <w:color w:val="000000"/>
          <w:sz w:val="22"/>
        </w:rPr>
        <w:t>Као део имплементације поменуте директиве на нивоу потписница Уговора о оснивању Енергетске заједнице дефинисан је циљ да потрошња енергије не сме бити већа од 187 милиона toe примарне енергије, односно, 133 милиона toe финалне енергије, чиме би се постигао циљ енергетске ефикасности од 20% на нивоу ЕЗ до 2020. године. Од уговорних страна се тражило да поставе своје индикативне националне циљеве енергетске ефикасности и одреде пут ка њиховом остварењу кроз своје акционе планове за енергетску ефикасност. Иницијално „спровођење” дистрибуције циљева за 2020. годину на националном нивоу понудио је Секретаријат Енергетске заједнице како би подржао уговорне стране и поједноставио процес праћења и одржавања потрошње испод горње границе.</w:t>
      </w:r>
    </w:p>
    <w:p>
      <w:pPr>
        <w:spacing w:after="150"/>
        <w:ind w:left="0"/>
        <w:jc w:val="left"/>
      </w:pPr>
      <w:r>
        <w:rPr>
          <w:rFonts w:ascii="Verdana"/>
          <w:b w:val="false"/>
          <w:i w:val="false"/>
          <w:color w:val="000000"/>
          <w:sz w:val="22"/>
        </w:rPr>
        <w:t>Сходно овом циљу, и истој примењеној методологији, постављен је индикативни циљ за Републику Србију за 2020. годину који је дефинисао да потрошња примарне енергије не би требало да пређе 17,981 милиона toe примарне енергије, а потрошња финалне енергије за енергетске сврхе 13,103 милиона toe. Циљ за Републику Србију утврђен је 2017. године у ПОС-у.</w:t>
      </w:r>
    </w:p>
    <w:p>
      <w:pPr>
        <w:spacing w:after="150"/>
        <w:ind w:left="0"/>
        <w:jc w:val="left"/>
      </w:pPr>
      <w:r>
        <w:rPr>
          <w:rFonts w:ascii="Verdana"/>
          <w:b w:val="false"/>
          <w:i w:val="false"/>
          <w:color w:val="000000"/>
          <w:sz w:val="22"/>
        </w:rPr>
        <w:t>Циљ за 2021. годину је да се задржи исти максимални ниво потрошње примарне тј. финалне енергије који је дефинисан за 2020. годину, другим речима да потрошња не буде већа од 17,981 милиона toe тј. 13,103 милиона toe респективно.</w:t>
      </w:r>
    </w:p>
    <w:p>
      <w:pPr>
        <w:spacing w:after="150"/>
        <w:ind w:left="0"/>
        <w:jc w:val="left"/>
      </w:pPr>
      <w:r>
        <w:rPr>
          <w:rFonts w:ascii="Verdana"/>
          <w:b w:val="false"/>
          <w:i w:val="false"/>
          <w:color w:val="000000"/>
          <w:sz w:val="22"/>
        </w:rPr>
        <w:t>На основу резултата пројекта ИПА 13 „Развој капацитета за енергетско планирање у Републици Србији” и незваничних процена резултата различитих сценарија о пројектованој потрошњи енергије у 2020. години, којима МРЕ располаже, може се закључити да ће потрошња и финалне и примарне енергије задовољити услове дате кроз максималне дозвољене вредности потрошње – „cap consumption”, тј., да ће Република Србија испунити постављени циљ.</w:t>
      </w:r>
    </w:p>
    <w:p>
      <w:pPr>
        <w:spacing w:after="120"/>
        <w:ind w:left="0"/>
        <w:jc w:val="center"/>
      </w:pPr>
      <w:r>
        <w:rPr>
          <w:rFonts w:ascii="Verdana"/>
          <w:b/>
          <w:i w:val="false"/>
          <w:color w:val="000000"/>
          <w:sz w:val="22"/>
        </w:rPr>
        <w:t>2.4. Додатни циљеви за енергетску ефикасност</w:t>
      </w:r>
    </w:p>
    <w:p>
      <w:pPr>
        <w:spacing w:after="150"/>
        <w:ind w:left="0"/>
        <w:jc w:val="left"/>
      </w:pPr>
      <w:r>
        <w:rPr>
          <w:rFonts w:ascii="Verdana"/>
          <w:b w:val="false"/>
          <w:i w:val="false"/>
          <w:color w:val="000000"/>
          <w:sz w:val="22"/>
        </w:rPr>
        <w:t>Законом о ефикасном коришћењу енергије, уведен је, а Законом о енергетској ефикасности и рационалној употреби енергије, чл. 10–34. даље се развија Систем енергетског менаџмента. У ЗЕЕРУЕ су дефинисани обвезници Система енергетског менаџмента (у даљем тексту: обвезници система), у које спадају: велики потрошачи енергије (привредна друштва и јавна предузећа) из производног сектора и сектора трговине и услуга који користе више енергије од количине коју пропише Влада, ЈЛС и градске општине са преко 20.000 становника, као и органи државне управе, други органи Републике Србије, органи аутономне покрајине и организације за обавезно социјално осигурање, као и установе у јавној својини. Према закону, Влада, на предлог Министарства утврђује годишње планиране циљеве уштеда енергије за обвезнике система. У складу с тим, на основу Закона о ЕКЕ, донета је Уредба о утврђивању граничних вредности годишње потрошње енергије на основу којих се одређује која привредна друштва су обвезници система енергетског менаџмента, годишњих циљева уштеде енергије и обрасца пријаве о оствареној потрошњи енергије („Службени гласник РС”, број 18/16). Уредбом је формулисан годишњи циљ уштеде за обвезнике система на нивоу од 1% у односу на потрошњу енергије коју су остварили у претходној години. ЗЕЕРУЕ за обвезнике система дефинише и обавезу доношења програма и планова енергетске ефикасности у којима, у складу са циљевима које прописује Влада, планирају мере за унапређење енергетске ефикасности о чијој реализацији, као и о оствареним уштедама на годишњем нивоу, подносе годишњи извештај Министарству. Министар надлежан за послове енергетике донео је Правилник о обрасцу годишњег извештаја о остваривању циљева уштеде енергије („Службени гласник РС”, бр. 32/16 и 65/18), према којем су обвезници система, у складу са законом, извештавали Министарство о оствареним циљевима уштеде енергије, до краја марта текуће године за претходну годину. Део СЕМ који се односи на Сектор индустрије и ЈК сектор већ је препознат као алтернативна мера за члан 7. ЕЕД, док се део који се односи на секторе производње, преноса и дистрибуције енергије може сматрати додатним циљем.</w:t>
      </w:r>
    </w:p>
    <w:p>
      <w:pPr>
        <w:spacing w:after="120"/>
        <w:ind w:left="0"/>
        <w:jc w:val="center"/>
      </w:pPr>
      <w:r>
        <w:rPr>
          <w:rFonts w:ascii="Verdana"/>
          <w:b w:val="false"/>
          <w:i w:val="false"/>
          <w:color w:val="000000"/>
          <w:sz w:val="22"/>
        </w:rPr>
        <w:t>3. МЕХАНИЗМИ ЗА ИМПЛЕМЕНТАЦИЈУ ЕЕД</w:t>
      </w:r>
    </w:p>
    <w:p>
      <w:pPr>
        <w:spacing w:after="120"/>
        <w:ind w:left="0"/>
        <w:jc w:val="center"/>
      </w:pPr>
      <w:r>
        <w:rPr>
          <w:rFonts w:ascii="Verdana"/>
          <w:b/>
          <w:i w:val="false"/>
          <w:color w:val="000000"/>
          <w:sz w:val="22"/>
        </w:rPr>
        <w:t>3.1. Хоризонталне мере</w:t>
      </w:r>
    </w:p>
    <w:p>
      <w:pPr>
        <w:spacing w:after="120"/>
        <w:ind w:left="0"/>
        <w:jc w:val="center"/>
      </w:pPr>
      <w:r>
        <w:rPr>
          <w:rFonts w:ascii="Verdana"/>
          <w:b w:val="false"/>
          <w:i/>
          <w:color w:val="000000"/>
          <w:sz w:val="22"/>
        </w:rPr>
        <w:t>3.1.1. ЕЕО шема и алтернативне мере (Члан 7 ЕЕД)</w:t>
      </w:r>
    </w:p>
    <w:p>
      <w:pPr>
        <w:spacing w:after="150"/>
        <w:ind w:left="0"/>
        <w:jc w:val="left"/>
      </w:pPr>
      <w:r>
        <w:rPr>
          <w:rFonts w:ascii="Verdana"/>
          <w:b w:val="false"/>
          <w:i w:val="false"/>
          <w:color w:val="000000"/>
          <w:sz w:val="22"/>
        </w:rPr>
        <w:t>Република Србија пријавила је Енергетској заједници усвајање Обавештења о примени члана 7. ЕЕД у јануару 2020. године. У Обавештењу је наведено да у периоду од 2017. године до 2020. године, Република Србија треба да реализује кумулативну уштеду од 317,5 ktoe, узимајући у обзир базни кумулативни циљ уштеде са додатним дозвољеним умањењима. Обавештење тј. Нотификација је припремљена уз техничку помоћ у оквиру EBRD REEP пројекта.</w:t>
      </w:r>
    </w:p>
    <w:p>
      <w:pPr>
        <w:spacing w:after="150"/>
        <w:ind w:left="0"/>
        <w:jc w:val="left"/>
      </w:pPr>
      <w:r>
        <w:rPr>
          <w:rFonts w:ascii="Verdana"/>
          <w:b w:val="false"/>
          <w:i w:val="false"/>
          <w:color w:val="000000"/>
          <w:sz w:val="22"/>
        </w:rPr>
        <w:t>У Обавештењу је детаљно анализирана могућност остварења кумулативне уштеде од 317,5 ktoe применом пре свега алтернативних мера. Препознате су три основне алтернативне мере и њима придружене уштеде приказане су у Табели 10.</w:t>
      </w:r>
    </w:p>
    <w:p>
      <w:pPr>
        <w:spacing w:after="150"/>
        <w:ind w:left="0"/>
        <w:jc w:val="left"/>
      </w:pPr>
      <w:r>
        <w:rPr>
          <w:rFonts w:ascii="Verdana"/>
          <w:b w:val="false"/>
          <w:i w:val="false"/>
          <w:color w:val="000000"/>
          <w:sz w:val="22"/>
        </w:rPr>
        <w:t>Уштеде које су овде приказане, додељене по мерама, пре свега се заснивају на инжењерским проценама.</w:t>
      </w:r>
    </w:p>
    <w:p>
      <w:pPr>
        <w:spacing w:after="150"/>
        <w:ind w:left="0"/>
        <w:jc w:val="left"/>
      </w:pPr>
      <w:r>
        <w:rPr>
          <w:rFonts w:ascii="Verdana"/>
          <w:b w:val="false"/>
          <w:i w:val="false"/>
          <w:color w:val="000000"/>
          <w:sz w:val="22"/>
        </w:rPr>
        <w:t>Подаци о уштедама које су резултат примене СЕМ се заснивају на законској обавези да се код обвезника система реализује уштеда од 1% годишње примарне енергије. Република Србија је увела обавезујући систем енергетског менаџмента за велике потрошаче енергије и јавни сектор, који имају обавезу да остваре одређени ниво енергетских уштеда кроз примену мера енергетске ефикасности, као и обавезу да периодично спроводе енергетске прегледе. Ова регулаторна мера превазилази захтеве члана 8. ЕЕД, а спроводи се на основу члана 15. став 1. ЗЕЕРУЕ и Уредбе о утврђивању граничних вредности годишње потрошње енергије на основу којих се одређује која привредна друштва су обвезници система енергетског менаџмента, годишњих циљева уштеде енергије и обрасца пријаве о оствареној потрошњи енергије („Службени гласник РС”, број 18/16).</w:t>
      </w:r>
    </w:p>
    <w:p>
      <w:pPr>
        <w:spacing w:after="150"/>
        <w:ind w:left="0"/>
        <w:jc w:val="left"/>
      </w:pPr>
      <w:r>
        <w:rPr>
          <w:rFonts w:ascii="Verdana"/>
          <w:b w:val="false"/>
          <w:i w:val="false"/>
          <w:color w:val="000000"/>
          <w:sz w:val="22"/>
        </w:rPr>
        <w:t xml:space="preserve">Међународне финансијске институције (МФИ), као што су ЕBRD, Светска банка, КfW итд. пружају финансијску подршку како би се убрзао улазак енергетски ефикасних технологија кроз позајмице Републици Србији, грантове и кредитне линије које се даље спроводе преко локалних финансијских институција. Финансијска помоћ пропраћена је техничком подршком, што утиче на развој тржишта и подизање свести. Подаци о подршци међународних финансијских институција су добијени од самих институција, које примењују сопствене методолошке приступе у процени уштеда, а верификоване од </w:t>
      </w:r>
      <w:r>
        <w:rPr>
          <w:rFonts w:ascii="Verdana"/>
          <w:b w:val="false"/>
          <w:i/>
          <w:color w:val="000000"/>
          <w:sz w:val="22"/>
        </w:rPr>
        <w:t>ECA</w:t>
      </w:r>
      <w:r>
        <w:rPr>
          <w:rFonts w:ascii="Verdana"/>
          <w:b w:val="false"/>
          <w:i w:val="false"/>
          <w:color w:val="000000"/>
          <w:sz w:val="22"/>
        </w:rPr>
        <w:t xml:space="preserve"> као легитимне за рачунање.</w:t>
      </w:r>
    </w:p>
    <w:p>
      <w:pPr>
        <w:spacing w:after="150"/>
        <w:ind w:left="0"/>
        <w:jc w:val="left"/>
      </w:pPr>
      <w:r>
        <w:rPr>
          <w:rFonts w:ascii="Verdana"/>
          <w:b w:val="false"/>
          <w:i w:val="false"/>
          <w:color w:val="000000"/>
          <w:sz w:val="22"/>
        </w:rPr>
        <w:t>Од 2014. године МРЕ спроводи периодичне јавне позиве за подршку у спровођењу мера енергетске ефикасности у јавном сектору – у јединицама локалне самоуправе. Средства су се до краја 2020. године додељивала из буџета Републике Србије преко Буџетског фонда а 2021. године се додељују из буџета Републике Србије кроз подстицаје за унапређење енергетске ефикасности на основу Закона о буџету Републике Србије за 2021. годину (,,Службени гласник РС”, бр. 149/20 и 40/21) кроз Програмску активност Подстицаји за унапређење енергетске ефикасности у оквиру Програма енергетске ефикасности. Подаци о уштедама реализованим на основу пројеката финансираних из Буџетског фонда за унапређење енергетске ефикасности, заснивају се на прорачуну уштеда коришћењем методологије ОПГ, дефинисане у Правилнику о начину и роковима достављања података неопходних за праћење спровођења Акционог плана за енергетску ефикасност у Републици Србији и методологија за праћење, проверу и оцену ефеката његовог спровођења (,,Службени гласник РС”, број 37/15). Животни век примењених мера ЕЕ је дефинисан у поменутом правилнику, а за мере које нису наведене у њему, животни век се одређује у складу са праксом која се примењује у ЕУ.</w:t>
      </w:r>
    </w:p>
    <w:p>
      <w:pPr>
        <w:spacing w:after="150"/>
        <w:ind w:left="0"/>
        <w:jc w:val="left"/>
      </w:pPr>
      <w:r>
        <w:rPr>
          <w:rFonts w:ascii="Verdana"/>
          <w:b w:val="false"/>
          <w:i w:val="false"/>
          <w:color w:val="000000"/>
          <w:sz w:val="22"/>
        </w:rPr>
        <w:t>Табела 10. Преглед мера и њиховог очекиваног доприноса за постизање захтеваних уштеда у складу са чланом 7. ЕЕД изражено у ktoe</w:t>
      </w:r>
      <w:r>
        <w:rPr>
          <w:rFonts w:ascii="Verdana"/>
          <w:b w:val="false"/>
          <w:i w:val="false"/>
          <w:color w:val="000000"/>
          <w:sz w:val="22"/>
          <w:vertAlign w:val="superscript"/>
        </w:rPr>
        <w:t>6</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034"/>
        <w:gridCol w:w="1645"/>
        <w:gridCol w:w="1645"/>
        <w:gridCol w:w="1646"/>
        <w:gridCol w:w="1646"/>
        <w:gridCol w:w="1646"/>
        <w:gridCol w:w="1971"/>
        <w:gridCol w:w="2167"/>
      </w:tblGrid>
      <w:tr>
        <w:trPr>
          <w:trHeight w:val="45" w:hRule="atLeast"/>
        </w:trPr>
        <w:tc>
          <w:tcPr>
            <w:tcW w:w="20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почетка примене</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w:t>
            </w:r>
          </w:p>
        </w:tc>
        <w:tc>
          <w:tcPr>
            <w:tcW w:w="1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w:t>
            </w:r>
          </w:p>
        </w:tc>
        <w:tc>
          <w:tcPr>
            <w:tcW w:w="21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Проценат у односу на циљ</w:t>
            </w:r>
          </w:p>
        </w:tc>
      </w:tr>
      <w:tr>
        <w:trPr>
          <w:trHeight w:val="45" w:hRule="atLeast"/>
        </w:trPr>
        <w:tc>
          <w:tcPr>
            <w:tcW w:w="2034"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Обавезни систем енергетског менаџмента (ЈК4/И1)</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24,95</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24,95</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24,95</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24,95</w:t>
            </w:r>
          </w:p>
        </w:tc>
        <w:tc>
          <w:tcPr>
            <w:tcW w:w="1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99,80</w:t>
            </w:r>
          </w:p>
        </w:tc>
        <w:tc>
          <w:tcPr>
            <w:tcW w:w="21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31,4%</w:t>
            </w:r>
          </w:p>
        </w:tc>
      </w:tr>
      <w:tr>
        <w:trPr>
          <w:trHeight w:val="45" w:hRule="atLeast"/>
        </w:trPr>
        <w:tc>
          <w:tcPr>
            <w:tcW w:w="0" w:type="auto"/>
            <w:vMerge/>
            <w:tcBorders>
              <w:top w:val="nil"/>
              <w:left w:val="single" w:color="000000" w:sz="8"/>
              <w:bottom w:val="single" w:color="000000" w:sz="8"/>
              <w:right w:val="single" w:color="000000" w:sz="8"/>
            </w:tcBorders>
          </w:tcP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1645" w:type="dxa"/>
            <w:tcBorders>
              <w:top w:val="single" w:color="000000" w:sz="8"/>
              <w:left w:val="single" w:color="000000" w:sz="8"/>
              <w:bottom w:val="single" w:color="000000" w:sz="8"/>
              <w:right w:val="single" w:color="000000" w:sz="8"/>
            </w:tcBorders>
            <w:vAlign w:val="center"/>
          </w:tcP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24,95</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24,95</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24,95</w:t>
            </w:r>
          </w:p>
        </w:tc>
        <w:tc>
          <w:tcPr>
            <w:tcW w:w="1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74,85</w:t>
            </w:r>
          </w:p>
        </w:tc>
        <w:tc>
          <w:tcPr>
            <w:tcW w:w="21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23,6%</w:t>
            </w:r>
          </w:p>
        </w:tc>
      </w:tr>
      <w:tr>
        <w:trPr>
          <w:trHeight w:val="45" w:hRule="atLeast"/>
        </w:trPr>
        <w:tc>
          <w:tcPr>
            <w:tcW w:w="0" w:type="auto"/>
            <w:vMerge/>
            <w:tcBorders>
              <w:top w:val="nil"/>
              <w:left w:val="single" w:color="000000" w:sz="8"/>
              <w:bottom w:val="single" w:color="000000" w:sz="8"/>
              <w:right w:val="single" w:color="000000" w:sz="8"/>
            </w:tcBorders>
          </w:tcP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1645" w:type="dxa"/>
            <w:tcBorders>
              <w:top w:val="single" w:color="000000" w:sz="8"/>
              <w:left w:val="single" w:color="000000" w:sz="8"/>
              <w:bottom w:val="single" w:color="000000" w:sz="8"/>
              <w:right w:val="single" w:color="000000" w:sz="8"/>
            </w:tcBorders>
            <w:vAlign w:val="center"/>
          </w:tcPr>
          <w:p/>
        </w:tc>
        <w:tc>
          <w:tcPr>
            <w:tcW w:w="1646" w:type="dxa"/>
            <w:tcBorders>
              <w:top w:val="single" w:color="000000" w:sz="8"/>
              <w:left w:val="single" w:color="000000" w:sz="8"/>
              <w:bottom w:val="single" w:color="000000" w:sz="8"/>
              <w:right w:val="single" w:color="000000" w:sz="8"/>
            </w:tcBorders>
            <w:vAlign w:val="center"/>
          </w:tcP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20,07</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20,07</w:t>
            </w:r>
          </w:p>
        </w:tc>
        <w:tc>
          <w:tcPr>
            <w:tcW w:w="1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40,13</w:t>
            </w:r>
          </w:p>
        </w:tc>
        <w:tc>
          <w:tcPr>
            <w:tcW w:w="21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12,6%</w:t>
            </w:r>
          </w:p>
        </w:tc>
      </w:tr>
      <w:tr>
        <w:trPr>
          <w:trHeight w:val="45" w:hRule="atLeast"/>
        </w:trPr>
        <w:tc>
          <w:tcPr>
            <w:tcW w:w="0" w:type="auto"/>
            <w:vMerge/>
            <w:tcBorders>
              <w:top w:val="nil"/>
              <w:left w:val="single" w:color="000000" w:sz="8"/>
              <w:bottom w:val="single" w:color="000000" w:sz="8"/>
              <w:right w:val="single" w:color="000000" w:sz="8"/>
            </w:tcBorders>
          </w:tcP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w:t>
            </w:r>
          </w:p>
        </w:tc>
        <w:tc>
          <w:tcPr>
            <w:tcW w:w="1645" w:type="dxa"/>
            <w:tcBorders>
              <w:top w:val="single" w:color="000000" w:sz="8"/>
              <w:left w:val="single" w:color="000000" w:sz="8"/>
              <w:bottom w:val="single" w:color="000000" w:sz="8"/>
              <w:right w:val="single" w:color="000000" w:sz="8"/>
            </w:tcBorders>
            <w:vAlign w:val="center"/>
          </w:tcPr>
          <w:p/>
        </w:tc>
        <w:tc>
          <w:tcPr>
            <w:tcW w:w="1646" w:type="dxa"/>
            <w:tcBorders>
              <w:top w:val="single" w:color="000000" w:sz="8"/>
              <w:left w:val="single" w:color="000000" w:sz="8"/>
              <w:bottom w:val="single" w:color="000000" w:sz="8"/>
              <w:right w:val="single" w:color="000000" w:sz="8"/>
            </w:tcBorders>
            <w:vAlign w:val="center"/>
          </w:tcPr>
          <w:p/>
        </w:tc>
        <w:tc>
          <w:tcPr>
            <w:tcW w:w="1646" w:type="dxa"/>
            <w:tcBorders>
              <w:top w:val="single" w:color="000000" w:sz="8"/>
              <w:left w:val="single" w:color="000000" w:sz="8"/>
              <w:bottom w:val="single" w:color="000000" w:sz="8"/>
              <w:right w:val="single" w:color="000000" w:sz="8"/>
            </w:tcBorders>
            <w:vAlign w:val="center"/>
          </w:tcP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20,07</w:t>
            </w:r>
          </w:p>
        </w:tc>
        <w:tc>
          <w:tcPr>
            <w:tcW w:w="1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20,07</w:t>
            </w:r>
          </w:p>
        </w:tc>
        <w:tc>
          <w:tcPr>
            <w:tcW w:w="21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6,3%</w:t>
            </w:r>
          </w:p>
        </w:tc>
      </w:tr>
      <w:tr>
        <w:trPr>
          <w:trHeight w:val="45" w:hRule="atLeast"/>
        </w:trPr>
        <w:tc>
          <w:tcPr>
            <w:tcW w:w="2034"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Подршка ме– ђународних финансијских институција</w:t>
            </w:r>
          </w:p>
          <w:p>
            <w:pPr>
              <w:spacing w:after="150"/>
              <w:ind w:left="0"/>
              <w:jc w:val="left"/>
            </w:pPr>
            <w:r>
              <w:rPr>
                <w:rFonts w:ascii="Verdana"/>
                <w:b w:val="false"/>
                <w:i w:val="false"/>
                <w:color w:val="000000"/>
                <w:sz w:val="22"/>
              </w:rPr>
              <w:t>(Д1/ЈК1/И2)</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12,93</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12,93</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12,93</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12,93</w:t>
            </w:r>
          </w:p>
        </w:tc>
        <w:tc>
          <w:tcPr>
            <w:tcW w:w="1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51,72</w:t>
            </w:r>
          </w:p>
        </w:tc>
        <w:tc>
          <w:tcPr>
            <w:tcW w:w="21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16,3%</w:t>
            </w:r>
          </w:p>
        </w:tc>
      </w:tr>
      <w:tr>
        <w:trPr>
          <w:trHeight w:val="45" w:hRule="atLeast"/>
        </w:trPr>
        <w:tc>
          <w:tcPr>
            <w:tcW w:w="0" w:type="auto"/>
            <w:vMerge/>
            <w:tcBorders>
              <w:top w:val="nil"/>
              <w:left w:val="single" w:color="000000" w:sz="8"/>
              <w:bottom w:val="single" w:color="000000" w:sz="8"/>
              <w:right w:val="single" w:color="000000" w:sz="8"/>
            </w:tcBorders>
          </w:tcP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13,30</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13,30</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13,30</w:t>
            </w:r>
          </w:p>
        </w:tc>
        <w:tc>
          <w:tcPr>
            <w:tcW w:w="1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39,91</w:t>
            </w:r>
          </w:p>
        </w:tc>
        <w:tc>
          <w:tcPr>
            <w:tcW w:w="21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12,6%</w:t>
            </w:r>
          </w:p>
        </w:tc>
      </w:tr>
      <w:tr>
        <w:trPr>
          <w:trHeight w:val="45" w:hRule="atLeast"/>
        </w:trPr>
        <w:tc>
          <w:tcPr>
            <w:tcW w:w="0" w:type="auto"/>
            <w:vMerge/>
            <w:tcBorders>
              <w:top w:val="nil"/>
              <w:left w:val="single" w:color="000000" w:sz="8"/>
              <w:bottom w:val="single" w:color="000000" w:sz="8"/>
              <w:right w:val="single" w:color="000000" w:sz="8"/>
            </w:tcBorders>
          </w:tcP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12,99</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12,99</w:t>
            </w:r>
          </w:p>
        </w:tc>
        <w:tc>
          <w:tcPr>
            <w:tcW w:w="1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25,97</w:t>
            </w:r>
          </w:p>
        </w:tc>
        <w:tc>
          <w:tcPr>
            <w:tcW w:w="21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8,2%</w:t>
            </w:r>
          </w:p>
        </w:tc>
      </w:tr>
      <w:tr>
        <w:trPr>
          <w:trHeight w:val="45" w:hRule="atLeast"/>
        </w:trPr>
        <w:tc>
          <w:tcPr>
            <w:tcW w:w="0" w:type="auto"/>
            <w:vMerge/>
            <w:tcBorders>
              <w:top w:val="nil"/>
              <w:left w:val="single" w:color="000000" w:sz="8"/>
              <w:bottom w:val="single" w:color="000000" w:sz="8"/>
              <w:right w:val="single" w:color="000000" w:sz="8"/>
            </w:tcBorders>
          </w:tcP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12,99</w:t>
            </w:r>
          </w:p>
        </w:tc>
        <w:tc>
          <w:tcPr>
            <w:tcW w:w="1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12,99</w:t>
            </w:r>
          </w:p>
        </w:tc>
        <w:tc>
          <w:tcPr>
            <w:tcW w:w="21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w:t>
            </w:r>
          </w:p>
        </w:tc>
      </w:tr>
      <w:tr>
        <w:trPr>
          <w:trHeight w:val="45" w:hRule="atLeast"/>
        </w:trPr>
        <w:tc>
          <w:tcPr>
            <w:tcW w:w="2034"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Буџетски фонд за унапређење енергетске ефикасности</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0,57</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0,57</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0,57</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0,57</w:t>
            </w:r>
          </w:p>
        </w:tc>
        <w:tc>
          <w:tcPr>
            <w:tcW w:w="1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2,28</w:t>
            </w:r>
          </w:p>
        </w:tc>
        <w:tc>
          <w:tcPr>
            <w:tcW w:w="21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w:t>
            </w:r>
          </w:p>
        </w:tc>
      </w:tr>
      <w:tr>
        <w:trPr>
          <w:trHeight w:val="45" w:hRule="atLeast"/>
        </w:trPr>
        <w:tc>
          <w:tcPr>
            <w:tcW w:w="0" w:type="auto"/>
            <w:vMerge/>
            <w:tcBorders>
              <w:top w:val="nil"/>
              <w:left w:val="single" w:color="000000" w:sz="8"/>
              <w:bottom w:val="single" w:color="000000" w:sz="8"/>
              <w:right w:val="single" w:color="000000" w:sz="8"/>
            </w:tcBorders>
          </w:tcP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1645" w:type="dxa"/>
            <w:tcBorders>
              <w:top w:val="single" w:color="000000" w:sz="8"/>
              <w:left w:val="single" w:color="000000" w:sz="8"/>
              <w:bottom w:val="single" w:color="000000" w:sz="8"/>
              <w:right w:val="single" w:color="000000" w:sz="8"/>
            </w:tcBorders>
            <w:vAlign w:val="center"/>
          </w:tcP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0,20</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0,20</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0,20</w:t>
            </w:r>
          </w:p>
        </w:tc>
        <w:tc>
          <w:tcPr>
            <w:tcW w:w="1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0,59</w:t>
            </w:r>
          </w:p>
        </w:tc>
        <w:tc>
          <w:tcPr>
            <w:tcW w:w="21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w:t>
            </w:r>
          </w:p>
        </w:tc>
      </w:tr>
      <w:tr>
        <w:trPr>
          <w:trHeight w:val="45" w:hRule="atLeast"/>
        </w:trPr>
        <w:tc>
          <w:tcPr>
            <w:tcW w:w="0" w:type="auto"/>
            <w:vMerge/>
            <w:tcBorders>
              <w:top w:val="nil"/>
              <w:left w:val="single" w:color="000000" w:sz="8"/>
              <w:bottom w:val="single" w:color="000000" w:sz="8"/>
              <w:right w:val="single" w:color="000000" w:sz="8"/>
            </w:tcBorders>
          </w:tcP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1645" w:type="dxa"/>
            <w:tcBorders>
              <w:top w:val="single" w:color="000000" w:sz="8"/>
              <w:left w:val="single" w:color="000000" w:sz="8"/>
              <w:bottom w:val="single" w:color="000000" w:sz="8"/>
              <w:right w:val="single" w:color="000000" w:sz="8"/>
            </w:tcBorders>
            <w:vAlign w:val="center"/>
          </w:tcPr>
          <w:p/>
        </w:tc>
        <w:tc>
          <w:tcPr>
            <w:tcW w:w="1646" w:type="dxa"/>
            <w:tcBorders>
              <w:top w:val="single" w:color="000000" w:sz="8"/>
              <w:left w:val="single" w:color="000000" w:sz="8"/>
              <w:bottom w:val="single" w:color="000000" w:sz="8"/>
              <w:right w:val="single" w:color="000000" w:sz="8"/>
            </w:tcBorders>
            <w:vAlign w:val="center"/>
          </w:tcP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0,51</w:t>
            </w: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0,51</w:t>
            </w:r>
          </w:p>
        </w:tc>
        <w:tc>
          <w:tcPr>
            <w:tcW w:w="1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1,03</w:t>
            </w:r>
          </w:p>
        </w:tc>
        <w:tc>
          <w:tcPr>
            <w:tcW w:w="21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w:t>
            </w:r>
          </w:p>
        </w:tc>
      </w:tr>
      <w:tr>
        <w:trPr>
          <w:trHeight w:val="45" w:hRule="atLeast"/>
        </w:trPr>
        <w:tc>
          <w:tcPr>
            <w:tcW w:w="0" w:type="auto"/>
            <w:vMerge/>
            <w:tcBorders>
              <w:top w:val="nil"/>
              <w:left w:val="single" w:color="000000" w:sz="8"/>
              <w:bottom w:val="single" w:color="000000" w:sz="8"/>
              <w:right w:val="single" w:color="000000" w:sz="8"/>
            </w:tcBorders>
          </w:tcP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w:t>
            </w:r>
          </w:p>
        </w:tc>
        <w:tc>
          <w:tcPr>
            <w:tcW w:w="1645" w:type="dxa"/>
            <w:tcBorders>
              <w:top w:val="single" w:color="000000" w:sz="8"/>
              <w:left w:val="single" w:color="000000" w:sz="8"/>
              <w:bottom w:val="single" w:color="000000" w:sz="8"/>
              <w:right w:val="single" w:color="000000" w:sz="8"/>
            </w:tcBorders>
            <w:vAlign w:val="center"/>
          </w:tcPr>
          <w:p/>
        </w:tc>
        <w:tc>
          <w:tcPr>
            <w:tcW w:w="1646" w:type="dxa"/>
            <w:tcBorders>
              <w:top w:val="single" w:color="000000" w:sz="8"/>
              <w:left w:val="single" w:color="000000" w:sz="8"/>
              <w:bottom w:val="single" w:color="000000" w:sz="8"/>
              <w:right w:val="single" w:color="000000" w:sz="8"/>
            </w:tcBorders>
            <w:vAlign w:val="center"/>
          </w:tcPr>
          <w:p/>
        </w:tc>
        <w:tc>
          <w:tcPr>
            <w:tcW w:w="1646" w:type="dxa"/>
            <w:tcBorders>
              <w:top w:val="single" w:color="000000" w:sz="8"/>
              <w:left w:val="single" w:color="000000" w:sz="8"/>
              <w:bottom w:val="single" w:color="000000" w:sz="8"/>
              <w:right w:val="single" w:color="000000" w:sz="8"/>
            </w:tcBorders>
            <w:vAlign w:val="center"/>
          </w:tcPr>
          <w:p/>
        </w:tc>
        <w:tc>
          <w:tcPr>
            <w:tcW w:w="1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0,51</w:t>
            </w:r>
          </w:p>
        </w:tc>
        <w:tc>
          <w:tcPr>
            <w:tcW w:w="1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0,51</w:t>
            </w:r>
          </w:p>
        </w:tc>
        <w:tc>
          <w:tcPr>
            <w:tcW w:w="21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w:t>
            </w:r>
          </w:p>
        </w:tc>
      </w:tr>
      <w:tr>
        <w:trPr>
          <w:trHeight w:val="45" w:hRule="atLeast"/>
        </w:trPr>
        <w:tc>
          <w:tcPr>
            <w:tcW w:w="0" w:type="auto"/>
            <w:gridSpan w:val="6"/>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w:t>
            </w:r>
          </w:p>
        </w:tc>
        <w:tc>
          <w:tcPr>
            <w:tcW w:w="1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369.85</w:t>
            </w:r>
          </w:p>
        </w:tc>
        <w:tc>
          <w:tcPr>
            <w:tcW w:w="21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116,5%</w:t>
            </w:r>
          </w:p>
        </w:tc>
      </w:tr>
    </w:tbl>
    <w:p>
      <w:pPr>
        <w:spacing w:after="150"/>
        <w:ind w:left="0"/>
        <w:jc w:val="left"/>
      </w:pPr>
      <w:r>
        <w:rPr>
          <w:rFonts w:ascii="Verdana"/>
          <w:b w:val="false"/>
          <w:i w:val="false"/>
          <w:color w:val="000000"/>
          <w:sz w:val="22"/>
        </w:rPr>
        <w:t>Осим три основне регулаторне мере дате у Табели 10, које треба да допринесу остварењу циљева из члана 7, у Обавештењу су наведене још три мере из 3. АПЕЕ које се већ примењују или су планиране за примену, а које се сматрају квалификованим у смислу уштеда које се њима остварују: Мере јавног осветљења ЈК3, Мера о смањењу емисије CО</w:t>
      </w:r>
      <w:r>
        <w:rPr>
          <w:rFonts w:ascii="Verdana"/>
          <w:b w:val="false"/>
          <w:i w:val="false"/>
          <w:color w:val="000000"/>
          <w:sz w:val="22"/>
          <w:vertAlign w:val="subscript"/>
        </w:rPr>
        <w:t>2</w:t>
      </w:r>
      <w:r>
        <w:rPr>
          <w:rFonts w:ascii="Verdana"/>
          <w:b w:val="false"/>
          <w:i w:val="false"/>
          <w:color w:val="000000"/>
          <w:sz w:val="22"/>
        </w:rPr>
        <w:t xml:space="preserve"> из нових путничких возила Т1 и Примена регулативе о eко-дизајну Х3. Очекује се да ће уштеде настале применом ове последње мере бити скромне у релевантном периоду за обавезу Републику Србију у складу са чланом 7. ЕЕД, али ће се знатно повећати у периоду од 2021. до 2030. године.</w:t>
      </w:r>
    </w:p>
    <w:p>
      <w:pPr>
        <w:spacing w:after="150"/>
        <w:ind w:left="0"/>
        <w:jc w:val="left"/>
      </w:pPr>
      <w:r>
        <w:rPr>
          <w:rFonts w:ascii="Verdana"/>
          <w:b w:val="false"/>
          <w:i w:val="false"/>
          <w:color w:val="000000"/>
          <w:sz w:val="22"/>
        </w:rPr>
        <w:t>У Табели 11 приказане су процењене укупне уштеде које ће бити постигнуте у релевантном периоду применом додатних квалификованих регулаторних мера.</w:t>
      </w:r>
    </w:p>
    <w:p>
      <w:pPr>
        <w:spacing w:after="150"/>
        <w:ind w:left="0"/>
        <w:jc w:val="left"/>
      </w:pPr>
      <w:r>
        <w:rPr>
          <w:rFonts w:ascii="Verdana"/>
          <w:b w:val="false"/>
          <w:i w:val="false"/>
          <w:color w:val="000000"/>
          <w:sz w:val="22"/>
        </w:rPr>
        <w:t>Табела 12 приказује резултате остварене до 2019. године на основу овако дефинисане примене члана 7.</w:t>
      </w:r>
    </w:p>
    <w:p>
      <w:pPr>
        <w:spacing w:after="150"/>
        <w:ind w:left="0"/>
        <w:jc w:val="left"/>
      </w:pPr>
      <w:r>
        <w:rPr>
          <w:rFonts w:ascii="Verdana"/>
          <w:b w:val="false"/>
          <w:i w:val="false"/>
          <w:color w:val="000000"/>
          <w:sz w:val="22"/>
        </w:rPr>
        <w:t>Резултат уштеда пријављених по СЕМу добијени су на основу физички измерених уштеда изражених у примарној енергији и прорачунатих у финалну енергију. Табела фактора конверзије примарне у финалну енергију, из Правилника о изменама правилника о обрасцу годишњег извештаја о остваривању циљева уштеде енергије („Службени гласник РС”, број 65/18), уграђена је у базу ИСЕМ и дата је у Прилогу 1. Резултати у 2017. години нису приказани јер је то прва година извештавања када се систем извештавања тек успостављао, па нису сви обвезници известили о уштедама и у међувремену су мењане и вредности у конвертору.</w:t>
      </w:r>
    </w:p>
    <w:p>
      <w:pPr>
        <w:spacing w:after="150"/>
        <w:ind w:left="0"/>
        <w:jc w:val="left"/>
      </w:pPr>
      <w:r>
        <w:rPr>
          <w:rFonts w:ascii="Verdana"/>
          <w:b w:val="false"/>
          <w:i w:val="false"/>
          <w:color w:val="000000"/>
          <w:sz w:val="22"/>
        </w:rPr>
        <w:t>Резултати уштеда остварених на основу кредита међународних финансијских институција су прорачунати на основу методологија које поменуте институције примењују и о којима су известиле Министарство по поднетом захтеву.</w:t>
      </w:r>
    </w:p>
    <w:p>
      <w:pPr>
        <w:spacing w:after="150"/>
        <w:ind w:left="0"/>
        <w:jc w:val="left"/>
      </w:pPr>
      <w:r>
        <w:rPr>
          <w:rFonts w:ascii="Verdana"/>
          <w:b w:val="false"/>
          <w:i w:val="false"/>
          <w:color w:val="000000"/>
          <w:sz w:val="22"/>
        </w:rPr>
        <w:t>Табела 11. Преглед додатних квалификованих регулаторних мера изражено у ktoe</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619"/>
        <w:gridCol w:w="1726"/>
        <w:gridCol w:w="1726"/>
        <w:gridCol w:w="1727"/>
        <w:gridCol w:w="1727"/>
        <w:gridCol w:w="1727"/>
        <w:gridCol w:w="1727"/>
        <w:gridCol w:w="1421"/>
      </w:tblGrid>
      <w:tr>
        <w:trPr>
          <w:trHeight w:val="45" w:hRule="atLeast"/>
        </w:trPr>
        <w:tc>
          <w:tcPr>
            <w:tcW w:w="26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w:t>
            </w:r>
          </w:p>
        </w:tc>
        <w:tc>
          <w:tcPr>
            <w:tcW w:w="17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примене мере</w:t>
            </w:r>
          </w:p>
        </w:tc>
        <w:tc>
          <w:tcPr>
            <w:tcW w:w="17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w:t>
            </w:r>
          </w:p>
        </w:tc>
        <w:tc>
          <w:tcPr>
            <w:tcW w:w="1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Проценат у односу на циљне вредности</w:t>
            </w:r>
          </w:p>
        </w:tc>
      </w:tr>
      <w:tr>
        <w:trPr>
          <w:trHeight w:val="45" w:hRule="atLeast"/>
        </w:trPr>
        <w:tc>
          <w:tcPr>
            <w:tcW w:w="2619"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Јавно осветљење ЈК3</w:t>
            </w:r>
          </w:p>
        </w:tc>
        <w:tc>
          <w:tcPr>
            <w:tcW w:w="17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17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4,20</w:t>
            </w:r>
          </w:p>
        </w:tc>
        <w:tc>
          <w:tcPr>
            <w:tcW w:w="1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0" w:type="auto"/>
            <w:vMerge/>
            <w:tcBorders>
              <w:top w:val="nil"/>
              <w:left w:val="single" w:color="000000" w:sz="8"/>
              <w:bottom w:val="single" w:color="000000" w:sz="8"/>
              <w:right w:val="single" w:color="000000" w:sz="8"/>
            </w:tcBorders>
          </w:tcPr>
          <w:p/>
        </w:tc>
        <w:tc>
          <w:tcPr>
            <w:tcW w:w="17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1726"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3,15</w:t>
            </w:r>
          </w:p>
        </w:tc>
        <w:tc>
          <w:tcPr>
            <w:tcW w:w="1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0" w:type="auto"/>
            <w:vMerge/>
            <w:tcBorders>
              <w:top w:val="nil"/>
              <w:left w:val="single" w:color="000000" w:sz="8"/>
              <w:bottom w:val="single" w:color="000000" w:sz="8"/>
              <w:right w:val="single" w:color="000000" w:sz="8"/>
            </w:tcBorders>
          </w:tcPr>
          <w:p/>
        </w:tc>
        <w:tc>
          <w:tcPr>
            <w:tcW w:w="17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1726"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vMerge/>
            <w:tcBorders>
              <w:top w:val="nil"/>
              <w:left w:val="single" w:color="000000" w:sz="8"/>
              <w:bottom w:val="single" w:color="000000" w:sz="8"/>
              <w:right w:val="single" w:color="000000" w:sz="8"/>
            </w:tcBorders>
          </w:tcPr>
          <w:p/>
        </w:tc>
        <w:tc>
          <w:tcPr>
            <w:tcW w:w="17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w:t>
            </w:r>
          </w:p>
        </w:tc>
        <w:tc>
          <w:tcPr>
            <w:tcW w:w="1726"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2619"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Уредба о емисији CО</w:t>
            </w:r>
            <w:r>
              <w:rPr>
                <w:rFonts w:ascii="Verdana"/>
                <w:b w:val="false"/>
                <w:i w:val="false"/>
                <w:color w:val="000000"/>
                <w:sz w:val="22"/>
                <w:vertAlign w:val="subscript"/>
              </w:rPr>
              <w:t>2</w:t>
            </w:r>
            <w:r>
              <w:rPr>
                <w:rFonts w:ascii="Verdana"/>
                <w:b w:val="false"/>
                <w:i w:val="false"/>
                <w:color w:val="000000"/>
                <w:sz w:val="22"/>
              </w:rPr>
              <w:t xml:space="preserve"> </w:t>
            </w:r>
            <w:r>
              <w:rPr>
                <w:rFonts w:ascii="Verdana"/>
                <w:b w:val="false"/>
                <w:i w:val="false"/>
                <w:color w:val="000000"/>
                <w:sz w:val="22"/>
              </w:rPr>
              <w:t>из нових путничких возила Т1</w:t>
            </w:r>
          </w:p>
        </w:tc>
        <w:tc>
          <w:tcPr>
            <w:tcW w:w="17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17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9,33</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9,33</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9,33</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9,33</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37,33</w:t>
            </w:r>
          </w:p>
        </w:tc>
        <w:tc>
          <w:tcPr>
            <w:tcW w:w="1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w:t>
            </w:r>
          </w:p>
        </w:tc>
      </w:tr>
      <w:tr>
        <w:trPr>
          <w:trHeight w:val="45" w:hRule="atLeast"/>
        </w:trPr>
        <w:tc>
          <w:tcPr>
            <w:tcW w:w="0" w:type="auto"/>
            <w:vMerge/>
            <w:tcBorders>
              <w:top w:val="nil"/>
              <w:left w:val="single" w:color="000000" w:sz="8"/>
              <w:bottom w:val="single" w:color="000000" w:sz="8"/>
              <w:right w:val="single" w:color="000000" w:sz="8"/>
            </w:tcBorders>
          </w:tcPr>
          <w:p/>
        </w:tc>
        <w:tc>
          <w:tcPr>
            <w:tcW w:w="17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1726"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9,33</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9,33</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9,33</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28,00</w:t>
            </w:r>
          </w:p>
        </w:tc>
        <w:tc>
          <w:tcPr>
            <w:tcW w:w="1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w:t>
            </w:r>
          </w:p>
        </w:tc>
      </w:tr>
      <w:tr>
        <w:trPr>
          <w:trHeight w:val="45" w:hRule="atLeast"/>
        </w:trPr>
        <w:tc>
          <w:tcPr>
            <w:tcW w:w="0" w:type="auto"/>
            <w:vMerge/>
            <w:tcBorders>
              <w:top w:val="nil"/>
              <w:left w:val="single" w:color="000000" w:sz="8"/>
              <w:bottom w:val="single" w:color="000000" w:sz="8"/>
              <w:right w:val="single" w:color="000000" w:sz="8"/>
            </w:tcBorders>
          </w:tcPr>
          <w:p/>
        </w:tc>
        <w:tc>
          <w:tcPr>
            <w:tcW w:w="17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1726"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9,33</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9,33</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18,67</w:t>
            </w:r>
          </w:p>
        </w:tc>
        <w:tc>
          <w:tcPr>
            <w:tcW w:w="1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w:t>
            </w:r>
          </w:p>
        </w:tc>
      </w:tr>
      <w:tr>
        <w:trPr>
          <w:trHeight w:val="45" w:hRule="atLeast"/>
        </w:trPr>
        <w:tc>
          <w:tcPr>
            <w:tcW w:w="0" w:type="auto"/>
            <w:vMerge/>
            <w:tcBorders>
              <w:top w:val="nil"/>
              <w:left w:val="single" w:color="000000" w:sz="8"/>
              <w:bottom w:val="single" w:color="000000" w:sz="8"/>
              <w:right w:val="single" w:color="000000" w:sz="8"/>
            </w:tcBorders>
          </w:tcPr>
          <w:p/>
        </w:tc>
        <w:tc>
          <w:tcPr>
            <w:tcW w:w="17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w:t>
            </w:r>
          </w:p>
        </w:tc>
        <w:tc>
          <w:tcPr>
            <w:tcW w:w="1726"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9,33</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9,33</w:t>
            </w:r>
          </w:p>
        </w:tc>
        <w:tc>
          <w:tcPr>
            <w:tcW w:w="1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r>
      <w:tr>
        <w:trPr>
          <w:trHeight w:val="45" w:hRule="atLeast"/>
        </w:trPr>
        <w:tc>
          <w:tcPr>
            <w:tcW w:w="2619"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Прописи о еко дизајну Х3</w:t>
            </w:r>
          </w:p>
        </w:tc>
        <w:tc>
          <w:tcPr>
            <w:tcW w:w="17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17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vMerge/>
            <w:tcBorders>
              <w:top w:val="nil"/>
              <w:left w:val="single" w:color="000000" w:sz="8"/>
              <w:bottom w:val="single" w:color="000000" w:sz="8"/>
              <w:right w:val="single" w:color="000000" w:sz="8"/>
            </w:tcBorders>
          </w:tcPr>
          <w:p/>
        </w:tc>
        <w:tc>
          <w:tcPr>
            <w:tcW w:w="17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1726"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vMerge/>
            <w:tcBorders>
              <w:top w:val="nil"/>
              <w:left w:val="single" w:color="000000" w:sz="8"/>
              <w:bottom w:val="single" w:color="000000" w:sz="8"/>
              <w:right w:val="single" w:color="000000" w:sz="8"/>
            </w:tcBorders>
          </w:tcPr>
          <w:p/>
        </w:tc>
        <w:tc>
          <w:tcPr>
            <w:tcW w:w="17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1726"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vMerge/>
            <w:tcBorders>
              <w:top w:val="nil"/>
              <w:left w:val="single" w:color="000000" w:sz="8"/>
              <w:bottom w:val="single" w:color="000000" w:sz="8"/>
              <w:right w:val="single" w:color="000000" w:sz="8"/>
            </w:tcBorders>
          </w:tcPr>
          <w:p/>
        </w:tc>
        <w:tc>
          <w:tcPr>
            <w:tcW w:w="17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w:t>
            </w:r>
          </w:p>
        </w:tc>
        <w:tc>
          <w:tcPr>
            <w:tcW w:w="1726"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5,60</w:t>
            </w:r>
          </w:p>
        </w:tc>
        <w:tc>
          <w:tcPr>
            <w:tcW w:w="17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5,60</w:t>
            </w:r>
          </w:p>
        </w:tc>
        <w:tc>
          <w:tcPr>
            <w:tcW w:w="14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bl>
    <w:p>
      <w:pPr>
        <w:spacing w:after="150"/>
        <w:ind w:left="0"/>
        <w:jc w:val="left"/>
      </w:pPr>
      <w:r>
        <w:rPr>
          <w:rFonts w:ascii="Verdana"/>
          <w:b w:val="false"/>
          <w:i w:val="false"/>
          <w:color w:val="000000"/>
          <w:sz w:val="22"/>
        </w:rPr>
        <w:t>––––––––</w:t>
      </w:r>
    </w:p>
    <w:p>
      <w:pPr>
        <w:spacing w:after="150"/>
        <w:ind w:left="0"/>
        <w:jc w:val="left"/>
      </w:pPr>
      <w:r>
        <w:rPr>
          <w:rFonts w:ascii="Verdana"/>
          <w:b w:val="false"/>
          <w:i w:val="false"/>
          <w:color w:val="000000"/>
          <w:sz w:val="22"/>
        </w:rPr>
        <w:t>6	Табела је преузета из Обавештења о примени члана 7, страна 7 документа.</w:t>
      </w:r>
    </w:p>
    <w:p>
      <w:pPr>
        <w:spacing w:after="150"/>
        <w:ind w:left="0"/>
        <w:jc w:val="left"/>
      </w:pPr>
      <w:r>
        <w:rPr>
          <w:rFonts w:ascii="Verdana"/>
          <w:b w:val="false"/>
          <w:i w:val="false"/>
          <w:color w:val="000000"/>
          <w:sz w:val="22"/>
        </w:rPr>
        <w:t>Табела 12. Преглед реализованих уштеда наведених у складу са чланом 7. изражених у ktoe и процентима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52"/>
        <w:gridCol w:w="1602"/>
        <w:gridCol w:w="1602"/>
        <w:gridCol w:w="1918"/>
        <w:gridCol w:w="1919"/>
        <w:gridCol w:w="1919"/>
        <w:gridCol w:w="2235"/>
        <w:gridCol w:w="2553"/>
      </w:tblGrid>
      <w:tr>
        <w:trPr>
          <w:trHeight w:val="45" w:hRule="atLeast"/>
        </w:trPr>
        <w:tc>
          <w:tcPr>
            <w:tcW w:w="6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Година почетка примене</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1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w:t>
            </w:r>
          </w:p>
        </w:tc>
        <w:tc>
          <w:tcPr>
            <w:tcW w:w="22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w:t>
            </w:r>
          </w:p>
        </w:tc>
        <w:tc>
          <w:tcPr>
            <w:tcW w:w="2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Проценат у односу на циљ за 2020.</w:t>
            </w:r>
          </w:p>
        </w:tc>
      </w:tr>
      <w:tr>
        <w:trPr>
          <w:trHeight w:val="45" w:hRule="atLeast"/>
        </w:trPr>
        <w:tc>
          <w:tcPr>
            <w:tcW w:w="652"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СЕМ</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процене</w:t>
            </w:r>
          </w:p>
        </w:tc>
        <w:tc>
          <w:tcPr>
            <w:tcW w:w="1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процене</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процене</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процене</w:t>
            </w:r>
          </w:p>
        </w:tc>
        <w:tc>
          <w:tcPr>
            <w:tcW w:w="2235" w:type="dxa"/>
            <w:tcBorders>
              <w:top w:val="single" w:color="000000" w:sz="8"/>
              <w:left w:val="single" w:color="000000" w:sz="8"/>
              <w:bottom w:val="single" w:color="000000" w:sz="8"/>
              <w:right w:val="single" w:color="000000" w:sz="8"/>
            </w:tcBorders>
            <w:vAlign w:val="center"/>
          </w:tcPr>
          <w:p/>
        </w:tc>
        <w:tc>
          <w:tcPr>
            <w:tcW w:w="2553" w:type="dxa"/>
            <w:tcBorders>
              <w:top w:val="single" w:color="000000" w:sz="8"/>
              <w:left w:val="single" w:color="000000" w:sz="8"/>
              <w:bottom w:val="single" w:color="000000" w:sz="8"/>
              <w:right w:val="single" w:color="000000" w:sz="8"/>
            </w:tcBorders>
            <w:vAlign w:val="center"/>
          </w:tcPr>
          <w:p/>
        </w:tc>
      </w:tr>
      <w:tr>
        <w:trPr>
          <w:trHeight w:val="45" w:hRule="atLeast"/>
        </w:trPr>
        <w:tc>
          <w:tcPr>
            <w:tcW w:w="0" w:type="auto"/>
            <w:vMerge/>
            <w:tcBorders>
              <w:top w:val="nil"/>
              <w:left w:val="single" w:color="000000" w:sz="8"/>
              <w:bottom w:val="single" w:color="000000" w:sz="8"/>
              <w:right w:val="single" w:color="000000" w:sz="8"/>
            </w:tcBorders>
          </w:tcP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1602" w:type="dxa"/>
            <w:tcBorders>
              <w:top w:val="single" w:color="000000" w:sz="8"/>
              <w:left w:val="single" w:color="000000" w:sz="8"/>
              <w:bottom w:val="single" w:color="000000" w:sz="8"/>
              <w:right w:val="single" w:color="000000" w:sz="8"/>
            </w:tcBorders>
            <w:vAlign w:val="center"/>
          </w:tcPr>
          <w:p/>
        </w:tc>
        <w:tc>
          <w:tcPr>
            <w:tcW w:w="1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19,968</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19,968</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19,968</w:t>
            </w:r>
          </w:p>
        </w:tc>
        <w:tc>
          <w:tcPr>
            <w:tcW w:w="22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59,9</w:t>
            </w:r>
          </w:p>
        </w:tc>
        <w:tc>
          <w:tcPr>
            <w:tcW w:w="2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18,9%</w:t>
            </w:r>
          </w:p>
        </w:tc>
      </w:tr>
      <w:tr>
        <w:trPr>
          <w:trHeight w:val="45" w:hRule="atLeast"/>
        </w:trPr>
        <w:tc>
          <w:tcPr>
            <w:tcW w:w="652"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Подршка међународних финансијских институција</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0,414</w:t>
            </w:r>
          </w:p>
        </w:tc>
        <w:tc>
          <w:tcPr>
            <w:tcW w:w="1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0,414</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0,414</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0,414</w:t>
            </w:r>
          </w:p>
        </w:tc>
        <w:tc>
          <w:tcPr>
            <w:tcW w:w="22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1,656</w:t>
            </w:r>
          </w:p>
        </w:tc>
        <w:tc>
          <w:tcPr>
            <w:tcW w:w="2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0,52%</w:t>
            </w:r>
          </w:p>
        </w:tc>
      </w:tr>
      <w:tr>
        <w:trPr>
          <w:trHeight w:val="45" w:hRule="atLeast"/>
        </w:trPr>
        <w:tc>
          <w:tcPr>
            <w:tcW w:w="0" w:type="auto"/>
            <w:vMerge/>
            <w:tcBorders>
              <w:top w:val="nil"/>
              <w:left w:val="single" w:color="000000" w:sz="8"/>
              <w:bottom w:val="single" w:color="000000" w:sz="8"/>
              <w:right w:val="single" w:color="000000" w:sz="8"/>
            </w:tcBorders>
          </w:tcP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0,67</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0,67</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0,67</w:t>
            </w:r>
          </w:p>
        </w:tc>
        <w:tc>
          <w:tcPr>
            <w:tcW w:w="22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w:t>
            </w:r>
          </w:p>
        </w:tc>
        <w:tc>
          <w:tcPr>
            <w:tcW w:w="2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0,63%</w:t>
            </w:r>
          </w:p>
        </w:tc>
      </w:tr>
      <w:tr>
        <w:trPr>
          <w:trHeight w:val="45" w:hRule="atLeast"/>
        </w:trPr>
        <w:tc>
          <w:tcPr>
            <w:tcW w:w="652"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Буџетски фонд</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0,4</w:t>
            </w:r>
          </w:p>
        </w:tc>
        <w:tc>
          <w:tcPr>
            <w:tcW w:w="1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0,4</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0,4</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0,4</w:t>
            </w:r>
          </w:p>
        </w:tc>
        <w:tc>
          <w:tcPr>
            <w:tcW w:w="22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w:t>
            </w:r>
          </w:p>
        </w:tc>
        <w:tc>
          <w:tcPr>
            <w:tcW w:w="2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0,5%</w:t>
            </w:r>
          </w:p>
        </w:tc>
      </w:tr>
      <w:tr>
        <w:trPr>
          <w:trHeight w:val="45" w:hRule="atLeast"/>
        </w:trPr>
        <w:tc>
          <w:tcPr>
            <w:tcW w:w="0" w:type="auto"/>
            <w:vMerge/>
            <w:tcBorders>
              <w:top w:val="nil"/>
              <w:left w:val="single" w:color="000000" w:sz="8"/>
              <w:bottom w:val="single" w:color="000000" w:sz="8"/>
              <w:right w:val="single" w:color="000000" w:sz="8"/>
            </w:tcBorders>
          </w:tcP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1602" w:type="dxa"/>
            <w:tcBorders>
              <w:top w:val="single" w:color="000000" w:sz="8"/>
              <w:left w:val="single" w:color="000000" w:sz="8"/>
              <w:bottom w:val="single" w:color="000000" w:sz="8"/>
              <w:right w:val="single" w:color="000000" w:sz="8"/>
            </w:tcBorders>
            <w:vAlign w:val="center"/>
          </w:tcPr>
          <w:p/>
        </w:tc>
        <w:tc>
          <w:tcPr>
            <w:tcW w:w="1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0,154</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0,154</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0,154</w:t>
            </w:r>
          </w:p>
        </w:tc>
        <w:tc>
          <w:tcPr>
            <w:tcW w:w="22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0,462</w:t>
            </w:r>
          </w:p>
        </w:tc>
        <w:tc>
          <w:tcPr>
            <w:tcW w:w="2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0,15%</w:t>
            </w:r>
          </w:p>
        </w:tc>
      </w:tr>
      <w:tr>
        <w:trPr>
          <w:trHeight w:val="45" w:hRule="atLeast"/>
        </w:trPr>
        <w:tc>
          <w:tcPr>
            <w:tcW w:w="652"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Т1</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29,5</w:t>
            </w:r>
          </w:p>
        </w:tc>
        <w:tc>
          <w:tcPr>
            <w:tcW w:w="1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29,5</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29,5</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29,5</w:t>
            </w:r>
          </w:p>
        </w:tc>
        <w:tc>
          <w:tcPr>
            <w:tcW w:w="22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118</w:t>
            </w:r>
          </w:p>
        </w:tc>
        <w:tc>
          <w:tcPr>
            <w:tcW w:w="2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37,16%</w:t>
            </w:r>
          </w:p>
        </w:tc>
      </w:tr>
      <w:tr>
        <w:trPr>
          <w:trHeight w:val="45" w:hRule="atLeast"/>
        </w:trPr>
        <w:tc>
          <w:tcPr>
            <w:tcW w:w="0" w:type="auto"/>
            <w:vMerge/>
            <w:tcBorders>
              <w:top w:val="nil"/>
              <w:left w:val="single" w:color="000000" w:sz="8"/>
              <w:bottom w:val="single" w:color="000000" w:sz="8"/>
              <w:right w:val="single" w:color="000000" w:sz="8"/>
            </w:tcBorders>
          </w:tcP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1602" w:type="dxa"/>
            <w:tcBorders>
              <w:top w:val="single" w:color="000000" w:sz="8"/>
              <w:left w:val="single" w:color="000000" w:sz="8"/>
              <w:bottom w:val="single" w:color="000000" w:sz="8"/>
              <w:right w:val="single" w:color="000000" w:sz="8"/>
            </w:tcBorders>
            <w:vAlign w:val="center"/>
          </w:tcPr>
          <w:p/>
        </w:tc>
        <w:tc>
          <w:tcPr>
            <w:tcW w:w="1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29,5</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29,5</w:t>
            </w:r>
          </w:p>
        </w:tc>
        <w:tc>
          <w:tcPr>
            <w:tcW w:w="1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29,5</w:t>
            </w:r>
          </w:p>
        </w:tc>
        <w:tc>
          <w:tcPr>
            <w:tcW w:w="22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88,5</w:t>
            </w:r>
          </w:p>
        </w:tc>
        <w:tc>
          <w:tcPr>
            <w:tcW w:w="2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27,87%</w:t>
            </w:r>
          </w:p>
        </w:tc>
      </w:tr>
      <w:tr>
        <w:trPr>
          <w:trHeight w:val="45" w:hRule="atLeast"/>
        </w:trPr>
        <w:tc>
          <w:tcPr>
            <w:tcW w:w="0" w:type="auto"/>
            <w:gridSpan w:val="6"/>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w:t>
            </w:r>
          </w:p>
        </w:tc>
        <w:tc>
          <w:tcPr>
            <w:tcW w:w="22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272,128</w:t>
            </w:r>
          </w:p>
        </w:tc>
        <w:tc>
          <w:tcPr>
            <w:tcW w:w="2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85, 73%</w:t>
            </w:r>
          </w:p>
        </w:tc>
      </w:tr>
    </w:tbl>
    <w:p>
      <w:pPr>
        <w:spacing w:after="150"/>
        <w:ind w:left="0"/>
        <w:jc w:val="left"/>
      </w:pPr>
      <w:r>
        <w:rPr>
          <w:rFonts w:ascii="Verdana"/>
          <w:b w:val="false"/>
          <w:i w:val="false"/>
          <w:color w:val="000000"/>
          <w:sz w:val="22"/>
        </w:rPr>
        <w:t>На Буџетском фонду је збирно у периоду 2017–2019. године, завршено 36 пројеката. Уштеде су урађене на основу ОПГ методологије, на основу образаца које су сами корисници средстава подносили у складу са захтевима да извештавају о оствареним уштедама, који су били саставни део јавних позива.</w:t>
      </w:r>
    </w:p>
    <w:p>
      <w:pPr>
        <w:spacing w:after="150"/>
        <w:ind w:left="0"/>
        <w:jc w:val="left"/>
      </w:pPr>
      <w:r>
        <w:rPr>
          <w:rFonts w:ascii="Verdana"/>
          <w:b w:val="false"/>
          <w:i w:val="false"/>
          <w:color w:val="000000"/>
          <w:sz w:val="22"/>
        </w:rPr>
        <w:t>Мера Т1 која обухвата и меру Т6 за период до 2018. године, а које су описане у поглављима 2.1 и 3.5, прорачунате су користећи ОПГ приступ, а на основу доступних података о броју купљених и замењених путничких возила, средњег годишњег пређеног пута за различите категорије возила и потрошње дефинисане по ЕУРО стандарду.</w:t>
      </w:r>
    </w:p>
    <w:p>
      <w:pPr>
        <w:spacing w:after="120"/>
        <w:ind w:left="0"/>
        <w:jc w:val="center"/>
      </w:pPr>
      <w:r>
        <w:rPr>
          <w:rFonts w:ascii="Verdana"/>
          <w:b w:val="false"/>
          <w:i/>
          <w:color w:val="000000"/>
          <w:sz w:val="22"/>
        </w:rPr>
        <w:t>3.1.2. Енергетски прегледи и систем менаџмента (Члан 8. ЕЕД)</w:t>
      </w:r>
    </w:p>
    <w:p>
      <w:pPr>
        <w:spacing w:after="150"/>
        <w:ind w:left="0"/>
        <w:jc w:val="left"/>
      </w:pPr>
      <w:r>
        <w:rPr>
          <w:rFonts w:ascii="Verdana"/>
          <w:b w:val="false"/>
          <w:i w:val="false"/>
          <w:color w:val="000000"/>
          <w:sz w:val="22"/>
        </w:rPr>
        <w:t>На основу Закона о ефикасном коришћењу енергије, у Републици Србији је од 2014. године почело увођење Система енергетског менаџмента. Систем енергетског менаџмента се даље развија кроз важећи ЗЕЕРУЕ. Систем је обавезујући за велике потрошаче енергије – привредна друштва и јавна предузећа из производног и сектора трговине и услуга који троше више енергије од количине коју је прописала Влада, као и за органе државне управе, друге органе Републике Србије, органе аутономне покрајине, и организације обавезног социјалног осигурања, као и за јединице локалне самоуправе и градске општине са више од 20.000 становника и установе у јавној својини(у даљем тексту: обвезници система енергетског менаџмента/обвезници СЕМ). Обвезници СЕМ дужни су да остварују циљ уштеде енергије који је прописан Уредбом о утврђивању граничних вредности годишње потрошње енергије на основу којих се одређује која привредна друштва су обвезници система енергетског менаџмента, годишњих циљева уштеде енергије и обрасца пријаве о оствареној потрошњи енергије („Службени гласник РС”, број 18/16), а који за текућу календарску годину износи износи 1% од потрошње примарне енергије који су остварили у претходној календарској години. Обвезници СЕМ су поред тога, према закону дужни да именују потребан број енергетских менаџера и о томе обавесте министарство надлежно за послове енергетике, да доносе трогодишњи програм и годишњи план енергетске ефикасности, да спроводе мере за унапређење енергетске ефикасности наведене у програму односно плану, да достављају Министарству годишње извештаје о остваривању циљева уштеде енергије наведених у програму и плану, обезбеђују спровођење енергетских прегледа у прописаним роковима. Обвезници СЕМ за енергетске менаџере именују лице које има одговарајућу стручну спрему, радно искуство и које прође обуку, положи испит и добије одговарајућу лиценцу енергетског менаџера. За обуку енергетских менаџера (у даљем тексту: ЕМ) овлашћен је Машински факултет Универзитета у Београду.</w:t>
      </w:r>
    </w:p>
    <w:p>
      <w:pPr>
        <w:spacing w:after="150"/>
        <w:ind w:left="0"/>
        <w:jc w:val="left"/>
      </w:pPr>
      <w:r>
        <w:rPr>
          <w:rFonts w:ascii="Verdana"/>
          <w:b w:val="false"/>
          <w:i w:val="false"/>
          <w:color w:val="000000"/>
          <w:sz w:val="22"/>
        </w:rPr>
        <w:t>Од почетака примене Закона о ЕКЕ у области система енергетског менаџмента (СЕМ) до сада је лиценцирано 337 ЕМ. Обуку из области индустрије енергетике је прошло 263 лица а испит положило 199 лица, од којих је 176 лица добило лиценцу ЕМ. Обуку из области енергетике зграда је прошло 51 лице а испит су положила 52 лица од којих је 48 лица добило лиценцу ЕМ. Обуку из области општинске енергетике је прошло 125 лица а испит положило 120 лица од којих је 113 лица стекло лиценцу енергетског менаџера.</w:t>
      </w:r>
    </w:p>
    <w:p>
      <w:pPr>
        <w:spacing w:after="150"/>
        <w:ind w:left="0"/>
        <w:jc w:val="left"/>
      </w:pPr>
      <w:r>
        <w:rPr>
          <w:rFonts w:ascii="Verdana"/>
          <w:b w:val="false"/>
          <w:i w:val="false"/>
          <w:color w:val="000000"/>
          <w:sz w:val="22"/>
        </w:rPr>
        <w:t>До сада је идентификовано око 138 обвезника СЕМ, од којих 51 обвезник из сектора индустрије, 80 обвезника из јединица локалних самоуправа са преко 20.000 становника и седам обвезника из сектора трговине и услуга. Од тога је 55 обвезника у јавном сектору именовало 48 ЕМ, 38 обвезника у производном сектору су именовали 51 ЕМ и седам обвезника у сектору трговине и услуга су именовали 7 ЕМ. Годишње извештаје о остваривању циљева уштеде енергије за 2018. годину доставило је 25 обвезника из јавног сектора, сви обвезници из сектора трговине и услуга, а из сектора привреде достављено је 76 ГИ.</w:t>
      </w:r>
    </w:p>
    <w:p>
      <w:pPr>
        <w:spacing w:after="150"/>
        <w:ind w:left="0"/>
        <w:jc w:val="left"/>
      </w:pPr>
      <w:r>
        <w:rPr>
          <w:rFonts w:ascii="Verdana"/>
          <w:b w:val="false"/>
          <w:i w:val="false"/>
          <w:color w:val="000000"/>
          <w:sz w:val="22"/>
        </w:rPr>
        <w:t>Спровођење енергетских прегледа почеће након лиценцирања енергетских саветника. Лиценцирање енергетских саветника у претходном периоду није почело из разлога што је сагледано да је за спровођење енергетских прегледа потребно предвидети различите лиценце енергетских саветника зависно од стручне спреме и претходног радног искуства, као и да енергетске прегледе у зависности од врсте објекта који су предмет енергетског прегледа треба да обављају стручњаци из различитих области. У ЗЕЕРУЕ су дефинисани нови услови за лиценцирање енергетских саветника, тако што су предвиђене три врсте енергетских саветника (за област машинске технике, за област електротехнике и за област архитектуре); обуке су прилагођене таквим лиценцама. Осим тога, да би неко лице постало енергетски саветник, потребно је да претходно положи испит и за енергетског менаџера. У протекле три–четири године испит за ЕМ је положило доста лица, што је тек сада створило предуслов да уопште има кандидата који би могли да постану ЕС. Такође је сагледано да је, због очекиване велике стручности енергетских саветника, потребно дати већу тежину претходном искуству, што је рефлектовано у захтеву да енергетски саветник мора поседовати и одговарајућу лиценцу у складу са Законом о планирању и изградњи. У складу с тим предвиђено је да се донесу подзаконска акта која се односе на обуку енергетских саветника и начин спровођења енергетског прегледа. Након доношења поменутих подзаконских аката, треба спровести обуке, испите и лиценцирање енергетских саветника, да би могло да почне спровођење енергетских прегледа. Како би се у наредном периоду осигурало боље прикупљање података, њихова обрада и извештавање од стране обвезника СЕМ, али и боља анализа достављених података, у ЗЕЕРУЕ је предвиђена обавеза примене два информациона система СЕМИС и ИСЕМ који су већ у употреби. СЕМИС је намењен извештавању у складу са захтевима система енергетског менаџмента, док ИСЕМ омогућава корисницима из јавног сектора да боље сагледају и приоритизују активности у области енергетске ефикасности у објектима у њиховој надлежности. ЗЕЕРУЕ предвиђа аутоматско уношење података од стране снабдевача енергије о потрошњи енергије у јавним објектима у ИСЕМ, што ће значајно умањити посао уношења података од стране енергетских менаџера и омогућити им да више времена посвете идентификацији приоритетних мера и њиховом спровођењу. Подаци се из ИСЕМ могу повући у СЕМИС и искористити за извештавање.</w:t>
      </w:r>
    </w:p>
    <w:p>
      <w:pPr>
        <w:spacing w:after="150"/>
        <w:ind w:left="0"/>
        <w:jc w:val="left"/>
      </w:pPr>
      <w:r>
        <w:rPr>
          <w:rFonts w:ascii="Verdana"/>
          <w:b w:val="false"/>
          <w:i w:val="false"/>
          <w:color w:val="000000"/>
          <w:sz w:val="22"/>
        </w:rPr>
        <w:t>У циљу промовисања енергетских прегледа код малих и средњих предузећа (МСП), у оквиру ИПА пројекта из 2014. године „Техничка помоћ Министарству рударства и енергетике за спровођење новог Закона о енергетици, Националног акционог плана за енергетску ефикасност и Директиве о обновљивим изворима енергије” EuropeAid/138041/IH/SER/RS, чија је реализација почела у марту 2019. године, предвиђено је да се за МСП уради методологија енергетских прегледа, да се спроведе јавни позив за МСП за које би се урадили енергетски прегледи, након чега би се резултати промовисали кроз радионице. Ова активност се спроводи у складу са чланом 8. став 2. ЕЕД.</w:t>
      </w:r>
    </w:p>
    <w:p>
      <w:pPr>
        <w:spacing w:after="120"/>
        <w:ind w:left="0"/>
        <w:jc w:val="center"/>
      </w:pPr>
      <w:r>
        <w:rPr>
          <w:rFonts w:ascii="Verdana"/>
          <w:b w:val="false"/>
          <w:i/>
          <w:color w:val="000000"/>
          <w:sz w:val="22"/>
        </w:rPr>
        <w:t>3.1.3. Мерење и обрачун (Чланови 9–11 ЕЕД)</w:t>
      </w:r>
    </w:p>
    <w:p>
      <w:pPr>
        <w:spacing w:after="150"/>
        <w:ind w:left="0"/>
        <w:jc w:val="left"/>
      </w:pPr>
      <w:r>
        <w:rPr>
          <w:rFonts w:ascii="Verdana"/>
          <w:b w:val="false"/>
          <w:i w:val="false"/>
          <w:color w:val="000000"/>
          <w:sz w:val="22"/>
        </w:rPr>
        <w:t>ЗЕЕРУЕ прописује у члану 52. став 3. обавезу снабдевача топлотном енергијом да приликом утврђивања месечног обрачуна за испоручену топлотну енергију крајњем купцу, узима у обзир измерену предату топлотну енергију згради, која се расподељује на основу регистроване потрошње на уређајима за мерење предате топлотне енергије делу зграде или делитељима топлоте на сваком грејном телу или на основу површине дела зграде. У члану 51. ЗЕЕРУЕ прописана је обавеза дистрибутера топлотне енергије да угради уређаје за мерење предате топлотне енергије за нове и постојеће објекте. Исти члан прописује да министар прописује методолошки оквир одређивања техничке изводљивости и трошковнe оправданoсти уградње поменутих уређаја.</w:t>
      </w:r>
    </w:p>
    <w:p>
      <w:pPr>
        <w:spacing w:after="150"/>
        <w:ind w:left="0"/>
        <w:jc w:val="left"/>
      </w:pPr>
      <w:r>
        <w:rPr>
          <w:rFonts w:ascii="Verdana"/>
          <w:b w:val="false"/>
          <w:i w:val="false"/>
          <w:color w:val="000000"/>
          <w:sz w:val="22"/>
        </w:rPr>
        <w:t>У складу са Законом о енергетици Влада је усвојила Уредбу о утврђивању методологије за одређивање цене снабдевања крајњег купца топлотном енергијом („Службени гласник РС”, број 63/15) којом се утврђује Методологија за одређивање цене снабдевања крајњег купца топлотном енергијом. Методологија, између осталог предвиђа одређивање тарифних елемената, тарифа и начин њиховог израчунавања за обрачун топлотне енергије коју енергетски субјект испоручује крајњим купцима топлотне енергије.</w:t>
      </w:r>
    </w:p>
    <w:p>
      <w:pPr>
        <w:spacing w:after="150"/>
        <w:ind w:left="0"/>
        <w:jc w:val="left"/>
      </w:pPr>
      <w:r>
        <w:rPr>
          <w:rFonts w:ascii="Verdana"/>
          <w:b w:val="false"/>
          <w:i w:val="false"/>
          <w:color w:val="000000"/>
          <w:sz w:val="22"/>
        </w:rPr>
        <w:t>Према члану 49. став 1. ЗЕЕРУЕ, оператор преносног, дистрибутивног и затвореног дистрибутивног система електричне енергије, односно транспортног и дистрибутивног система природног гаса, дужан је да при замени мерног уређаја и уградњи новог мерног уређаја на свим местима испоруке енергије на новим и реконструисаним прикључцима, као и на другим местима испоруке, у мери у којој је то технички могуће и економски оправдано и сразмерно потенцијалним уштедама енергије, крајњим купцима уграде уређај за мерење испоручене количине енергије који пружа податке о стварно испорученој количини енергије у стварном временском периоду испоруке енергије, у складу са законом којим се уређује област енергетике, односно законом којим се уређује цевоводни транспорт и дистрибуција угљоводоника.</w:t>
      </w:r>
    </w:p>
    <w:p>
      <w:pPr>
        <w:spacing w:after="120"/>
        <w:ind w:left="0"/>
        <w:jc w:val="center"/>
      </w:pPr>
      <w:r>
        <w:rPr>
          <w:rFonts w:ascii="Verdana"/>
          <w:b w:val="false"/>
          <w:i w:val="false"/>
          <w:color w:val="000000"/>
          <w:sz w:val="22"/>
        </w:rPr>
        <w:t>Рачуни који показују податке о потрошњи (informative billing)</w:t>
      </w:r>
    </w:p>
    <w:p>
      <w:pPr>
        <w:spacing w:after="150"/>
        <w:ind w:left="0"/>
        <w:jc w:val="left"/>
      </w:pPr>
      <w:r>
        <w:rPr>
          <w:rFonts w:ascii="Verdana"/>
          <w:b w:val="false"/>
          <w:i w:val="false"/>
          <w:color w:val="000000"/>
          <w:sz w:val="22"/>
        </w:rPr>
        <w:t>У складу са чланом 53. ЗЕЕРУЕ, јавна предузећа и друге компаније које се баве дистрибуцијом и снабдевањем електричном и топлотном енергијом једном месечно достављају веома детаљне информације о количини електричне енергије (топлотне) испоручене купцима, као и мерама за побољшање енергетске ефикасности, одвојено од рачуна или у самом рачуну. Иста обавеза ће се применити и на јавна предузећа и друге компаније које се баве дистрибуцијом и снабдевањем природним гасом.</w:t>
      </w:r>
    </w:p>
    <w:p>
      <w:pPr>
        <w:spacing w:after="150"/>
        <w:ind w:left="0"/>
        <w:jc w:val="left"/>
      </w:pPr>
      <w:r>
        <w:rPr>
          <w:rFonts w:ascii="Verdana"/>
          <w:b w:val="false"/>
          <w:i w:val="false"/>
          <w:color w:val="000000"/>
          <w:sz w:val="22"/>
        </w:rPr>
        <w:t>Члан 53. Закона о ЕКЕ прописује следеће: Јавна предузећа и друге компаније које се баве дистрибуцијом и снабдевањем електричном и топлотном енергијом обезбеђују следеће податке купцима потрошачима једном месечно, одвојено од рачуна или у самом рачуну за испоручену енергију:</w:t>
      </w:r>
    </w:p>
    <w:p>
      <w:pPr>
        <w:spacing w:after="150"/>
        <w:ind w:left="0"/>
        <w:jc w:val="left"/>
      </w:pPr>
      <w:r>
        <w:rPr>
          <w:rFonts w:ascii="Verdana"/>
          <w:b w:val="false"/>
          <w:i w:val="false"/>
          <w:color w:val="000000"/>
          <w:sz w:val="22"/>
        </w:rPr>
        <w:t>– количина енергије коју је купац преузео током претходног месеца;</w:t>
      </w:r>
    </w:p>
    <w:p>
      <w:pPr>
        <w:spacing w:after="150"/>
        <w:ind w:left="0"/>
        <w:jc w:val="left"/>
      </w:pPr>
      <w:r>
        <w:rPr>
          <w:rFonts w:ascii="Verdana"/>
          <w:b w:val="false"/>
          <w:i w:val="false"/>
          <w:color w:val="000000"/>
          <w:sz w:val="22"/>
        </w:rPr>
        <w:t>– просечна цена енергије за тог купца у том месецу;</w:t>
      </w:r>
    </w:p>
    <w:p>
      <w:pPr>
        <w:spacing w:after="150"/>
        <w:ind w:left="0"/>
        <w:jc w:val="left"/>
      </w:pPr>
      <w:r>
        <w:rPr>
          <w:rFonts w:ascii="Verdana"/>
          <w:b w:val="false"/>
          <w:i w:val="false"/>
          <w:color w:val="000000"/>
          <w:sz w:val="22"/>
        </w:rPr>
        <w:t>– цене за сваки елемент на основу којег је урађен обрачун утрошене енергије;</w:t>
      </w:r>
    </w:p>
    <w:p>
      <w:pPr>
        <w:spacing w:after="150"/>
        <w:ind w:left="0"/>
        <w:jc w:val="left"/>
      </w:pPr>
      <w:r>
        <w:rPr>
          <w:rFonts w:ascii="Verdana"/>
          <w:b w:val="false"/>
          <w:i w:val="false"/>
          <w:color w:val="000000"/>
          <w:sz w:val="22"/>
        </w:rPr>
        <w:t>– укупна количина испоручене енергије купцу и ниво његове месечне потрошње енергије током протеклих 12 месеци;</w:t>
      </w:r>
    </w:p>
    <w:p>
      <w:pPr>
        <w:spacing w:after="150"/>
        <w:ind w:left="0"/>
        <w:jc w:val="left"/>
      </w:pPr>
      <w:r>
        <w:rPr>
          <w:rFonts w:ascii="Verdana"/>
          <w:b w:val="false"/>
          <w:i w:val="false"/>
          <w:color w:val="000000"/>
          <w:sz w:val="22"/>
        </w:rPr>
        <w:t>– однос количине испоручене енергије купцу током претходног месеца и енергије испоручене купцу у истом месецу претходне године;</w:t>
      </w:r>
    </w:p>
    <w:p>
      <w:pPr>
        <w:spacing w:after="150"/>
        <w:ind w:left="0"/>
        <w:jc w:val="left"/>
      </w:pPr>
      <w:r>
        <w:rPr>
          <w:rFonts w:ascii="Verdana"/>
          <w:b w:val="false"/>
          <w:i w:val="false"/>
          <w:color w:val="000000"/>
          <w:sz w:val="22"/>
        </w:rPr>
        <w:t>– однос количине енергије испоручене купцу и просечне количине енергије испоручене купцима исте категорије;</w:t>
      </w:r>
    </w:p>
    <w:p>
      <w:pPr>
        <w:spacing w:after="150"/>
        <w:ind w:left="0"/>
        <w:jc w:val="left"/>
      </w:pPr>
      <w:r>
        <w:rPr>
          <w:rFonts w:ascii="Verdana"/>
          <w:b w:val="false"/>
          <w:i w:val="false"/>
          <w:color w:val="000000"/>
          <w:sz w:val="22"/>
        </w:rPr>
        <w:t>– начинима да купци добију информације о доступним мерама побољшања енергетске ефикасности;</w:t>
      </w:r>
    </w:p>
    <w:p>
      <w:pPr>
        <w:spacing w:after="150"/>
        <w:ind w:left="0"/>
        <w:jc w:val="left"/>
      </w:pPr>
      <w:r>
        <w:rPr>
          <w:rFonts w:ascii="Verdana"/>
          <w:b w:val="false"/>
          <w:i w:val="false"/>
          <w:color w:val="000000"/>
          <w:sz w:val="22"/>
        </w:rPr>
        <w:t>– списку мера које купци могу да предузму у циљу уштеде енергије, као и друге информације које могу бити од значаја за рационално коришћење и употребу енергије.</w:t>
      </w:r>
    </w:p>
    <w:p>
      <w:pPr>
        <w:spacing w:after="150"/>
        <w:ind w:left="0"/>
        <w:jc w:val="left"/>
      </w:pPr>
      <w:r>
        <w:rPr>
          <w:rFonts w:ascii="Verdana"/>
          <w:b w:val="false"/>
          <w:i w:val="false"/>
          <w:color w:val="000000"/>
          <w:sz w:val="22"/>
        </w:rPr>
        <w:t>Горе наведене обавезе информисања купаца се за топлотну енергију примењују само на период грејне сезоне; оне се сходно примењује и на испоруку и снабдевање природним гасом.</w:t>
      </w:r>
    </w:p>
    <w:p>
      <w:pPr>
        <w:spacing w:after="150"/>
        <w:ind w:left="0"/>
        <w:jc w:val="left"/>
      </w:pPr>
      <w:r>
        <w:rPr>
          <w:rFonts w:ascii="Verdana"/>
          <w:b w:val="false"/>
          <w:i w:val="false"/>
          <w:color w:val="000000"/>
          <w:sz w:val="22"/>
        </w:rPr>
        <w:t>Неки од захтеваних података већ се налазе на рачуну за електричну енергију.</w:t>
      </w:r>
    </w:p>
    <w:p>
      <w:pPr>
        <w:spacing w:after="120"/>
        <w:ind w:left="0"/>
        <w:jc w:val="center"/>
      </w:pPr>
      <w:r>
        <w:rPr>
          <w:rFonts w:ascii="Verdana"/>
          <w:b w:val="false"/>
          <w:i w:val="false"/>
          <w:color w:val="000000"/>
          <w:sz w:val="22"/>
        </w:rPr>
        <w:t>Паметна бројила</w:t>
      </w:r>
    </w:p>
    <w:p>
      <w:pPr>
        <w:spacing w:after="150"/>
        <w:ind w:left="0"/>
        <w:jc w:val="left"/>
      </w:pPr>
      <w:r>
        <w:rPr>
          <w:rFonts w:ascii="Verdana"/>
          <w:b w:val="false"/>
          <w:i w:val="false"/>
          <w:color w:val="000000"/>
          <w:sz w:val="22"/>
        </w:rPr>
        <w:t>Електродистрибуција Србије је иницирала пројект „Smart Metering” за набавку напредних мерних система. Пројекат подразумева набавку и замену класичних мерних уређаја савременим електронским мерним уређајима који имају могућност комуникације (паметна бројила), као и набавку и успостављање система (софтвера и хардвера) за њихово очитавање, управљање и прикупљање података.</w:t>
      </w:r>
    </w:p>
    <w:p>
      <w:pPr>
        <w:spacing w:after="150"/>
        <w:ind w:left="0"/>
        <w:jc w:val="left"/>
      </w:pPr>
      <w:r>
        <w:rPr>
          <w:rFonts w:ascii="Verdana"/>
          <w:b w:val="false"/>
          <w:i w:val="false"/>
          <w:color w:val="000000"/>
          <w:sz w:val="22"/>
        </w:rPr>
        <w:t>Најважнији циљеви примене напредних мерних система који су директно везани за енергетску ефикасност су следећи:</w:t>
      </w:r>
    </w:p>
    <w:p>
      <w:pPr>
        <w:spacing w:after="150"/>
        <w:ind w:left="0"/>
        <w:jc w:val="left"/>
      </w:pPr>
      <w:r>
        <w:rPr>
          <w:rFonts w:ascii="Verdana"/>
          <w:b w:val="false"/>
          <w:i w:val="false"/>
          <w:color w:val="000000"/>
          <w:sz w:val="22"/>
        </w:rPr>
        <w:t>– смањење трошкова очитавања мерних уређаја и повећање броја очитаних мерних уређаја,</w:t>
      </w:r>
    </w:p>
    <w:p>
      <w:pPr>
        <w:spacing w:after="150"/>
        <w:ind w:left="0"/>
        <w:jc w:val="left"/>
      </w:pPr>
      <w:r>
        <w:rPr>
          <w:rFonts w:ascii="Verdana"/>
          <w:b w:val="false"/>
          <w:i w:val="false"/>
          <w:color w:val="000000"/>
          <w:sz w:val="22"/>
        </w:rPr>
        <w:t>– већа прецизност мерења,</w:t>
      </w:r>
    </w:p>
    <w:p>
      <w:pPr>
        <w:spacing w:after="150"/>
        <w:ind w:left="0"/>
        <w:jc w:val="left"/>
      </w:pPr>
      <w:r>
        <w:rPr>
          <w:rFonts w:ascii="Verdana"/>
          <w:b w:val="false"/>
          <w:i w:val="false"/>
          <w:color w:val="000000"/>
          <w:sz w:val="22"/>
        </w:rPr>
        <w:t>– смањење губитака који нису техничке природе,</w:t>
      </w:r>
    </w:p>
    <w:p>
      <w:pPr>
        <w:spacing w:after="150"/>
        <w:ind w:left="0"/>
        <w:jc w:val="left"/>
      </w:pPr>
      <w:r>
        <w:rPr>
          <w:rFonts w:ascii="Verdana"/>
          <w:b w:val="false"/>
          <w:i w:val="false"/>
          <w:color w:val="000000"/>
          <w:sz w:val="22"/>
        </w:rPr>
        <w:t>– технолошка платформа за увођење сложенијег тарифног система,</w:t>
      </w:r>
    </w:p>
    <w:p>
      <w:pPr>
        <w:spacing w:after="150"/>
        <w:ind w:left="0"/>
        <w:jc w:val="left"/>
      </w:pPr>
      <w:r>
        <w:rPr>
          <w:rFonts w:ascii="Verdana"/>
          <w:b w:val="false"/>
          <w:i w:val="false"/>
          <w:color w:val="000000"/>
          <w:sz w:val="22"/>
        </w:rPr>
        <w:t>– боље управљање дистрибутивним системом,</w:t>
      </w:r>
    </w:p>
    <w:p>
      <w:pPr>
        <w:spacing w:after="150"/>
        <w:ind w:left="0"/>
        <w:jc w:val="left"/>
      </w:pPr>
      <w:r>
        <w:rPr>
          <w:rFonts w:ascii="Verdana"/>
          <w:b w:val="false"/>
          <w:i w:val="false"/>
          <w:color w:val="000000"/>
          <w:sz w:val="22"/>
        </w:rPr>
        <w:t>– боља употреба мрежних капацитета,</w:t>
      </w:r>
    </w:p>
    <w:p>
      <w:pPr>
        <w:spacing w:after="150"/>
        <w:ind w:left="0"/>
        <w:jc w:val="left"/>
      </w:pPr>
      <w:r>
        <w:rPr>
          <w:rFonts w:ascii="Verdana"/>
          <w:b w:val="false"/>
          <w:i w:val="false"/>
          <w:color w:val="000000"/>
          <w:sz w:val="22"/>
        </w:rPr>
        <w:t>– боље планирање развоја дистрибутивне мреже,</w:t>
      </w:r>
    </w:p>
    <w:p>
      <w:pPr>
        <w:spacing w:after="150"/>
        <w:ind w:left="0"/>
        <w:jc w:val="left"/>
      </w:pPr>
      <w:r>
        <w:rPr>
          <w:rFonts w:ascii="Verdana"/>
          <w:b w:val="false"/>
          <w:i w:val="false"/>
          <w:color w:val="000000"/>
          <w:sz w:val="22"/>
        </w:rPr>
        <w:t>– смањени трошкови одржавања,</w:t>
      </w:r>
    </w:p>
    <w:p>
      <w:pPr>
        <w:spacing w:after="150"/>
        <w:ind w:left="0"/>
        <w:jc w:val="left"/>
      </w:pPr>
      <w:r>
        <w:rPr>
          <w:rFonts w:ascii="Verdana"/>
          <w:b w:val="false"/>
          <w:i w:val="false"/>
          <w:color w:val="000000"/>
          <w:sz w:val="22"/>
        </w:rPr>
        <w:t>– боља поузданост мреже,</w:t>
      </w:r>
    </w:p>
    <w:p>
      <w:pPr>
        <w:spacing w:after="150"/>
        <w:ind w:left="0"/>
        <w:jc w:val="left"/>
      </w:pPr>
      <w:r>
        <w:rPr>
          <w:rFonts w:ascii="Verdana"/>
          <w:b w:val="false"/>
          <w:i w:val="false"/>
          <w:color w:val="000000"/>
          <w:sz w:val="22"/>
        </w:rPr>
        <w:t>– реализација главних претпоставки за примену паметних мрежа.</w:t>
      </w:r>
    </w:p>
    <w:p>
      <w:pPr>
        <w:spacing w:after="150"/>
        <w:ind w:left="0"/>
        <w:jc w:val="left"/>
      </w:pPr>
      <w:r>
        <w:rPr>
          <w:rFonts w:ascii="Verdana"/>
          <w:b w:val="false"/>
          <w:i w:val="false"/>
          <w:color w:val="000000"/>
          <w:sz w:val="22"/>
        </w:rPr>
        <w:t>Прва фаза овог пројекта подразумева набавку IT и мерне инфраструктуре, уређаја и уградњу око 200.000 мерних уређаја. Планирано је да се пројекат финансира из зајма Европске банке за реконструкцију и развој (EBRD) и Европске инвестиционе банке (ЕИБ).</w:t>
      </w:r>
    </w:p>
    <w:p>
      <w:pPr>
        <w:spacing w:after="150"/>
        <w:ind w:left="0"/>
        <w:jc w:val="left"/>
      </w:pPr>
      <w:r>
        <w:rPr>
          <w:rFonts w:ascii="Verdana"/>
          <w:b w:val="false"/>
          <w:i w:val="false"/>
          <w:color w:val="000000"/>
          <w:sz w:val="22"/>
        </w:rPr>
        <w:t>Поред техничких и економских оправданости за увођење и примену оваквог система, очекује се да ће он имати и значајан ефекат на развој тржишта, као и да ће бити од користи за појединачне категорије корисника система. Тачно и ефикасно очитавање утрошака електричне енергије, обезбеђује благовремене и поуздане податке о потрошњи и производњи електричне енергије. Између осталог, крајњим купцима је могуће обезбедити свакодневни увид (нпр. путем наменског wеб сајта) у тачну потрошњу електричне енергије на њиховим мерним местима, што може да стимулише крајње купце да рационалније троше електричну енергију, чиме се, у складу са директивама ЕУ, промовише енергетска ефикасност.</w:t>
      </w:r>
    </w:p>
    <w:p>
      <w:pPr>
        <w:spacing w:after="150"/>
        <w:ind w:left="0"/>
        <w:jc w:val="left"/>
      </w:pPr>
      <w:r>
        <w:rPr>
          <w:rFonts w:ascii="Verdana"/>
          <w:b w:val="false"/>
          <w:i w:val="false"/>
          <w:color w:val="000000"/>
          <w:sz w:val="22"/>
        </w:rPr>
        <w:t>Пројект ће представљати језгро будућег система за даљинско очитавање мерних уређаја, који би требало етапно да обухвати око 80% мерних уређаја у категорији широка потрошња у Републици Србији. Такође, извесно је да би такав систем постао део ширег система напредних мрежа (SmartGrid) што је и тенденција у свету.</w:t>
      </w:r>
    </w:p>
    <w:p>
      <w:pPr>
        <w:spacing w:after="150"/>
        <w:ind w:left="0"/>
        <w:jc w:val="left"/>
      </w:pPr>
      <w:r>
        <w:rPr>
          <w:rFonts w:ascii="Verdana"/>
          <w:b w:val="false"/>
          <w:i w:val="false"/>
          <w:color w:val="000000"/>
          <w:sz w:val="22"/>
        </w:rPr>
        <w:t>Поред увођења паметних бројила, у току је стална активност циклусне замене постојећих мерних уређаја.</w:t>
      </w:r>
    </w:p>
    <w:p>
      <w:pPr>
        <w:spacing w:after="120"/>
        <w:ind w:left="0"/>
        <w:jc w:val="center"/>
      </w:pPr>
      <w:r>
        <w:rPr>
          <w:rFonts w:ascii="Verdana"/>
          <w:b w:val="false"/>
          <w:i/>
          <w:color w:val="000000"/>
          <w:sz w:val="22"/>
        </w:rPr>
        <w:t>3.1.4. Информативни програми за потрошаче и обука (Чл. 12. и 17. ЕЕД)</w:t>
      </w:r>
    </w:p>
    <w:p>
      <w:pPr>
        <w:spacing w:after="150"/>
        <w:ind w:left="0"/>
        <w:jc w:val="left"/>
      </w:pPr>
      <w:r>
        <w:rPr>
          <w:rFonts w:ascii="Verdana"/>
          <w:b w:val="false"/>
          <w:i w:val="false"/>
          <w:color w:val="000000"/>
          <w:sz w:val="22"/>
        </w:rPr>
        <w:t>Министарство рударства и енергетике у оквиру својих активности спроводи пројекте и програме који укључују различите информативне мере, мере подизања свести и обуке крајњих потрошача и купаца. Информативне и промотивне активности за наредни период предвиђене су да буду спроведене кроз два ИПА пројекта који се паралелно спроводе: ИПА 14 пројекат „Техничка помоћ Министарству рударства и енергетике за спровођење новог закона о енергетици, националног акционог плана за енергетску ефикасност и директиве о обновљивим изворима енергије” (EuropeAid/138041/IH/SER/RS) и ИПА 16 пројекат „Успостављање и јачање капацитета тела за оцењивање усаглашености за имплементацију директива о енергетском означавању и еко дизајну” (EuropeAid/139199/DH/SER/RS).</w:t>
      </w:r>
    </w:p>
    <w:p>
      <w:pPr>
        <w:spacing w:after="150"/>
        <w:ind w:left="0"/>
        <w:jc w:val="left"/>
      </w:pPr>
      <w:r>
        <w:rPr>
          <w:rFonts w:ascii="Verdana"/>
          <w:b w:val="false"/>
          <w:i w:val="false"/>
          <w:color w:val="000000"/>
          <w:sz w:val="22"/>
        </w:rPr>
        <w:t>ИПА 2014 пројекат има за циљ да се регулатива у Републици Србији усагласи са регулативом ЕУ у области енергетске ефикасности, да се помогне њена имплементација али и да се припреми петогодишња стратегија подизања свести чији ће један део (у вредности од 130.000 €) бити и имплементиран кроз сам пројекат. Стратегија и план треба да обухвате све секторе потрошње енергије али је предвиђено да главни фокус буде на сектору домаћинстава. С обзиром да су промотивне активности предвиђене и на пројекту ИПА 2016, међу пројектима је успостављена комуникација како би се избегла преклапања активности односно постигла синергија ефеката промотивних активности.</w:t>
      </w:r>
    </w:p>
    <w:p>
      <w:pPr>
        <w:spacing w:after="150"/>
        <w:ind w:left="0"/>
        <w:jc w:val="left"/>
      </w:pPr>
      <w:r>
        <w:rPr>
          <w:rFonts w:ascii="Verdana"/>
          <w:b w:val="false"/>
          <w:i w:val="false"/>
          <w:color w:val="000000"/>
          <w:sz w:val="22"/>
        </w:rPr>
        <w:t>ИПА 2016 пројекат има за циљ успостављање система инфраструктуре квалитета за примену прописа о техничким захтевима за производе који утичу на потрошњу енергије. Како је за адекватну примену наведених прописа један од кључних чинилаца широко и свестрано познавање проблематике енергетског означавања и препознавање знака усаглашености, у оквиру пројекта је само за активности подизања свести обезбеђено 200.000 €. У оквиру тих активности биће извршено истраживање о знању и информисаности грађана о значењу и значају енергетског означавања пре и након имплементације ИПА 2016 пројекта, биће припремљен акциони план за подизање опште свети о значају енергетске ефикасности са акцентом на енергетски ефикасне уређаје и биће имплементирана кампања развијена кроз план. Овај план биће усаглашен са стратегијом подизања свести која ће бити припремљена у оквиру ИПА 2014 пројекта. Посебан значај у овим активностима имаће националне организације потрошача које треба да препознају своју улогу у захтеву да производи који утичу на потрошњу енергије, а који се пласирају на тржиште, морају бити усаглашени са свим релевантним техничким прописима. Део активности у успостављању инфраструктуре квалитета спроводе произвођачи уређаја који утичу на потрошњу енергије и тела за оцењивање усаглашености која ће проћи кроз обуку у припреми и примени прописа из ове области. Пројекат је отпочео септембра 2019. године и трајаће 30 месеци.</w:t>
      </w:r>
    </w:p>
    <w:p>
      <w:pPr>
        <w:spacing w:after="150"/>
        <w:ind w:left="0"/>
        <w:jc w:val="left"/>
      </w:pPr>
      <w:r>
        <w:rPr>
          <w:rFonts w:ascii="Verdana"/>
          <w:b w:val="false"/>
          <w:i w:val="false"/>
          <w:color w:val="000000"/>
          <w:sz w:val="22"/>
        </w:rPr>
        <w:t>Што се обука тиче, систематске обуке су, у складу са Законом о ефикасном коришћењу енергије почеле да се врше за потребе примене система енергетског менаџмента на Машинском факултету Универзитета у Београду, а очекује се да буду настављена у складу са ЗЕЕРУЕ. Више информација о обукама у одељку 3.12 и 3.1.5.</w:t>
      </w:r>
    </w:p>
    <w:p>
      <w:pPr>
        <w:spacing w:after="150"/>
        <w:ind w:left="0"/>
        <w:jc w:val="left"/>
      </w:pPr>
      <w:r>
        <w:rPr>
          <w:rFonts w:ascii="Verdana"/>
          <w:b w:val="false"/>
          <w:i w:val="false"/>
          <w:color w:val="000000"/>
          <w:sz w:val="22"/>
        </w:rPr>
        <w:t>У оквиру пројекта „Енергетска ефикасност у јавним објектимаˮ који је Министарство реализовало у сарадњи са Министарством грађевинарства, саобраћаја и инфраструктуре, Министарством просвете, науке и технолошког развоја, Привредном комором Србије и Немачком организацијом за међународну сарадњу – GIZ развијена је обука из ефикасног коришћења енергије за домаре и запослене у јавним објектима. Уз менторску подршку немачке тренинг институције креиран је програм обуке за домаре у школама и вртићима. Привредна комора Србија је спроводила обуке и обухваћено је 320 домара из укупно 20 јединица локалне самоуправе. Министарство планира да у наредним позивима за коришћење средстава Управе за финансирање и подстицање енергетске ефикасности предвиди средства за обуке домара за оне општине чији пројекти су одобрени. Привредна комора Србије је организовала обуке и за четири општине које су обухваћене пројектом швајцарске Владе „Пројекат енергетске ефикасности и управљања енергијом у општинама (ПЕЕУЕО) у Србији”.</w:t>
      </w:r>
    </w:p>
    <w:p>
      <w:pPr>
        <w:spacing w:after="120"/>
        <w:ind w:left="0"/>
        <w:jc w:val="center"/>
      </w:pPr>
      <w:r>
        <w:rPr>
          <w:rFonts w:ascii="Verdana"/>
          <w:b w:val="false"/>
          <w:i/>
          <w:color w:val="000000"/>
          <w:sz w:val="22"/>
        </w:rPr>
        <w:t>3.1.5. Доступност шема за квалификацију, акредитацију и сертификацију (Члан 16. ЕЕД)</w:t>
      </w:r>
    </w:p>
    <w:p>
      <w:pPr>
        <w:spacing w:after="150"/>
        <w:ind w:left="0"/>
        <w:jc w:val="left"/>
      </w:pPr>
      <w:r>
        <w:rPr>
          <w:rFonts w:ascii="Verdana"/>
          <w:b w:val="false"/>
          <w:i w:val="false"/>
          <w:color w:val="000000"/>
          <w:sz w:val="22"/>
        </w:rPr>
        <w:t>У оквиру Система енергетског менаџмента законом је предвиђена обука и лиценцирање енергетских менаџера и енергетских саветника. Министарство је 2015. године дало овлашћење Машинском факултету Универзитета у Београду за обављање послова обуке енергетских менаџера и енергетских саветника у трајању од четири године, а 2019. године је овлашћење обновљено за период од наредне четири године. До сада су одржане бројне обуке и испити за енергетске менаџере. Лицима која положе испит за енергетског менаџера Министарство по поднетом захтеву и након провере испуњености прописаних услова, издаје лиценцу ЕМ. У ЗЕЕРУЕ су измењени су услови за обуку и лиценцирање енергетских саветника, па ће након доношења подзаконских аката који се односе на обуку и испит за енергетског саветника (у даљем тексту: ЕС), почети одржавање обука и испит за ЕС, као и њихово лиценцирање.</w:t>
      </w:r>
    </w:p>
    <w:p>
      <w:pPr>
        <w:spacing w:after="150"/>
        <w:ind w:left="0"/>
        <w:jc w:val="left"/>
      </w:pPr>
      <w:r>
        <w:rPr>
          <w:rFonts w:ascii="Verdana"/>
          <w:b w:val="false"/>
          <w:i w:val="false"/>
          <w:color w:val="000000"/>
          <w:sz w:val="22"/>
        </w:rPr>
        <w:t>Законом о планирању и изградњи, чланом 4, прописано да зграда која за своје функционисање подразумева утрошак енергије, мора бити пројектована, изграђена, коришћена и одржавана на начин којим се обезбеђују прописана енергетска својства зграда, а која се утврђују издавањем сертификата о енергетским својствима зграда који издаје овлашћена организација која испуњава прописане услове за издавање сертификата о енергетским својствима зграда, као и да сертификат о енергетским својствима зграда чини саставни део техничке документације која се прилаже уз захтев за издавање употребне дозволе. Министар надлежан за послове грађевинарства посебним решењем утврђује испуњеност услова овлашћених организација као и лиценцирање одговорног инжењера за енергетску ефикасност. У циљу дефинисања издавања сертификата (енергетских пасоша) као и израде енергетских елабората за зграде донет је Правилник о условима, садржини и начину издавања сертификата о енергетским својствима зграда („Службени гласник РС”, бр. 69/12, 44/18 – др. пропис ).</w:t>
      </w:r>
    </w:p>
    <w:p>
      <w:pPr>
        <w:spacing w:after="150"/>
        <w:ind w:left="0"/>
        <w:jc w:val="left"/>
      </w:pPr>
      <w:r>
        <w:rPr>
          <w:rFonts w:ascii="Verdana"/>
          <w:b w:val="false"/>
          <w:i w:val="false"/>
          <w:color w:val="000000"/>
          <w:sz w:val="22"/>
        </w:rPr>
        <w:t>Инжењерска комора Србије (www.ingkomora.org.rs) организује и спроводи стручно усавршавање инжењера за област енергетске ефикасности у зградама.</w:t>
      </w:r>
    </w:p>
    <w:p>
      <w:pPr>
        <w:spacing w:after="150"/>
        <w:ind w:left="0"/>
        <w:jc w:val="left"/>
      </w:pPr>
      <w:r>
        <w:rPr>
          <w:rFonts w:ascii="Verdana"/>
          <w:b w:val="false"/>
          <w:i w:val="false"/>
          <w:color w:val="000000"/>
          <w:sz w:val="22"/>
        </w:rPr>
        <w:t>Министарство надлежно за послове грађевинарства, просторног планирања и урбанизма води регистар лиценцираних инжењера, архитеката и просторних планера, регистар лиценцираних извођача и евиденцију страних лица која обављају стручне послове.</w:t>
      </w:r>
    </w:p>
    <w:p>
      <w:pPr>
        <w:spacing w:after="120"/>
        <w:ind w:left="0"/>
        <w:jc w:val="center"/>
      </w:pPr>
      <w:r>
        <w:rPr>
          <w:rFonts w:ascii="Verdana"/>
          <w:b w:val="false"/>
          <w:i/>
          <w:color w:val="000000"/>
          <w:sz w:val="22"/>
        </w:rPr>
        <w:t>3.1.6. Енергетске услуге – ESCO (Члан 18. ЕЕД)</w:t>
      </w:r>
    </w:p>
    <w:p>
      <w:pPr>
        <w:spacing w:after="150"/>
        <w:ind w:left="0"/>
        <w:jc w:val="left"/>
      </w:pPr>
      <w:r>
        <w:rPr>
          <w:rFonts w:ascii="Verdana"/>
          <w:b w:val="false"/>
          <w:i w:val="false"/>
          <w:color w:val="000000"/>
          <w:sz w:val="22"/>
        </w:rPr>
        <w:t>Закон о ЕКЕ је садржао одредбе које се односе на закључивање уговора о енергетској услузи, које су у ЗЕЕРУЕ унапређене. Према ЗЕЕРУЕ, уговор о енергетској услузи се закључује у писаној форми између пружаоца енергетске услуге (ESCO) и корисника енергетске услуге. Уговор о енергетској услузи може бити: уговор о енергетском учинку, уговор о ефикасној испоруци енергије (топлотне и/или електричне енергије) или други уговор који за предмет има повећање енергетске ефикасности, односно остваривање уштеде примарне енергије или воде. Уговором о енергетском учинку пружалац енергетске услуге се обавезује да делимично или у целости својим средствима спроведе мере енергетске ефикасности којима се постижу уштеде енергије и/или воде у односу на референтну потрошњу, а корисник енергетске услуге се обавезује да за то плати накнаду пружаоцу енергетске услуге средствима која оствари од уштеда енергије и/или воде које су резултат мера спроведених од стране пружаоца енергетске услуге. У случају када се енергетска услуга финансира средствима буџета Републике Србије или су корисници енергетске услуге корисници јавних средстава, уговор о енергетској услузи сматра се јавним уговором, па права и обавезе уговорних страна и рок трајања уговора морају бити у складу са овим законом и законом којим се уређује област јавно-приватног партнерства.</w:t>
      </w:r>
    </w:p>
    <w:p>
      <w:pPr>
        <w:spacing w:after="150"/>
        <w:ind w:left="0"/>
        <w:jc w:val="left"/>
      </w:pPr>
      <w:r>
        <w:rPr>
          <w:rFonts w:ascii="Verdana"/>
          <w:b w:val="false"/>
          <w:i w:val="false"/>
          <w:color w:val="000000"/>
          <w:sz w:val="22"/>
        </w:rPr>
        <w:t>Министар надлежан за послове енергетике донео је на основу Закона о ЕКЕ Правилник о утврђивању модела уговора о енергетским услугама за примену мера побољшања енергетске ефикасности када су корисници из јавног сектора („Службени гласник РС”, број 41/15– у даљем тексту: подзаконски акт ESCO). Поменути правилник прописује два модела уговора, један за јавне зграде, а други за јавну расвету. Оба модела уговора представљају врсту јавно-приватног партнерства између јавног партнера (нпр. општине, јавног предузећа, државе) и приватног партнера (ESCO компаније), при чему се трошкови примене и управљања мерама енергетске ефикасности од стране приватног партнера финансирају из уштеда енергије које су остварене кроз примену мера. Поменути модели уговора узимају у обзир специфичности уговорног објекта и имају прилоге који се односе на утврђивање референтног стања, начин мерења и верификацију остварених уштеда енергије, као и остале обрасце потребне у припреми и извршавању уговора.</w:t>
      </w:r>
    </w:p>
    <w:p>
      <w:pPr>
        <w:spacing w:after="150"/>
        <w:ind w:left="0"/>
        <w:jc w:val="left"/>
      </w:pPr>
      <w:r>
        <w:rPr>
          <w:rFonts w:ascii="Verdana"/>
          <w:b w:val="false"/>
          <w:i w:val="false"/>
          <w:color w:val="000000"/>
          <w:sz w:val="22"/>
        </w:rPr>
        <w:t>ЗЕЕРУЕ је увео нову врсту уговора о енергетској услузи – уговор о испоруци топлотне енергије (energy supply contracting) којим се обавезује пружалац енергетске услуге да уз побољшање енергетске ефикасности и/или смањење емисије CO</w:t>
      </w:r>
      <w:r>
        <w:rPr>
          <w:rFonts w:ascii="Verdana"/>
          <w:b w:val="false"/>
          <w:i w:val="false"/>
          <w:color w:val="000000"/>
          <w:sz w:val="22"/>
          <w:vertAlign w:val="subscript"/>
        </w:rPr>
        <w:t>2</w:t>
      </w:r>
      <w:r>
        <w:rPr>
          <w:rFonts w:ascii="Verdana"/>
          <w:b w:val="false"/>
          <w:i w:val="false"/>
          <w:color w:val="000000"/>
          <w:sz w:val="22"/>
        </w:rPr>
        <w:t xml:space="preserve"> врши испоруку топлотне енергије кориснику енергетске услуге и за то остварује право на уговорену накнаду. Према досадашњим искуствима у Европској унији, уговор о испоруци топлотне енергије је врста уговора о енергетској услузи који се у пракси најчешће закључује.</w:t>
      </w:r>
    </w:p>
    <w:p>
      <w:pPr>
        <w:spacing w:after="150"/>
        <w:ind w:left="0"/>
        <w:jc w:val="left"/>
      </w:pPr>
      <w:r>
        <w:rPr>
          <w:rFonts w:ascii="Verdana"/>
          <w:b w:val="false"/>
          <w:i w:val="false"/>
          <w:color w:val="000000"/>
          <w:sz w:val="22"/>
        </w:rPr>
        <w:t>Ступањем на снагу подзаконског акта ESCO, 2015. године, створени су услови за развоја тржишта ЕSCO услуга, пре свега у области модернизације јавног осветљења. Пројекти модернизације јавног осветљења преласком на ефикасније изворе светлости су значајан извор уштеде енергије и једна од мера која подржава испуњење националних циљева по питању енергетске ефикасности. Од укупно 161 пројеката јавно приватног партнерства које је одобрила Комисија за јавно приватно партнерство (ЈПП), 43 су пројекти модернизације јавног осветљења у градовима и општинама, од којих су за 23 пројекта склопљени уговори. Склопљеним уговорима предвиђено је да се изврши замена преко 100.000 извора светлости. EBRD кроз Регионални програм енергетске ефикасности на Западном Балкану од 2013. године помаже развој ЕSCO тржишта у Србији, тако што је помагао у припреми подзаконских аката, као и у раду са пилот општинама на идентификацији и припреми тендера за ЕSCO услуге. Тренутно постоји техничка помоћ за подршку припреме ЕSCO пројеката од стране EBRD-а у целом региону (укључујући Републику Србију).</w:t>
      </w:r>
    </w:p>
    <w:p>
      <w:pPr>
        <w:spacing w:after="120"/>
        <w:ind w:left="0"/>
        <w:jc w:val="center"/>
      </w:pPr>
      <w:r>
        <w:rPr>
          <w:rFonts w:ascii="Verdana"/>
          <w:b w:val="false"/>
          <w:i/>
          <w:color w:val="000000"/>
          <w:sz w:val="22"/>
        </w:rPr>
        <w:t>3.1.7. Друге хоризонталне мере енергетске ефикасности (Чл. 19. и 20. ЕЕД)</w:t>
      </w:r>
    </w:p>
    <w:p>
      <w:pPr>
        <w:spacing w:after="120"/>
        <w:ind w:left="0"/>
        <w:jc w:val="center"/>
      </w:pPr>
      <w:r>
        <w:rPr>
          <w:rFonts w:ascii="Verdana"/>
          <w:b w:val="false"/>
          <w:i w:val="false"/>
          <w:color w:val="000000"/>
          <w:sz w:val="22"/>
        </w:rPr>
        <w:t>Х1 – Накнада за ЕЕ</w:t>
      </w:r>
    </w:p>
    <w:p>
      <w:pPr>
        <w:spacing w:after="150"/>
        <w:ind w:left="0"/>
        <w:jc w:val="left"/>
      </w:pPr>
      <w:r>
        <w:rPr>
          <w:rFonts w:ascii="Verdana"/>
          <w:b w:val="false"/>
          <w:i w:val="false"/>
          <w:color w:val="000000"/>
          <w:sz w:val="22"/>
        </w:rPr>
        <w:t>Крајем 2018. године кроз Закон о накнадама за коришћење јавних добара („Службени гласник РС”, бр. 95/18 и 49/19) уведена је накнада за унапређење енергетске ефикасности. Обвезници накнаде су предузећа која се баве снабдевањем крајњих купаца електричном енергијом и природним гасом и предузећа која стављају у промет нафту, нафтне деривате и компримовани природни гас. Накнада се обрачунава приликом испостављања рачуна за испоручену енергију/енергент, а висина накнаде је одређена на нивоу од 0,015 динара/kWh енергије. Министарство је у јуну 2019. године донело Правилник о обрасцу пријаве за евиденцију обвезника накнаде за унапређење енергетске ефикасности, обрасцу месечног и годишњег обрачуна количина енергије/енергената испоручених потрошачима или стављених у промет на територији Републике Србије, односно увезених на територију Републике Србије, обрасцу месечног и годишњег обрачуна обавезе плаћања накнаде, обрасцу извештаја о уплати, као и начину достављања ових образаца („Службени гласник РС”, брoj 41/19), који је уредио начин обрачунавања накнаде и достављање извештаја Министарству. Приходи добијени од ове накнаде нису директно усмерени у финансирање мера енергетске ефикасности, али се очекује да ће прикупљање накнаде допринети увећању средстава за ту намену. Очекује се да прикупљање ове накнада може омогућити успостављању одрживог механизма финансирања енергетске ефикасности који је кључ за успешно спровођење политике и мера у овој области. Очекивани годишњи приход од накнада је око 9 M€.</w:t>
      </w:r>
    </w:p>
    <w:p>
      <w:pPr>
        <w:spacing w:after="120"/>
        <w:ind w:left="0"/>
        <w:jc w:val="center"/>
      </w:pPr>
      <w:r>
        <w:rPr>
          <w:rFonts w:ascii="Verdana"/>
          <w:b w:val="false"/>
          <w:i w:val="false"/>
          <w:color w:val="000000"/>
          <w:sz w:val="22"/>
        </w:rPr>
        <w:t>Х2 – Управа за финансирање и подстицање ЕЕ</w:t>
      </w:r>
    </w:p>
    <w:p>
      <w:pPr>
        <w:spacing w:after="150"/>
        <w:ind w:left="0"/>
        <w:jc w:val="left"/>
      </w:pPr>
      <w:r>
        <w:rPr>
          <w:rFonts w:ascii="Verdana"/>
          <w:b w:val="false"/>
          <w:i w:val="false"/>
          <w:color w:val="000000"/>
          <w:sz w:val="22"/>
        </w:rPr>
        <w:t>У периоду од 2017. до 2019. године реализован је Оквирни пројекат ИПА 2013 „Јачање капацитета МРЕ у имплементацији линије финансирања за побољшање енергетске ефикасности” који је имао за задатак да унапреди рад Буџетског фонда за унапређење енергетске ефикасности и да предложи нови модалитет за оснивање и рад фонда у циљу ефикаснијег и одрживог финансирања пројеката енергетске ефикасности. Студија је разматрала три модалитета за оснивање фонда: фонд као орган државне управе, фонд као јавна агенција и фонд као sui generis правно лице. Посебно је указано на изазов пружања финансијске подршке физичким лицима за унапређење енергетске ефикасности где се према искуствима из Хрватске може очекивати и више хиљада аранжмана са грађанима. У ЗЕЕРУЕ је предвиђено оснивање Управе за финансирање и подстицање енергетске ефикасности као органа управе у саставу Министарства рударства и енергетике али као посебног правног лица.</w:t>
      </w:r>
    </w:p>
    <w:p>
      <w:pPr>
        <w:spacing w:after="120"/>
        <w:ind w:left="0"/>
        <w:jc w:val="center"/>
      </w:pPr>
      <w:r>
        <w:rPr>
          <w:rFonts w:ascii="Verdana"/>
          <w:b w:val="false"/>
          <w:i w:val="false"/>
          <w:color w:val="000000"/>
          <w:sz w:val="22"/>
        </w:rPr>
        <w:t>Х3 – Захтеви еко-дизајна</w:t>
      </w:r>
    </w:p>
    <w:p>
      <w:pPr>
        <w:spacing w:after="150"/>
        <w:ind w:left="0"/>
        <w:jc w:val="left"/>
      </w:pPr>
      <w:r>
        <w:rPr>
          <w:rFonts w:ascii="Verdana"/>
          <w:b w:val="false"/>
          <w:i w:val="false"/>
          <w:color w:val="000000"/>
          <w:sz w:val="22"/>
        </w:rPr>
        <w:t>У ЗЕЕРУЕ је предвиђено да се производи који утичу на потрошњу енергије за које су прописани општи и/или посебни захтеви у погледу еко-дизајна могу ставити на тржиште и/или пустити у рад само ако испуњавају прописане захтеве. У односу на Закон о ЕКЕ прецизно је дефинисан правни основ за доношење подзаконских аката из области еко-дизајна.</w:t>
      </w:r>
    </w:p>
    <w:p>
      <w:pPr>
        <w:spacing w:after="150"/>
        <w:ind w:left="0"/>
        <w:jc w:val="left"/>
      </w:pPr>
      <w:r>
        <w:rPr>
          <w:rFonts w:ascii="Verdana"/>
          <w:b w:val="false"/>
          <w:i w:val="false"/>
          <w:color w:val="000000"/>
          <w:sz w:val="22"/>
        </w:rPr>
        <w:t>Директива 2009/125/EЗ треба да буде транспонована у виду уредбе коју доноси Влада Републике Србије. Пројекат Центра за политику и правне савете, PLAC I и PLAC II, омогућио је техничку помоћ Министарству у оквиру које су припремљене прва радна верзија уредбе којом би се транспоновала Директива 2009/125/EЗ и 27 појединачних правилника за поједине групе производа. Обавештење о примени члана 7 препознало је значај увођења прописа о еко-дизајну, као алтернативну меру која у периоду од 2021. године до 2030. године треба да донесе значајне резултате уштеда у финалној енергији код крајњих потрошача.</w:t>
      </w:r>
    </w:p>
    <w:p>
      <w:pPr>
        <w:spacing w:after="120"/>
        <w:ind w:left="0"/>
        <w:jc w:val="center"/>
      </w:pPr>
      <w:r>
        <w:rPr>
          <w:rFonts w:ascii="Verdana"/>
          <w:b w:val="false"/>
          <w:i w:val="false"/>
          <w:color w:val="000000"/>
          <w:sz w:val="22"/>
        </w:rPr>
        <w:t>Х4 – Свест о енергетској ефикасности и образовање</w:t>
      </w:r>
    </w:p>
    <w:p>
      <w:pPr>
        <w:spacing w:after="150"/>
        <w:ind w:left="0"/>
        <w:jc w:val="left"/>
      </w:pPr>
      <w:r>
        <w:rPr>
          <w:rFonts w:ascii="Verdana"/>
          <w:b w:val="false"/>
          <w:i w:val="false"/>
          <w:color w:val="000000"/>
          <w:sz w:val="22"/>
        </w:rPr>
        <w:t>Подизање свести о енергетској ефикасности је битан предуслов за смањење потрошње свих видова енергије. Неопходно је да се развије свест о значају енергије, о потреби да се остваре мере енергетске ефикасности и резултатима који се на тај начин постижу. Подизање свести о значају енергетске ефикасности се реализује кроз разне информативне кампање, обуке на различитим нивоима (укључујући увођење релевантних предмета у систему обавезног образовања, посебно у специјализованим школама), организацијом семинара, радионица и предавања. Од суштинског је значаја да се обухвате све циљне групе, посебно лица на одговорним функцијама која су на свим нивоима задужена за потрошњу енергије, као и разне друштвене групе.</w:t>
      </w:r>
    </w:p>
    <w:p>
      <w:pPr>
        <w:spacing w:after="150"/>
        <w:ind w:left="0"/>
        <w:jc w:val="left"/>
      </w:pPr>
      <w:r>
        <w:rPr>
          <w:rFonts w:ascii="Verdana"/>
          <w:b w:val="false"/>
          <w:i w:val="false"/>
          <w:color w:val="000000"/>
          <w:sz w:val="22"/>
        </w:rPr>
        <w:t>У марту 2019. године почела је реализација ИПА пројекта из 2014. године „Техничка помоћ Министарству рударства и енергетике за спровођење новог Закона о енергетици, Националног акционог плана за енергетску ефикасност и Директиве о обновљивим изворима енергије” EuropeAid/138041/IH/SER/RS. Пројекат има за циљ да се регулатива у Републици Србији усагласи са регулативом ЕУ у области енергетске ефикасности, да се помогне њена имплементација кроз развој одређених алата, анализа и упутстава али и да се спроведу активности на подизању свести. Што се подизања свести тиче, овим пројектом је предвиђено да се припреми петогодишња стратегија подизања свести у области енергетске ефикасности, чији ће један део (у вредности од 130.000 €) бити и имплементиран кроз сам пројекат а на основу плана који ће бити припремљен на основу стратегије. Осим тога предвиђено је да се за мала и средња предузећа уради методологија за енергетске прегледе као и да се ти прегледи спроведу у десет малих и средњих предузећа а резултати промовишу код свих малих и средњих предузећа. Промотивне активности предвиђене су и у оквиру реализације пројекта ИПА 16 „Успостављање и јачање капацитета тела за оцену усаглашености за имплементацију директива о енергетском означавању и еко дизајну”.</w:t>
      </w:r>
    </w:p>
    <w:p>
      <w:pPr>
        <w:spacing w:after="120"/>
        <w:ind w:left="0"/>
        <w:jc w:val="center"/>
      </w:pPr>
      <w:r>
        <w:rPr>
          <w:rFonts w:ascii="Verdana"/>
          <w:b w:val="false"/>
          <w:i/>
          <w:color w:val="000000"/>
          <w:sz w:val="22"/>
        </w:rPr>
        <w:t>3.1.8. Уштеде из хоризонталних мера</w:t>
      </w:r>
    </w:p>
    <w:p>
      <w:pPr>
        <w:spacing w:after="150"/>
        <w:ind w:left="0"/>
        <w:jc w:val="left"/>
      </w:pPr>
      <w:r>
        <w:rPr>
          <w:rFonts w:ascii="Verdana"/>
          <w:b w:val="false"/>
          <w:i w:val="false"/>
          <w:color w:val="000000"/>
          <w:sz w:val="22"/>
        </w:rPr>
        <w:t>У овом АПЕЕ су планиране и прорачунате уштеде на основу хоризонталних мера дате превасходно у 3.1.1.</w:t>
      </w:r>
    </w:p>
    <w:p>
      <w:pPr>
        <w:spacing w:after="120"/>
        <w:ind w:left="0"/>
        <w:jc w:val="center"/>
      </w:pPr>
      <w:r>
        <w:rPr>
          <w:rFonts w:ascii="Verdana"/>
          <w:b w:val="false"/>
          <w:i/>
          <w:color w:val="000000"/>
          <w:sz w:val="22"/>
        </w:rPr>
        <w:t>3.1.9. Финансирање хоризонталних мера</w:t>
      </w:r>
    </w:p>
    <w:p>
      <w:pPr>
        <w:spacing w:after="150"/>
        <w:ind w:left="0"/>
        <w:jc w:val="left"/>
      </w:pPr>
      <w:r>
        <w:rPr>
          <w:rFonts w:ascii="Verdana"/>
          <w:b w:val="false"/>
          <w:i w:val="false"/>
          <w:color w:val="000000"/>
          <w:sz w:val="22"/>
        </w:rPr>
        <w:t>Под 3.1.1 и 3.1.7. Х1 и Х2 описани су финансијски механизми који треба да омогуће финансирање мера како хоризонталних тако и осталих. Х3 је регулаторна мера и не захтева посебно финансирање.</w:t>
      </w:r>
    </w:p>
    <w:p>
      <w:pPr>
        <w:spacing w:after="120"/>
        <w:ind w:left="0"/>
        <w:jc w:val="center"/>
      </w:pPr>
      <w:r>
        <w:rPr>
          <w:rFonts w:ascii="Verdana"/>
          <w:b/>
          <w:i w:val="false"/>
          <w:color w:val="000000"/>
          <w:sz w:val="22"/>
        </w:rPr>
        <w:t>3.2. Мере енергетске ефикасности у зградарству</w:t>
      </w:r>
    </w:p>
    <w:p>
      <w:pPr>
        <w:spacing w:after="120"/>
        <w:ind w:left="0"/>
        <w:jc w:val="center"/>
      </w:pPr>
      <w:r>
        <w:rPr>
          <w:rFonts w:ascii="Verdana"/>
          <w:b w:val="false"/>
          <w:i/>
          <w:color w:val="000000"/>
          <w:sz w:val="22"/>
        </w:rPr>
        <w:t>3.2.1. Мере у вези са захтевима иновиране ЕПБД (2010/31/EУ)</w:t>
      </w:r>
    </w:p>
    <w:p>
      <w:pPr>
        <w:spacing w:after="150"/>
        <w:ind w:left="0"/>
        <w:jc w:val="left"/>
      </w:pPr>
      <w:r>
        <w:rPr>
          <w:rFonts w:ascii="Verdana"/>
          <w:b w:val="false"/>
          <w:i w:val="false"/>
          <w:color w:val="000000"/>
          <w:sz w:val="22"/>
        </w:rPr>
        <w:t>У 2018. години донет је Закон о изменама и допунама Закона о планирању и изградњи („Службени гласник РС”, број 83/18). Овом изменом прописано је да је издавање сертификата о енергетским својствима зграда – енергетских пасоша обавезно кроз Централни регистар енергетских пасоша (ЦРЕП), чиме је уведена јединствена база Енергетских пасоша за територију Републике Србије.</w:t>
      </w:r>
    </w:p>
    <w:p>
      <w:pPr>
        <w:spacing w:after="150"/>
        <w:ind w:left="0"/>
        <w:jc w:val="left"/>
      </w:pPr>
      <w:r>
        <w:rPr>
          <w:rFonts w:ascii="Verdana"/>
          <w:b w:val="false"/>
          <w:i w:val="false"/>
          <w:color w:val="000000"/>
          <w:sz w:val="22"/>
        </w:rPr>
        <w:t>У циљу унапређења важећих правилника о енергетској ефикасности зграда из 2011. и 2012. године: Правилника о условима, садржини и начину издавања сертификата о енергетским својствима зграда („Службени гласник РС”, бр. 69/12 и 44/18 – др. пропис) и Правилника о енергетској ефикасности зграда („Службени гласник РС”, број 61/11), на захтев Министарства грађевинарства, саобраћаја и инфраструктуре (у даљем тексту: МГСИ) EBRD је 2018. године ангажовао експертски тим у оквиру Регионалног програма енергетске ефикасности за Западни Балкан – РЕЕП Плус пројекта за помоћ у погледу потпуне транспозиције одредаба Директиве 2010/31/ЕУ о енергетским перформансама зграда. Помоћ се огледа у изради минималних захтева у погледу енергетских својстава зграда, националне методологије за прорачуне тих својстава, енергетску сертификацију, и трошковно оптималну анализу стамбених зграда.</w:t>
      </w:r>
    </w:p>
    <w:p>
      <w:pPr>
        <w:spacing w:after="150"/>
        <w:ind w:left="0"/>
        <w:jc w:val="left"/>
      </w:pPr>
      <w:r>
        <w:rPr>
          <w:rFonts w:ascii="Verdana"/>
          <w:b w:val="false"/>
          <w:i w:val="false"/>
          <w:color w:val="000000"/>
          <w:sz w:val="22"/>
        </w:rPr>
        <w:t>За потребе израде правилника и праћења техничке помоћи из ЕБРД РЕЕП плус пројекта, МГСИ је успоставио међусекторску техничку радну групу у чијем раду учествују признати стручњаци из ове области. Задатак техничке радне групе је да доноси одлуке током реализације пројекта. У оквиру пројекта до сада су делимично припремљени: Нацрт националне калкулационе методологије (National Calculation Methodology – NCM) и Нацрт трошковно-оптималне анализе за стамбене зграде (Cost-optimality analysis for the residential buildings). Уз подршку ГИЗ ДКТИ ЕЕ пројекта завршена је Трошковно-оптимална анализа за нестамбене зграде (Cost-optimality analysis for the nonresidential buildings).</w:t>
      </w:r>
    </w:p>
    <w:p>
      <w:pPr>
        <w:spacing w:after="150"/>
        <w:ind w:left="0"/>
        <w:jc w:val="left"/>
      </w:pPr>
      <w:r>
        <w:rPr>
          <w:rFonts w:ascii="Verdana"/>
          <w:b w:val="false"/>
          <w:i w:val="false"/>
          <w:color w:val="000000"/>
          <w:sz w:val="22"/>
        </w:rPr>
        <w:t>Преостало је да ангажовани експертски тим припреми предлог побољшања постојећих минималних захтева енергетских карактеристика (Minimum Energy Performance Standards – MEPS) и предлог побољшања постојећих енергетских сертификата (Energy Performance Certificates – EPCs).</w:t>
      </w:r>
    </w:p>
    <w:p>
      <w:pPr>
        <w:spacing w:after="120"/>
        <w:ind w:left="0"/>
        <w:jc w:val="center"/>
      </w:pPr>
      <w:r>
        <w:rPr>
          <w:rFonts w:ascii="Verdana"/>
          <w:b w:val="false"/>
          <w:i w:val="false"/>
          <w:color w:val="000000"/>
          <w:sz w:val="22"/>
        </w:rPr>
        <w:t>Алтернативне мере у грејању и хлађењу (чл. 14(4) и 15(4) ЕПБД)</w:t>
      </w:r>
    </w:p>
    <w:p>
      <w:pPr>
        <w:spacing w:after="150"/>
        <w:ind w:left="0"/>
        <w:jc w:val="left"/>
      </w:pPr>
      <w:r>
        <w:rPr>
          <w:rFonts w:ascii="Verdana"/>
          <w:b w:val="false"/>
          <w:i w:val="false"/>
          <w:color w:val="000000"/>
          <w:sz w:val="22"/>
        </w:rPr>
        <w:t>Република Србија се определила да обавезе из ЕПБД члан 14(4) и 15(4) спроведе кроз обавезујуће редовне контроле система за грејање и система за климатизацију, а не кроз алтернативне мере. У том циљу, усвојена су два правилника која уређују та питања и то:</w:t>
      </w:r>
    </w:p>
    <w:p>
      <w:pPr>
        <w:spacing w:after="150"/>
        <w:ind w:left="0"/>
        <w:jc w:val="left"/>
      </w:pPr>
      <w:r>
        <w:rPr>
          <w:rFonts w:ascii="Verdana"/>
          <w:b w:val="false"/>
          <w:i w:val="false"/>
          <w:color w:val="000000"/>
          <w:sz w:val="22"/>
        </w:rPr>
        <w:t>– Правилник о контроли система за грејање и о ближим условима које морају да испуњавају овлашћена правна лица за контролу система за грејање („Службени гласник РС”, број 58/16); и</w:t>
      </w:r>
    </w:p>
    <w:p>
      <w:pPr>
        <w:spacing w:after="150"/>
        <w:ind w:left="0"/>
        <w:jc w:val="left"/>
      </w:pPr>
      <w:r>
        <w:rPr>
          <w:rFonts w:ascii="Verdana"/>
          <w:b w:val="false"/>
          <w:i w:val="false"/>
          <w:color w:val="000000"/>
          <w:sz w:val="22"/>
        </w:rPr>
        <w:t>– Правилник о контроли система за климатизацију („Службени гласник РС”, број 82/16).</w:t>
      </w:r>
    </w:p>
    <w:p>
      <w:pPr>
        <w:spacing w:after="150"/>
        <w:ind w:left="0"/>
        <w:jc w:val="left"/>
      </w:pPr>
      <w:r>
        <w:rPr>
          <w:rFonts w:ascii="Verdana"/>
          <w:b w:val="false"/>
          <w:i w:val="false"/>
          <w:color w:val="000000"/>
          <w:sz w:val="22"/>
        </w:rPr>
        <w:t>У ЗЕЕРУЕ је предвиђено да се контрола система за грејање врши у случају када је снага система 70 кW и више уместо до садашњих 20 кW. Такође, контрола система за грејање се врши када је снага система 70 кW и више (до сада 12 кW).</w:t>
      </w:r>
    </w:p>
    <w:p>
      <w:pPr>
        <w:spacing w:after="120"/>
        <w:ind w:left="0"/>
        <w:jc w:val="center"/>
      </w:pPr>
      <w:r>
        <w:rPr>
          <w:rFonts w:ascii="Verdana"/>
          <w:b w:val="false"/>
          <w:i/>
          <w:color w:val="000000"/>
          <w:sz w:val="22"/>
        </w:rPr>
        <w:t>3.2.2. Стратегија реновирања зграда (Члан 4. ЕПБД)</w:t>
      </w:r>
    </w:p>
    <w:p>
      <w:pPr>
        <w:spacing w:after="150"/>
        <w:ind w:left="0"/>
        <w:jc w:val="left"/>
      </w:pPr>
      <w:r>
        <w:rPr>
          <w:rFonts w:ascii="Verdana"/>
          <w:b w:val="false"/>
          <w:i w:val="false"/>
          <w:color w:val="000000"/>
          <w:sz w:val="22"/>
        </w:rPr>
        <w:t>Током 2019. године Министарство грађевинарства, саобраћаја и инфраструктуре (МГСИ) започело је израду „Дугорочне стратегије за подстицање улагања у обнову националног фонда зграда”, у складу са чланом 2а Директиве 2010/31/EУ а у вези са чланом 53. Уредбе (ЕУ) 2018/1999 о управљању Енергетском унијом и деловањем у подручју климе, а на основу пројектног задатка који је припремио међународни консултант БПИЕ (Buildings Performance Institute Europe) уз подршку ГИЗа (ДКТИ ЕЕ). За израду Дугорочне стратегије МГСИ је формирало радну групу која прати њену израду. Завршетак рада на Стратегији планиран је 2021. године. Садржина Стратегије биће усклађена са захтевима ЕУ директива.</w:t>
      </w:r>
    </w:p>
    <w:p>
      <w:pPr>
        <w:spacing w:after="120"/>
        <w:ind w:left="0"/>
        <w:jc w:val="center"/>
      </w:pPr>
      <w:r>
        <w:rPr>
          <w:rFonts w:ascii="Verdana"/>
          <w:b w:val="false"/>
          <w:i/>
          <w:color w:val="000000"/>
          <w:sz w:val="22"/>
        </w:rPr>
        <w:t>3.2.3. Додатне мере енергетске ефикасности и уштеде у домену зграда и уређаја који утичу на потрошњу енергије у Сектору домаћинства</w:t>
      </w:r>
    </w:p>
    <w:p>
      <w:pPr>
        <w:spacing w:after="150"/>
        <w:ind w:left="0"/>
        <w:jc w:val="left"/>
      </w:pPr>
      <w:r>
        <w:rPr>
          <w:rFonts w:ascii="Verdana"/>
          <w:b w:val="false"/>
          <w:i w:val="false"/>
          <w:color w:val="000000"/>
          <w:sz w:val="22"/>
        </w:rPr>
        <w:t>Мере енергетске ефикасности приказане у Табели 13 тичу се пре свега мера према члану 4. ЕСД директиве. Министарство је ове мере препознало у 3. АПЕЕ, а овде предлаже њихово даље праћење, уз извештај о статусу мере и очекиваној уштеди у 2021. години. Иначе, ове мере непосредно утичу на испуњење циља задатог чланом 3 ЕЕД „cap consumption”.</w:t>
      </w:r>
    </w:p>
    <w:p>
      <w:pPr>
        <w:spacing w:after="150"/>
        <w:ind w:left="0"/>
        <w:jc w:val="left"/>
      </w:pPr>
      <w:r>
        <w:rPr>
          <w:rFonts w:ascii="Verdana"/>
          <w:b w:val="false"/>
          <w:i w:val="false"/>
          <w:color w:val="000000"/>
          <w:sz w:val="22"/>
        </w:rPr>
        <w:t>Табела 13. Преглед мера у Домаћинствима са статусом имплементације и очекиваном уштедом у периоду 2019–2021.</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840"/>
        <w:gridCol w:w="3802"/>
        <w:gridCol w:w="2994"/>
        <w:gridCol w:w="6764"/>
      </w:tblGrid>
      <w:tr>
        <w:trPr>
          <w:trHeight w:val="45" w:hRule="atLeast"/>
        </w:trPr>
        <w:tc>
          <w:tcPr>
            <w:tcW w:w="8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38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29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Статус мере</w:t>
            </w:r>
          </w:p>
        </w:tc>
        <w:tc>
          <w:tcPr>
            <w:tcW w:w="67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Очекивана уштеда за период 2019–2021. година</w:t>
            </w:r>
          </w:p>
        </w:tc>
      </w:tr>
      <w:tr>
        <w:trPr>
          <w:trHeight w:val="45" w:hRule="atLeast"/>
        </w:trPr>
        <w:tc>
          <w:tcPr>
            <w:tcW w:w="840" w:type="dxa"/>
            <w:tcBorders>
              <w:top w:val="single" w:color="000000" w:sz="8"/>
              <w:left w:val="single" w:color="000000" w:sz="8"/>
              <w:bottom w:val="single" w:color="000000" w:sz="8"/>
              <w:right w:val="single" w:color="000000" w:sz="8"/>
            </w:tcBorders>
            <w:vAlign w:val="center"/>
          </w:tcPr>
          <w:p/>
        </w:tc>
        <w:tc>
          <w:tcPr>
            <w:tcW w:w="3802" w:type="dxa"/>
            <w:tcBorders>
              <w:top w:val="single" w:color="000000" w:sz="8"/>
              <w:left w:val="single" w:color="000000" w:sz="8"/>
              <w:bottom w:val="single" w:color="000000" w:sz="8"/>
              <w:right w:val="single" w:color="000000" w:sz="8"/>
            </w:tcBorders>
            <w:vAlign w:val="center"/>
          </w:tcPr>
          <w:p/>
        </w:tc>
        <w:tc>
          <w:tcPr>
            <w:tcW w:w="2994" w:type="dxa"/>
            <w:tcBorders>
              <w:top w:val="single" w:color="000000" w:sz="8"/>
              <w:left w:val="single" w:color="000000" w:sz="8"/>
              <w:bottom w:val="single" w:color="000000" w:sz="8"/>
              <w:right w:val="single" w:color="000000" w:sz="8"/>
            </w:tcBorders>
            <w:vAlign w:val="center"/>
          </w:tcPr>
          <w:p/>
        </w:tc>
        <w:tc>
          <w:tcPr>
            <w:tcW w:w="67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r>
      <w:tr>
        <w:trPr>
          <w:trHeight w:val="45" w:hRule="atLeast"/>
        </w:trPr>
        <w:tc>
          <w:tcPr>
            <w:tcW w:w="8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Д1</w:t>
            </w:r>
          </w:p>
        </w:tc>
        <w:tc>
          <w:tcPr>
            <w:tcW w:w="38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Мере енергетске ефикасности у стамбеним зградама</w:t>
            </w:r>
          </w:p>
        </w:tc>
        <w:tc>
          <w:tcPr>
            <w:tcW w:w="29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67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0,0081</w:t>
            </w:r>
          </w:p>
        </w:tc>
      </w:tr>
      <w:tr>
        <w:trPr>
          <w:trHeight w:val="45" w:hRule="atLeast"/>
        </w:trPr>
        <w:tc>
          <w:tcPr>
            <w:tcW w:w="8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Д2</w:t>
            </w:r>
          </w:p>
        </w:tc>
        <w:tc>
          <w:tcPr>
            <w:tcW w:w="38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грађевинска регулатива и сертификати о енергетским својствима зграда – Сектор домаћинства</w:t>
            </w:r>
          </w:p>
        </w:tc>
        <w:tc>
          <w:tcPr>
            <w:tcW w:w="29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67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0,053</w:t>
            </w:r>
          </w:p>
        </w:tc>
      </w:tr>
      <w:tr>
        <w:trPr>
          <w:trHeight w:val="45" w:hRule="atLeast"/>
        </w:trPr>
        <w:tc>
          <w:tcPr>
            <w:tcW w:w="8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Д3</w:t>
            </w:r>
          </w:p>
        </w:tc>
        <w:tc>
          <w:tcPr>
            <w:tcW w:w="38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Промовисање употребе енергетски ефикасних уређаја у домаћинству</w:t>
            </w:r>
          </w:p>
        </w:tc>
        <w:tc>
          <w:tcPr>
            <w:tcW w:w="29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67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0,0279</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Домаћинства сумарно</w:t>
            </w:r>
          </w:p>
        </w:tc>
        <w:tc>
          <w:tcPr>
            <w:tcW w:w="2994" w:type="dxa"/>
            <w:tcBorders>
              <w:top w:val="single" w:color="000000" w:sz="8"/>
              <w:left w:val="single" w:color="000000" w:sz="8"/>
              <w:bottom w:val="single" w:color="000000" w:sz="8"/>
              <w:right w:val="single" w:color="000000" w:sz="8"/>
            </w:tcBorders>
            <w:vAlign w:val="center"/>
          </w:tcPr>
          <w:p/>
        </w:tc>
        <w:tc>
          <w:tcPr>
            <w:tcW w:w="67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0,089</w:t>
            </w:r>
          </w:p>
        </w:tc>
      </w:tr>
    </w:tbl>
    <w:p>
      <w:pPr>
        <w:spacing w:after="150"/>
        <w:ind w:left="0"/>
        <w:jc w:val="left"/>
      </w:pPr>
      <w:r>
        <w:rPr>
          <w:rFonts w:ascii="Verdana"/>
          <w:b w:val="false"/>
          <w:i w:val="false"/>
          <w:color w:val="000000"/>
          <w:sz w:val="22"/>
        </w:rPr>
        <w:t>Мера Д1 односи се на реконструкције и рехабилитације стамбених зграда и термотехничких система у зградама, реализоване кроз финансијске подстицаје МФИ, пласиране преко домаћих банака, и улази у алтернативне мере по члану 7 ЕЕД;</w:t>
      </w:r>
    </w:p>
    <w:p>
      <w:pPr>
        <w:spacing w:after="150"/>
        <w:ind w:left="0"/>
        <w:jc w:val="left"/>
      </w:pPr>
      <w:r>
        <w:rPr>
          <w:rFonts w:ascii="Verdana"/>
          <w:b w:val="false"/>
          <w:i w:val="false"/>
          <w:color w:val="000000"/>
          <w:sz w:val="22"/>
        </w:rPr>
        <w:t>Мера Д2 односи се на примену Правилника о условима, садржини и начину издавања сертификата о енергетским својствима зграда („Службени гласник РС”, бр. 69/12 и 44/18 – др. пропис) и Правилника о енергетској ефикасности зграда („Службени гласник РС”, број 61/11). Овом мером остварују се уштеде енергије по основу бољих енергетских својстава новоизграђених зграда у односу на просечну потрошњу топлотне енергије у постојећим зградама.</w:t>
      </w:r>
    </w:p>
    <w:p>
      <w:pPr>
        <w:spacing w:after="150"/>
        <w:ind w:left="0"/>
        <w:jc w:val="left"/>
      </w:pPr>
      <w:r>
        <w:rPr>
          <w:rFonts w:ascii="Verdana"/>
          <w:b w:val="false"/>
          <w:i w:val="false"/>
          <w:color w:val="000000"/>
          <w:sz w:val="22"/>
        </w:rPr>
        <w:t>Мера Д3 која се у претходном периоду односила само на промоцију ЕЕ кроз регулативу о означавању производа који утичу на потрошњу енергије, биће допуњена и еко дизајном. Овом мером остварују се уштеде на основу замене уређаја за домаћинство новим ефикаснијим уређајима.</w:t>
      </w:r>
    </w:p>
    <w:p>
      <w:pPr>
        <w:spacing w:after="150"/>
        <w:ind w:left="0"/>
        <w:jc w:val="left"/>
      </w:pPr>
      <w:r>
        <w:rPr>
          <w:rFonts w:ascii="Verdana"/>
          <w:b w:val="false"/>
          <w:i w:val="false"/>
          <w:color w:val="000000"/>
          <w:sz w:val="22"/>
        </w:rPr>
        <w:t xml:space="preserve">Законом о енергетској ефикасности и рационалној употреби енергије, члан 63, уведена је обавеза означавања производа који утичу на потрошњу енергије ознаком енергетске ефикасности. Енергетско означавање је уведено већ у ЗЕКЕ, на основу којег су донети Уредба о врстама производа који утичу на потрошњу енергије за које је неопходно означавање потрошње енергије и других ресурса („Службени гласник РС”, бр. 92/13, 80/16 и 41/21) и 12 правилника којима се прописују захтеви у погледу енергетског означавања појединачних врста уређаја. Поменутом уредбом и правилницима пренета је у правни систем Републике Србије одговарајућа регулатива ЕУ из ове области. Из истог разлога, ради усклађивања са правом ЕУ, престали су да важе: правилник који се односи на означавање енергетске ефикасности електричних пећница (замењен Правилником о означавању ЕЕ пећница и напа за домаћинство) и Правилник о означавању енергетске ефикасности усисивача (с обзиром да је пресудом Европског суда у ЕУ престао да важи пропис о означавању усисивача). Поменута уредба и правилници усклађени су са европском Директивом 2010/30/ЕУ. Правилник о oзначавању енергетске ефикасности електричних сијалица и светиљки измењен је да би се постигла делимична усклађеност са одговарајућим прописом ЕУ који је ставио ван снаге означавање ЕЕ светиљки на досадашњи начин. Кроз ИПА пројекат „Техничка помоћ Министарству рударства и енергетике и релевантним јавним телима за имплементацију новог Закона о енергетици, НЕЕАПа, и РЕС директиве” </w:t>
      </w:r>
      <w:r>
        <w:rPr>
          <w:rFonts w:ascii="Verdana"/>
          <w:b w:val="false"/>
          <w:i w:val="false"/>
          <w:color w:val="000000"/>
          <w:sz w:val="22"/>
        </w:rPr>
        <w:t>из 2014. године (ИПА 14 пројекат) извршиће се даље усаглашавање домаће регулативе са Уредбом (ЕУ) 2017/1369 чијим доношењем је у ЕУ стављена ван снаге Директива 2010/30/ЕУ.</w:t>
      </w:r>
    </w:p>
    <w:p>
      <w:pPr>
        <w:spacing w:after="150"/>
        <w:ind w:left="0"/>
        <w:jc w:val="left"/>
      </w:pPr>
      <w:r>
        <w:rPr>
          <w:rFonts w:ascii="Verdana"/>
          <w:b w:val="false"/>
          <w:i w:val="false"/>
          <w:color w:val="000000"/>
          <w:sz w:val="22"/>
        </w:rPr>
        <w:t>У Прилогу 4 излистани су детаљније појединачни описи свих мера.</w:t>
      </w:r>
    </w:p>
    <w:p>
      <w:pPr>
        <w:spacing w:after="120"/>
        <w:ind w:left="0"/>
        <w:jc w:val="center"/>
      </w:pPr>
      <w:r>
        <w:rPr>
          <w:rFonts w:ascii="Verdana"/>
          <w:b w:val="false"/>
          <w:i/>
          <w:color w:val="000000"/>
          <w:sz w:val="22"/>
        </w:rPr>
        <w:t>3.2.4. Финансирање енергетске ефикасности у зградарству (у Сектору домаћинства)</w:t>
      </w:r>
    </w:p>
    <w:p>
      <w:pPr>
        <w:spacing w:after="150"/>
        <w:ind w:left="0"/>
        <w:jc w:val="left"/>
      </w:pPr>
      <w:r>
        <w:rPr>
          <w:rFonts w:ascii="Verdana"/>
          <w:b w:val="false"/>
          <w:i w:val="false"/>
          <w:color w:val="000000"/>
          <w:sz w:val="22"/>
        </w:rPr>
        <w:t>У овом тренутку се мере ЕЕ у Сектору домаћинства финансирају инвестицијама власника кућа односно станова, или из средстава МФИ преко банака које пласирају комерцијалне кредите физичким лицима. У плану је да се након оснивања и почетка рада Управе за финансирање и подстицање енергетске ефикасности омогући суфинансирање у овом сектору, поред осталог и на основу средстава од накнаде за ЕЕ (поглавље 3.1.7.)</w:t>
      </w:r>
    </w:p>
    <w:p>
      <w:pPr>
        <w:spacing w:after="120"/>
        <w:ind w:left="0"/>
        <w:jc w:val="center"/>
      </w:pPr>
      <w:r>
        <w:rPr>
          <w:rFonts w:ascii="Verdana"/>
          <w:b/>
          <w:i w:val="false"/>
          <w:color w:val="000000"/>
          <w:sz w:val="22"/>
        </w:rPr>
        <w:t>3.3. Мере енергетске ефикасности у јавном сектору</w:t>
      </w:r>
      <w:r>
        <w:br/>
      </w:r>
      <w:r>
        <w:rPr>
          <w:rFonts w:ascii="Verdana"/>
          <w:b/>
          <w:i w:val="false"/>
          <w:color w:val="000000"/>
          <w:sz w:val="22"/>
        </w:rPr>
        <w:t>(Чл. 5. и 6. ЕЕД)</w:t>
      </w:r>
    </w:p>
    <w:p>
      <w:pPr>
        <w:spacing w:after="120"/>
        <w:ind w:left="0"/>
        <w:jc w:val="center"/>
      </w:pPr>
      <w:r>
        <w:rPr>
          <w:rFonts w:ascii="Verdana"/>
          <w:b w:val="false"/>
          <w:i/>
          <w:color w:val="000000"/>
          <w:sz w:val="22"/>
        </w:rPr>
        <w:t>3.3.1. Зграде централне власти (Члан 5.)</w:t>
      </w:r>
    </w:p>
    <w:p>
      <w:pPr>
        <w:spacing w:after="150"/>
        <w:ind w:left="0"/>
        <w:jc w:val="left"/>
      </w:pPr>
      <w:r>
        <w:rPr>
          <w:rFonts w:ascii="Verdana"/>
          <w:b w:val="false"/>
          <w:i w:val="false"/>
          <w:color w:val="000000"/>
          <w:sz w:val="22"/>
        </w:rPr>
        <w:t>Примена члана 5 ЕЕД за Републику Србију као потписницу Уговора о ЕЗ значи да Република Србија има обавезу да почев од 1. децембра 2017. године на годишњем нивоу енергетски санира (унапреди енергетску ефикасност) 1% од укупне површине административних зграда које су у својини Републике Србије и које користе органи централне власти, односно органи и организације који имају надлежност на целој територији Републике Србије. Обавеза енергетске санације односи се на зграде централне власти које појединачно имају укупну грејану/хлађену површину већу од 500 m</w:t>
      </w:r>
      <w:r>
        <w:rPr>
          <w:rFonts w:ascii="Verdana"/>
          <w:b w:val="false"/>
          <w:i w:val="false"/>
          <w:color w:val="000000"/>
          <w:sz w:val="22"/>
          <w:vertAlign w:val="superscript"/>
        </w:rPr>
        <w:t>2</w:t>
      </w:r>
      <w:r>
        <w:rPr>
          <w:rFonts w:ascii="Verdana"/>
          <w:b w:val="false"/>
          <w:i w:val="false"/>
          <w:color w:val="000000"/>
          <w:sz w:val="22"/>
        </w:rPr>
        <w:t>, односно од 1. децембра 2019. године површину већу од 250 m</w:t>
      </w:r>
      <w:r>
        <w:rPr>
          <w:rFonts w:ascii="Verdana"/>
          <w:b w:val="false"/>
          <w:i w:val="false"/>
          <w:color w:val="000000"/>
          <w:sz w:val="22"/>
          <w:vertAlign w:val="superscript"/>
        </w:rPr>
        <w:t>2</w:t>
      </w:r>
      <w:r>
        <w:rPr>
          <w:rFonts w:ascii="Verdana"/>
          <w:b w:val="false"/>
          <w:i w:val="false"/>
          <w:color w:val="000000"/>
          <w:sz w:val="22"/>
        </w:rPr>
        <w:t>. Енергетска санација треба да се изврши на начин да зграде након санације достигну најмање енергетска својства дефинисана у складу са чланом 4. Директиве 2010/31/ЕУ о енергетским својствима зграда. У јулу 2016. године формирана је међуресорна радне група за примену члана 5. Директиве о енергетској ефикасности сагласно Одлуци Министарског савета Енергетске заједнице D/2015/08/MC-EnC, са задатком да сагледа могуће модалитете за примену члана 5. ЕЕД. Радна група је имала обезбеђену техничку помоћ GIZ кроз пројекат „Енергетска ефикасност у јавним зградама у Републици Србији”. Након упознавања са могућим модалитетима (приступима) за примену члана 5 ЕЕД – са главним и алтернативним приступом, радна група се определила за главни приступ у извршавању обавеза које проистичу из члана 5. Списак зграда централне власти који је сачињен обухвата 57 зграда чија је површина процењена на основу доступних података и износи око 405.000 m</w:t>
      </w:r>
      <w:r>
        <w:rPr>
          <w:rFonts w:ascii="Verdana"/>
          <w:b w:val="false"/>
          <w:i w:val="false"/>
          <w:color w:val="000000"/>
          <w:sz w:val="22"/>
          <w:vertAlign w:val="superscript"/>
        </w:rPr>
        <w:t>2</w:t>
      </w:r>
      <w:r>
        <w:rPr>
          <w:rFonts w:ascii="Verdana"/>
          <w:b w:val="false"/>
          <w:i w:val="false"/>
          <w:color w:val="000000"/>
          <w:sz w:val="22"/>
        </w:rPr>
        <w:t>. Списак је у форми Закључка усвојила Влада 9. августа 2018. године.</w:t>
      </w:r>
    </w:p>
    <w:p>
      <w:pPr>
        <w:spacing w:after="150"/>
        <w:ind w:left="0"/>
        <w:jc w:val="left"/>
      </w:pPr>
      <w:r>
        <w:rPr>
          <w:rFonts w:ascii="Verdana"/>
          <w:b w:val="false"/>
          <w:i w:val="false"/>
          <w:color w:val="000000"/>
          <w:sz w:val="22"/>
        </w:rPr>
        <w:t>У марту 2019. године ангажован је национални консултант, који уз менторску подршку и супервизију од стране европског института Buildings Performance Insititute Europe (BPIE) припремио Програм за обнову зграда централне власти. Програма је прихваћен од стране Министарства и радне групе у октобру 2019. године.</w:t>
      </w:r>
    </w:p>
    <w:p>
      <w:pPr>
        <w:spacing w:after="150"/>
        <w:ind w:left="0"/>
        <w:jc w:val="left"/>
      </w:pPr>
      <w:r>
        <w:rPr>
          <w:rFonts w:ascii="Verdana"/>
          <w:b w:val="false"/>
          <w:i w:val="false"/>
          <w:color w:val="000000"/>
          <w:sz w:val="22"/>
        </w:rPr>
        <w:t>У циљу дефинисања минималних захтева енергетских перформанси зграда урађена је трошковно-оптимизациона студија за нестамбене зграде. Након серије консултација на нивоу експертске радне групе којом управља Министарство грађевинарства, саобраћаја и инфраструктуре, студија је финализирана од стране РГ, односно Министарства и усвојена у мају 2019. године. Студија ће бити основа за израду Националног програма обнове зграда централне власти (обавезе по основу члана 5. ЕЕД), а минимални захтеви важан су инпут за унапређење постојећих правилника о енергетским карактеристикама зграда.</w:t>
      </w:r>
    </w:p>
    <w:p>
      <w:pPr>
        <w:spacing w:after="150"/>
        <w:ind w:left="0"/>
        <w:jc w:val="left"/>
      </w:pPr>
      <w:r>
        <w:rPr>
          <w:rFonts w:ascii="Verdana"/>
          <w:b w:val="false"/>
          <w:i w:val="false"/>
          <w:color w:val="000000"/>
          <w:sz w:val="22"/>
        </w:rPr>
        <w:t>У циљу реализације обавезе из члана 5. ЕЕД, обезбеђен је програмски зајам Развојна банка Савета Европе (ЦЕБ) у висини од 40 милиона евра за реализацију пројекта „Енергетска ефикасност у зградама централне власти”. Предвиђено је да се програмом рехабилитује до 28 зграда ЗЦВ. За техничку помоћ за реализацију поменутог зајма до сада су обезбеђене донације у износу од 900.000 евра али ће у наредном периоду бити потребно да се обезбеде и додатна средства за ове намене.</w:t>
      </w:r>
    </w:p>
    <w:p>
      <w:pPr>
        <w:spacing w:after="150"/>
        <w:ind w:left="0"/>
        <w:jc w:val="left"/>
      </w:pPr>
      <w:r>
        <w:rPr>
          <w:rFonts w:ascii="Verdana"/>
          <w:b w:val="false"/>
          <w:i w:val="false"/>
          <w:color w:val="000000"/>
          <w:sz w:val="22"/>
        </w:rPr>
        <w:t>Основна врста радова који ће се реализовати у вези са енергетском ефикасношћу ће укључивати: изолацију термичког омотача зграде (просторије/подови, фасаде); замену старе столарије (прозори и врата) ефикаснијом; прелазак на друго гориво, где је то применљиво; поправке или замену система грејања, вентилације и климатизације (HVAC-heating, ventilation and air-conditioning); замену расвете ефикаснијим системом; увођење система за аутоматско управљање системима HVAC или интегралних система за управљање зградама (BMS-building management system); употребу обновљивих извора енергије где је могуће, нарочито биомасе, соларне енергије, комбиноване производње топлотне и електричне енергије и система за рекуперацију топлотне енергије, топлотних пумпи из извора тло, ваздух или вода. Очекује се да се пројектом остваре уштеде примарне енергије од око 30% годишње уз смањење емисија CO</w:t>
      </w:r>
      <w:r>
        <w:rPr>
          <w:rFonts w:ascii="Verdana"/>
          <w:b w:val="false"/>
          <w:i w:val="false"/>
          <w:color w:val="000000"/>
          <w:sz w:val="22"/>
          <w:vertAlign w:val="subscript"/>
        </w:rPr>
        <w:t>2</w:t>
      </w:r>
      <w:r>
        <w:rPr>
          <w:rFonts w:ascii="Verdana"/>
          <w:b w:val="false"/>
          <w:i w:val="false"/>
          <w:color w:val="000000"/>
          <w:sz w:val="22"/>
        </w:rPr>
        <w:t xml:space="preserve"> од око 20% и смањење трошкова за енергију и енергенте од око 29%. Реализацијом пројекта унапредиће се и радни услови за запослене у овим зградама.</w:t>
      </w:r>
    </w:p>
    <w:p>
      <w:pPr>
        <w:spacing w:after="120"/>
        <w:ind w:left="0"/>
        <w:jc w:val="center"/>
      </w:pPr>
      <w:r>
        <w:rPr>
          <w:rFonts w:ascii="Verdana"/>
          <w:b w:val="false"/>
          <w:i/>
          <w:color w:val="000000"/>
          <w:sz w:val="22"/>
        </w:rPr>
        <w:t>3.3.2. Зграде других јавних тела (Члан 5.)</w:t>
      </w:r>
    </w:p>
    <w:p>
      <w:pPr>
        <w:spacing w:after="150"/>
        <w:ind w:left="0"/>
        <w:jc w:val="left"/>
      </w:pPr>
      <w:r>
        <w:rPr>
          <w:rFonts w:ascii="Verdana"/>
          <w:b w:val="false"/>
          <w:i w:val="false"/>
          <w:color w:val="000000"/>
          <w:sz w:val="22"/>
        </w:rPr>
        <w:t>Буџетски фонд за унапређење енергетске ефикасности Републике Србије успостављен је 2013. године на основу Закона о ефикасном коришћењу енергије. Средствима Буџетског фонда у периоду од 2014. до 2019. године спроведено је шест јавних позива за (су)финансирање пројеката унапређења енергетске ефикасности у јединицама локалних самоуправа (ЈЛС) средствима за унапређење енергетске ефикасности Републике Србије и склопљено је 91 уговора. Пројекти су првенствено обухватили мере унапређења енергетске ефикасности на термичком омотачу зграде (замена столарије и постављање термоизолације) и мере унапређења термотехничких система (уградња котлова на биомасу, уградња термостатских вентила, електронски регулисаних циркулационих пумпи и уређаја за мерење предате количине топлоте). Пројекти су реализовани најчешће на јавним објектима као што су: предшколске установе, домови здравља, основне и средње школе и управне зграде ЈЛС.</w:t>
      </w:r>
    </w:p>
    <w:p>
      <w:pPr>
        <w:spacing w:after="150"/>
        <w:ind w:left="0"/>
        <w:jc w:val="left"/>
      </w:pPr>
      <w:r>
        <w:rPr>
          <w:rFonts w:ascii="Verdana"/>
          <w:b w:val="false"/>
          <w:i w:val="false"/>
          <w:color w:val="000000"/>
          <w:sz w:val="22"/>
        </w:rPr>
        <w:t>Такође, Канцеларија за управљање јавним улагањима је тело Владе Републике Србије, основано Уредбом Владе Републике Србије 2014. године, чији је посао управљање пројектима обнове и пружања помоћи након елементарних и других непогода, а пре свега пројекти обнове, у које спада и енергетска обнова зграда као што су вртићи, школе, здравствене и установе социјалне заштите итд.</w:t>
      </w:r>
    </w:p>
    <w:p>
      <w:pPr>
        <w:spacing w:after="150"/>
        <w:ind w:left="0"/>
        <w:jc w:val="left"/>
      </w:pPr>
      <w:r>
        <w:rPr>
          <w:rFonts w:ascii="Verdana"/>
          <w:b w:val="false"/>
          <w:i w:val="false"/>
          <w:color w:val="000000"/>
          <w:sz w:val="22"/>
        </w:rPr>
        <w:t>У оквиру Система енергетског менаџмента органи аутономне покрајине, јединице локалне самоуправе и градске општине са више од 20.000 становника су обвезници СЕМ, као и установе које користе објекте у јавној својини. У својству обвезника СЕМ, они имају обавезу да реализују планирани циљ уштеде који прописује Влада, да именују потребан број енергетских менаџера и о томе обавесте Министарство, да донесу програм и план енергетске ефикасности, спроведе мере за ефикасно коришћење енергије, достављају Министарству годишњи извештај о остваривању циљева уштеде садржаних у програму односно плану и обезбеђују спровођење енергетских прегледа и извршавају друге обавезе у складу са законом. На оснoву законом утврђеног критеријума, 80 општина и градова су обвезници СЕМ, а тек треба да се утврди број градских општина које су обвезници СЕМ.</w:t>
      </w:r>
    </w:p>
    <w:p>
      <w:pPr>
        <w:spacing w:after="150"/>
        <w:ind w:left="0"/>
        <w:jc w:val="left"/>
      </w:pPr>
      <w:r>
        <w:rPr>
          <w:rFonts w:ascii="Verdana"/>
          <w:b w:val="false"/>
          <w:i w:val="false"/>
          <w:color w:val="000000"/>
          <w:sz w:val="22"/>
        </w:rPr>
        <w:t>Поред пројекта који су спроведени у оквиру Буџетског фонда и пројекта Енергетска ефикасност у зградама централне власти, планирана је и реализација пројеката:</w:t>
      </w:r>
    </w:p>
    <w:p>
      <w:pPr>
        <w:spacing w:after="150"/>
        <w:ind w:left="0"/>
        <w:jc w:val="left"/>
      </w:pPr>
      <w:r>
        <w:rPr>
          <w:rFonts w:ascii="Verdana"/>
          <w:b w:val="false"/>
          <w:i w:val="false"/>
          <w:color w:val="000000"/>
          <w:sz w:val="22"/>
        </w:rPr>
        <w:t>Енергетска ефикасност у јавним зградама и обновљиви извори енергије у сектору даљинског грејања („Озелењавање јавног сектора”) ВМА</w:t>
      </w:r>
      <w:r>
        <w:rPr>
          <w:rFonts w:ascii="Verdana"/>
          <w:b w:val="false"/>
          <w:i/>
          <w:color w:val="000000"/>
          <w:sz w:val="22"/>
        </w:rPr>
        <w:t>.</w:t>
      </w:r>
      <w:r>
        <w:rPr>
          <w:rFonts w:ascii="Verdana"/>
          <w:b w:val="false"/>
          <w:i w:val="false"/>
          <w:color w:val="000000"/>
          <w:sz w:val="22"/>
        </w:rPr>
        <w:t xml:space="preserve"> Пројекат се односи на рехабилитацију најзначајније здравствене установе у Републици Србији, болнице Војно-медицинске академије. Спровођење пројекта је предвиђено у оквиру Српско-Немачке финансијске сарадње и подељено је у три фазе. Укупна прелиминарно процењена вредност све три фазе пројекта је 203 мил. евра, док је прва фаза рехабилитације процењена на 110 милиона евра. Основни циљ Пројекта је смањење потрошње енергије и то до 40% природног гаса и до 30% електричне енергије у односу на садашњу потрошњу објекта. У апсолутним вредностима енергетске уштеде треба да износе преко 58 GWh/a, што би за резултат имало смањење емисије CО</w:t>
      </w:r>
      <w:r>
        <w:rPr>
          <w:rFonts w:ascii="Verdana"/>
          <w:b w:val="false"/>
          <w:i w:val="false"/>
          <w:color w:val="000000"/>
          <w:sz w:val="22"/>
          <w:vertAlign w:val="subscript"/>
        </w:rPr>
        <w:t>2</w:t>
      </w:r>
      <w:r>
        <w:rPr>
          <w:rFonts w:ascii="Verdana"/>
          <w:b w:val="false"/>
          <w:i w:val="false"/>
          <w:color w:val="000000"/>
          <w:sz w:val="22"/>
        </w:rPr>
        <w:t xml:space="preserve"> за 24.000 тона годишње. Процена је да би се енергетском рехабилитацијом болнице постигле уштеде енергије и смањење емисије CО</w:t>
      </w:r>
      <w:r>
        <w:rPr>
          <w:rFonts w:ascii="Verdana"/>
          <w:b w:val="false"/>
          <w:i w:val="false"/>
          <w:color w:val="000000"/>
          <w:sz w:val="22"/>
          <w:vertAlign w:val="subscript"/>
        </w:rPr>
        <w:t>2</w:t>
      </w:r>
      <w:r>
        <w:rPr>
          <w:rFonts w:ascii="Verdana"/>
          <w:b w:val="false"/>
          <w:i w:val="false"/>
          <w:color w:val="000000"/>
          <w:sz w:val="22"/>
        </w:rPr>
        <w:t xml:space="preserve"> који би били једнаки резултатима енергетске санације 170 јавних зграда у надлежности локалне самоуправе у Републици Србији.</w:t>
      </w:r>
    </w:p>
    <w:p>
      <w:pPr>
        <w:spacing w:after="150"/>
        <w:ind w:left="0"/>
        <w:jc w:val="left"/>
      </w:pPr>
      <w:r>
        <w:rPr>
          <w:rFonts w:ascii="Verdana"/>
          <w:b w:val="false"/>
          <w:i w:val="false"/>
          <w:color w:val="000000"/>
          <w:sz w:val="22"/>
        </w:rPr>
        <w:t>Пројекат енергетске ефикасности и управљања енергијом у општинама (ПЕЕУЕО) у Србији (SECO). Значај пројекта огледа се у остваривању системског и свеобухватног управљања енергијом на локалном нивоу кроз увођење сертификата Европске награде за енергију, спровођење енергетске санације и побољшања енергетске ефикасности јавних објеката у граду Крушевцу (6 објеката), граду Ужицу (4–5 објеката), општини Врбас (6 објеката) и општини Параћин (2 објекта), а које ће подстаћи повећање животног стандарда, економски развој те ублажавање климатских промена. Пројекат такође обухвата и развој капацитета. Овим пројектом ће се смањити потрошње енергије за 609 MWh/годишње, а редукција емисије CO</w:t>
      </w:r>
      <w:r>
        <w:rPr>
          <w:rFonts w:ascii="Verdana"/>
          <w:b w:val="false"/>
          <w:i w:val="false"/>
          <w:color w:val="000000"/>
          <w:sz w:val="22"/>
          <w:vertAlign w:val="subscript"/>
        </w:rPr>
        <w:t>2</w:t>
      </w:r>
      <w:r>
        <w:rPr>
          <w:rFonts w:ascii="Verdana"/>
          <w:b w:val="false"/>
          <w:i w:val="false"/>
          <w:color w:val="000000"/>
          <w:sz w:val="22"/>
        </w:rPr>
        <w:t xml:space="preserve"> износиће 210 t/годишње.</w:t>
      </w:r>
    </w:p>
    <w:p>
      <w:pPr>
        <w:spacing w:after="120"/>
        <w:ind w:left="0"/>
        <w:jc w:val="center"/>
      </w:pPr>
      <w:r>
        <w:rPr>
          <w:rFonts w:ascii="Verdana"/>
          <w:b w:val="false"/>
          <w:i/>
          <w:color w:val="000000"/>
          <w:sz w:val="22"/>
        </w:rPr>
        <w:t>3.3.3. Јавне набавке (Члан 6.)</w:t>
      </w:r>
    </w:p>
    <w:p>
      <w:pPr>
        <w:spacing w:after="150"/>
        <w:ind w:left="0"/>
        <w:jc w:val="left"/>
      </w:pPr>
      <w:r>
        <w:rPr>
          <w:rFonts w:ascii="Verdana"/>
          <w:b w:val="false"/>
          <w:i w:val="false"/>
          <w:color w:val="000000"/>
          <w:sz w:val="22"/>
        </w:rPr>
        <w:t>У претходном Закону о јавним набавкама („Службени гласник РС”, бр. 124/12, 14/15 и 68/15), као једно од начела јавне набавке било је предвиђено начело заштите животне средине и обезбеђивања енергетске ефикасности (члан 13.). Према овом начелу, наручилац јавне набавке дужан је да набавља добра, услуге и радове који не загађују, односно минимално утичу на животну средину, односно који обезбеђују адекватно смањење потрошње енергије – енергетску ефикасност и да кад је то оправдано као елемент критеријума економски најповољније понуде одреди еколошке предности предмета јавне набавке, односно укупне трошкове животног циклуса предмета јавне набавке. У члану 85. као један од критеријума за оцењивање економски најповољније понуде наведена је енергетска ефикасност.</w:t>
      </w:r>
    </w:p>
    <w:p>
      <w:pPr>
        <w:spacing w:after="150"/>
        <w:ind w:left="0"/>
        <w:jc w:val="left"/>
      </w:pPr>
      <w:r>
        <w:rPr>
          <w:rFonts w:ascii="Verdana"/>
          <w:b w:val="false"/>
          <w:i w:val="false"/>
          <w:color w:val="000000"/>
          <w:sz w:val="22"/>
        </w:rPr>
        <w:t>Према важећем Закону о јавним набавкама („Службени гласник РС”, број 91/19), који је ступио на снагу 1. јула 2020. године, енергетска ефикасност се не наводи изричито међу начелима јавне набавке, што је корак назад у односу на досадашње решење. У делу поменутог закона који се односи на критеријуме за доделу уговора, један од критеријума су и трошкови животног циклуса који поред осталог обухватају и трошкове употребе, као што је потрошња енергије и других ресурса.</w:t>
      </w:r>
    </w:p>
    <w:p>
      <w:pPr>
        <w:spacing w:after="150"/>
        <w:ind w:left="0"/>
        <w:jc w:val="left"/>
      </w:pPr>
      <w:r>
        <w:rPr>
          <w:rFonts w:ascii="Verdana"/>
          <w:b w:val="false"/>
          <w:i w:val="false"/>
          <w:color w:val="000000"/>
          <w:sz w:val="22"/>
        </w:rPr>
        <w:t>Стратегија развоја јавних набавки у Републици Србији за период 2014–2018. године („Службени гласник РС”, број 122/14) препознала је зелене набавке чије је основно обележје да се куповна моћ државе користи за остваривање циљева заштите животне средине, као и за реализацију политике енергетске уштеде. Стратешки циљ Републике Србије је да се даље промовишу „зелене набавке”. Да би се постигао овај циљ, планиране су следеће активности:</w:t>
      </w:r>
    </w:p>
    <w:p>
      <w:pPr>
        <w:spacing w:after="150"/>
        <w:ind w:left="0"/>
        <w:jc w:val="left"/>
      </w:pPr>
      <w:r>
        <w:rPr>
          <w:rFonts w:ascii="Verdana"/>
          <w:b w:val="false"/>
          <w:i w:val="false"/>
          <w:color w:val="000000"/>
          <w:sz w:val="22"/>
        </w:rPr>
        <w:t>– промовисање енергетске уштеде у Сектору јавног саобраћаја и зграда којима располаже држава у циљу остваривања две групе циљева: економичности која се постиже по основу мање потрошње енергије и еколошког циља који се огледа у смањењу емисије гасова и мање емисије угљен-диоксида;</w:t>
      </w:r>
    </w:p>
    <w:p>
      <w:pPr>
        <w:spacing w:after="150"/>
        <w:ind w:left="0"/>
        <w:jc w:val="left"/>
      </w:pPr>
      <w:r>
        <w:rPr>
          <w:rFonts w:ascii="Verdana"/>
          <w:b w:val="false"/>
          <w:i w:val="false"/>
          <w:color w:val="000000"/>
          <w:sz w:val="22"/>
        </w:rPr>
        <w:t>– израда смерница за наручиоце и понуђаче;</w:t>
      </w:r>
    </w:p>
    <w:p>
      <w:pPr>
        <w:spacing w:after="150"/>
        <w:ind w:left="0"/>
        <w:jc w:val="left"/>
      </w:pPr>
      <w:r>
        <w:rPr>
          <w:rFonts w:ascii="Verdana"/>
          <w:b w:val="false"/>
          <w:i w:val="false"/>
          <w:color w:val="000000"/>
          <w:sz w:val="22"/>
        </w:rPr>
        <w:t>– израда метода израчунавања трошкова животног циклуса предмета набавке;</w:t>
      </w:r>
    </w:p>
    <w:p>
      <w:pPr>
        <w:spacing w:after="150"/>
        <w:ind w:left="0"/>
        <w:jc w:val="left"/>
      </w:pPr>
      <w:r>
        <w:rPr>
          <w:rFonts w:ascii="Verdana"/>
          <w:b w:val="false"/>
          <w:i w:val="false"/>
          <w:color w:val="000000"/>
          <w:sz w:val="22"/>
        </w:rPr>
        <w:t>– израда модела стандардних „еколошких” техничких спецификација за одређене производе.</w:t>
      </w:r>
    </w:p>
    <w:p>
      <w:pPr>
        <w:spacing w:after="150"/>
        <w:ind w:left="0"/>
        <w:jc w:val="left"/>
      </w:pPr>
      <w:r>
        <w:rPr>
          <w:rFonts w:ascii="Verdana"/>
          <w:b w:val="false"/>
          <w:i w:val="false"/>
          <w:color w:val="000000"/>
          <w:sz w:val="22"/>
        </w:rPr>
        <w:t>Управа за јавне набавке формирана је на основу Закона о јавним набавкама („Службени гласник РС”, број 39/02) а од 1. јула 2020. на основу новог Закона о јавним набавкама („Службени гласник РС”, број 91/19) има назив Канцеларија за јавне набавке. КЈН је посебна организација са задатком да ради на успостављању система јавних набавки који ће бити економичан, ефикасан и транспарентан и који ће омогућити јачање конкуренције, равноправан третман свих понуђача и сузбијање корупције. КЈН обављањем својих послова као што су учешће у припреми прописа у области јавних набавки, пружање саветодавне помоћи наручиоцима и понуђачима, праћење поступака јавне набавке и низ других послова у складу са законом обезбеђује да се спроводи критеријум енергетске ефикасности у поступку јавне набавке.</w:t>
      </w:r>
    </w:p>
    <w:p>
      <w:pPr>
        <w:spacing w:after="150"/>
        <w:ind w:left="0"/>
        <w:jc w:val="left"/>
      </w:pPr>
      <w:r>
        <w:rPr>
          <w:rFonts w:ascii="Verdana"/>
          <w:b w:val="false"/>
          <w:i w:val="false"/>
          <w:color w:val="000000"/>
          <w:sz w:val="22"/>
        </w:rPr>
        <w:t>Чланом 69. Закона о ЕКЕ било је прописано да наручилац у поступку јавне набавке роба, услуга и радова узима у обзир аспекте енергетске ефикасности током припреме тендерске документације и у техничкој спецификацији роба, услуга и радова, а министар надлежан за послове енергетике прописује минималне критеријуме у погледу енергетске ефикасности приликом јавне набавке добара. Према поменутом закону, уговорно тело у поступку јавне набавке је морало, у процесу припреме тендерске документације, да узме у обзир енергетску ефикасност добара које набавља.</w:t>
      </w:r>
    </w:p>
    <w:p>
      <w:pPr>
        <w:spacing w:after="150"/>
        <w:ind w:left="0"/>
        <w:jc w:val="left"/>
      </w:pPr>
      <w:r>
        <w:rPr>
          <w:rFonts w:ascii="Verdana"/>
          <w:b w:val="false"/>
          <w:i w:val="false"/>
          <w:color w:val="000000"/>
          <w:sz w:val="22"/>
        </w:rPr>
        <w:t>Чланом 70. Закона о ЕКЕ било је предвиђено да приликом одлучивања о набавци или изнајмљивању непокретности или делова објеката за потребе државних органа и организација из јавног сектора, укључујући и јавна предузећа, треба узети у обзир критеријуме за енергетску ефикасност.</w:t>
      </w:r>
    </w:p>
    <w:p>
      <w:pPr>
        <w:spacing w:after="150"/>
        <w:ind w:left="0"/>
        <w:jc w:val="left"/>
      </w:pPr>
      <w:r>
        <w:rPr>
          <w:rFonts w:ascii="Verdana"/>
          <w:b w:val="false"/>
          <w:i w:val="false"/>
          <w:color w:val="000000"/>
          <w:sz w:val="22"/>
        </w:rPr>
        <w:t>На основу Закона о ЕКЕ крајем 2015. године министар рударства и енергетике је донео Правилник о минималним критеријумима у погледу енергетске ефикасности у поступку јавне набавке добара („Службени гласник РС”, број 111/15) који је ступио на снагу почетком 2016. године. Тим правилником укључени су минимални критеријуми у погледу енергетске ефикасности у поступак јавне набавке. Обавезе из Правилника су се односиле на све наручиоце из јавног сектора односно на државне органе, органе аутономне покрајине и органе локане самоуправе који спроводе поступак јавне набавке.</w:t>
      </w:r>
    </w:p>
    <w:p>
      <w:pPr>
        <w:spacing w:after="150"/>
        <w:ind w:left="0"/>
        <w:jc w:val="left"/>
      </w:pPr>
      <w:r>
        <w:rPr>
          <w:rFonts w:ascii="Verdana"/>
          <w:b w:val="false"/>
          <w:i w:val="false"/>
          <w:color w:val="000000"/>
          <w:sz w:val="22"/>
        </w:rPr>
        <w:t>Минимални критеријуми у погледу енергетске ефикасности прописани поменутим правилником примењивали су се на набавке мале вредности (од 500.000 до 5.000.000 RSD) и набавке велике вредности (преко 5.000.000 RSD). Висина средстава за велику и малу јавну набавку била је прописана Законом о јавним набавкама а висине прописаних износа у складу су са чланом 6. ЕЕД (који упућује на примену члана 7. Директиве 2004/18/ЕЗ).</w:t>
      </w:r>
    </w:p>
    <w:p>
      <w:pPr>
        <w:spacing w:after="150"/>
        <w:ind w:left="0"/>
        <w:jc w:val="left"/>
      </w:pPr>
      <w:r>
        <w:rPr>
          <w:rFonts w:ascii="Verdana"/>
          <w:b w:val="false"/>
          <w:i w:val="false"/>
          <w:color w:val="000000"/>
          <w:sz w:val="22"/>
        </w:rPr>
        <w:t>Правилником су обухваћене следеће врсте производа:</w:t>
      </w:r>
    </w:p>
    <w:p>
      <w:pPr>
        <w:spacing w:after="150"/>
        <w:ind w:left="0"/>
        <w:jc w:val="left"/>
      </w:pPr>
      <w:r>
        <w:rPr>
          <w:rFonts w:ascii="Verdana"/>
          <w:b w:val="false"/>
          <w:i w:val="false"/>
          <w:color w:val="000000"/>
          <w:sz w:val="22"/>
        </w:rPr>
        <w:t>1) канцеларијска информатичка опрема;</w:t>
      </w:r>
    </w:p>
    <w:p>
      <w:pPr>
        <w:spacing w:after="150"/>
        <w:ind w:left="0"/>
        <w:jc w:val="left"/>
      </w:pPr>
      <w:r>
        <w:rPr>
          <w:rFonts w:ascii="Verdana"/>
          <w:b w:val="false"/>
          <w:i w:val="false"/>
          <w:color w:val="000000"/>
          <w:sz w:val="22"/>
        </w:rPr>
        <w:t>2) фрижидери и фрижидери са одељком за замрзавање хране;</w:t>
      </w:r>
    </w:p>
    <w:p>
      <w:pPr>
        <w:spacing w:after="150"/>
        <w:ind w:left="0"/>
        <w:jc w:val="left"/>
      </w:pPr>
      <w:r>
        <w:rPr>
          <w:rFonts w:ascii="Verdana"/>
          <w:b w:val="false"/>
          <w:i w:val="false"/>
          <w:color w:val="000000"/>
          <w:sz w:val="22"/>
        </w:rPr>
        <w:t>3) уређаји за климатизацију;</w:t>
      </w:r>
    </w:p>
    <w:p>
      <w:pPr>
        <w:spacing w:after="150"/>
        <w:ind w:left="0"/>
        <w:jc w:val="left"/>
      </w:pPr>
      <w:r>
        <w:rPr>
          <w:rFonts w:ascii="Verdana"/>
          <w:b w:val="false"/>
          <w:i w:val="false"/>
          <w:color w:val="000000"/>
          <w:sz w:val="22"/>
        </w:rPr>
        <w:t>4) унутрашње и спољно осветљење,</w:t>
      </w:r>
    </w:p>
    <w:p>
      <w:pPr>
        <w:spacing w:after="150"/>
        <w:ind w:left="0"/>
        <w:jc w:val="left"/>
      </w:pPr>
      <w:r>
        <w:rPr>
          <w:rFonts w:ascii="Verdana"/>
          <w:b w:val="false"/>
          <w:i w:val="false"/>
          <w:color w:val="000000"/>
          <w:sz w:val="22"/>
        </w:rPr>
        <w:t>што је складу са прилогом 3. ЕЕД у коме се дефинишу захтеви енергетске ефикасности за производе и услуге и зграде које купује централна власти.</w:t>
      </w:r>
    </w:p>
    <w:p>
      <w:pPr>
        <w:spacing w:after="150"/>
        <w:ind w:left="0"/>
        <w:jc w:val="left"/>
      </w:pPr>
      <w:r>
        <w:rPr>
          <w:rFonts w:ascii="Verdana"/>
          <w:b w:val="false"/>
          <w:i w:val="false"/>
          <w:color w:val="000000"/>
          <w:sz w:val="22"/>
        </w:rPr>
        <w:t>Примена члана 6. ЕЕД препозната је као мера у јавно комерцијалном сектору под називом Минимални критеријуми у погледу енергетске ефикасности у поступку јавне набавке добара.</w:t>
      </w:r>
    </w:p>
    <w:p>
      <w:pPr>
        <w:spacing w:after="150"/>
        <w:ind w:left="0"/>
        <w:jc w:val="left"/>
      </w:pPr>
      <w:r>
        <w:rPr>
          <w:rFonts w:ascii="Verdana"/>
          <w:b w:val="false"/>
          <w:i w:val="false"/>
          <w:color w:val="000000"/>
          <w:sz w:val="22"/>
        </w:rPr>
        <w:t>У периоду 2002–2009. године, у оквиру раних мера, локалне самоуправе су обавиле набавку енергетски ефикасних возила у јавном превозу. Модернизација возног парка јавних превозника извршена је у Београду, Нишу и Новом Саду. Нова набављена возила задовољавају најновије стандарде о емисији издувних гасова, или имају ниску потрошњу горива (енергије) и ниске CO</w:t>
      </w:r>
      <w:r>
        <w:rPr>
          <w:rFonts w:ascii="Verdana"/>
          <w:b w:val="false"/>
          <w:i w:val="false"/>
          <w:color w:val="000000"/>
          <w:sz w:val="22"/>
          <w:vertAlign w:val="subscript"/>
        </w:rPr>
        <w:t>2</w:t>
      </w:r>
      <w:r>
        <w:rPr>
          <w:rFonts w:ascii="Verdana"/>
          <w:b w:val="false"/>
          <w:i w:val="false"/>
          <w:color w:val="000000"/>
          <w:sz w:val="22"/>
        </w:rPr>
        <w:t xml:space="preserve"> емисије.</w:t>
      </w:r>
    </w:p>
    <w:p>
      <w:pPr>
        <w:spacing w:after="150"/>
        <w:ind w:left="0"/>
        <w:jc w:val="left"/>
      </w:pPr>
      <w:r>
        <w:rPr>
          <w:rFonts w:ascii="Verdana"/>
          <w:b w:val="false"/>
          <w:i w:val="false"/>
          <w:color w:val="000000"/>
          <w:sz w:val="22"/>
        </w:rPr>
        <w:t>У овом периоду реализована је активност добровољних споразума са општинама за модернизацију система јавне расвете. Овом мером наложена је замена постојећих уличних светиљки у систему јавне расвете енергетски-ефикасним светлосним изворима са побољшаним оптичким карактеристикама, као и увођење система регулације уличне расвете.</w:t>
      </w:r>
    </w:p>
    <w:p>
      <w:pPr>
        <w:spacing w:after="150"/>
        <w:ind w:left="0"/>
        <w:jc w:val="left"/>
      </w:pPr>
      <w:r>
        <w:rPr>
          <w:rFonts w:ascii="Verdana"/>
          <w:b w:val="false"/>
          <w:i w:val="false"/>
          <w:color w:val="000000"/>
          <w:sz w:val="22"/>
        </w:rPr>
        <w:t>У периоду од 2012. до 2013. године МРЕ је учествовало у пројекту „EFFECT”, који се реализовао у оквиру South East Europe Transnational Cooperation Programme са циљем да се побољшају критеријуми енергетске ефикасности у јавним набавкама у региону југоисточне Европе, SEE. Кроз сарадњу са бројним партнерима из региона, стечено је искуство у успостављању и спровођењу критеријума енергетске ефикасности у јавним набавкама.</w:t>
      </w:r>
    </w:p>
    <w:p>
      <w:pPr>
        <w:spacing w:after="150"/>
        <w:ind w:left="0"/>
        <w:jc w:val="left"/>
      </w:pPr>
      <w:r>
        <w:rPr>
          <w:rFonts w:ascii="Verdana"/>
          <w:b w:val="false"/>
          <w:i w:val="false"/>
          <w:color w:val="000000"/>
          <w:sz w:val="22"/>
        </w:rPr>
        <w:t>„Водич за локалне самоуправе за укључивање аспекта енергетске ефикасности у критеријуме јавне набавке” објављен је у оквиру пројекта „Подизање свести о енергетској ефикасности доносилаца одлука на локалном нивоу у Србији” који је спроведен од стране SCTM и уз техничку подршку UNDP.</w:t>
      </w:r>
    </w:p>
    <w:p>
      <w:pPr>
        <w:spacing w:after="150"/>
        <w:ind w:left="0"/>
        <w:jc w:val="left"/>
      </w:pPr>
      <w:r>
        <w:rPr>
          <w:rFonts w:ascii="Verdana"/>
          <w:b w:val="false"/>
          <w:i w:val="false"/>
          <w:color w:val="000000"/>
          <w:sz w:val="22"/>
        </w:rPr>
        <w:t>Процену о достигнутим уштедама реализованим за различите врсте производа на које се примењују критеријуми енергетске ефикасности у јавним набавкама још увек није могуће одредити због недостатка података о обиму таквих набавки и статусу процеса постављања критеријума. Међутим, постојање регистра набавки и присуство овлашћених службеника за јавне набавке, који могу бити обучени и за извештавање, дају добру основу за прикупљање података и будуће процене.</w:t>
      </w:r>
    </w:p>
    <w:p>
      <w:pPr>
        <w:spacing w:after="120"/>
        <w:ind w:left="0"/>
        <w:jc w:val="center"/>
      </w:pPr>
      <w:r>
        <w:rPr>
          <w:rFonts w:ascii="Verdana"/>
          <w:b w:val="false"/>
          <w:i/>
          <w:color w:val="000000"/>
          <w:sz w:val="22"/>
        </w:rPr>
        <w:t>3.3.4. Додатне мере и уштеде у Јавно-комерцијалном сектору</w:t>
      </w:r>
    </w:p>
    <w:p>
      <w:pPr>
        <w:spacing w:after="150"/>
        <w:ind w:left="0"/>
        <w:jc w:val="left"/>
      </w:pPr>
      <w:r>
        <w:rPr>
          <w:rFonts w:ascii="Verdana"/>
          <w:b w:val="false"/>
          <w:i w:val="false"/>
          <w:color w:val="000000"/>
          <w:sz w:val="22"/>
        </w:rPr>
        <w:t>Како енергетски биланс Републике Србије прати обједињену потрошњу у Јавно-комерцијалном сектору и како је Систем енергетског менаџмента, по Закону о ЕКЕ, као и по ЗЕЕРУЕ, обухватио обвезнике и из јавног и из комерцијалног сектора, уштеде које се у њима очекују у наредном периоду са приказом статуса мере у односу на 3. АПЕЕ дате су у табели 14.</w:t>
      </w:r>
    </w:p>
    <w:p>
      <w:pPr>
        <w:spacing w:after="150"/>
        <w:ind w:left="0"/>
        <w:jc w:val="left"/>
      </w:pPr>
      <w:r>
        <w:rPr>
          <w:rFonts w:ascii="Verdana"/>
          <w:b w:val="false"/>
          <w:i w:val="false"/>
          <w:color w:val="000000"/>
          <w:sz w:val="22"/>
        </w:rPr>
        <w:t>Табела 14. Преглед мера у Јавно-комерцијалном сектору са статусом имплементације и очекиваном уштедом у периоду 2019–2021.</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86"/>
        <w:gridCol w:w="5962"/>
        <w:gridCol w:w="2446"/>
        <w:gridCol w:w="5306"/>
      </w:tblGrid>
      <w:tr>
        <w:trPr>
          <w:trHeight w:val="45" w:hRule="atLeast"/>
        </w:trPr>
        <w:tc>
          <w:tcPr>
            <w:tcW w:w="6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59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2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Статус мере</w:t>
            </w:r>
          </w:p>
        </w:tc>
        <w:tc>
          <w:tcPr>
            <w:tcW w:w="5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Очекивана уштеда за период 2019–2021.</w:t>
            </w:r>
          </w:p>
        </w:tc>
      </w:tr>
      <w:tr>
        <w:trPr>
          <w:trHeight w:val="45" w:hRule="atLeast"/>
        </w:trPr>
        <w:tc>
          <w:tcPr>
            <w:tcW w:w="686" w:type="dxa"/>
            <w:tcBorders>
              <w:top w:val="single" w:color="000000" w:sz="8"/>
              <w:left w:val="single" w:color="000000" w:sz="8"/>
              <w:bottom w:val="single" w:color="000000" w:sz="8"/>
              <w:right w:val="single" w:color="000000" w:sz="8"/>
            </w:tcBorders>
            <w:vAlign w:val="center"/>
          </w:tcPr>
          <w:p/>
        </w:tc>
        <w:tc>
          <w:tcPr>
            <w:tcW w:w="5962" w:type="dxa"/>
            <w:tcBorders>
              <w:top w:val="single" w:color="000000" w:sz="8"/>
              <w:left w:val="single" w:color="000000" w:sz="8"/>
              <w:bottom w:val="single" w:color="000000" w:sz="8"/>
              <w:right w:val="single" w:color="000000" w:sz="8"/>
            </w:tcBorders>
            <w:vAlign w:val="center"/>
          </w:tcPr>
          <w:p/>
        </w:tc>
        <w:tc>
          <w:tcPr>
            <w:tcW w:w="2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c>
          <w:tcPr>
            <w:tcW w:w="5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r>
      <w:tr>
        <w:trPr>
          <w:trHeight w:val="45" w:hRule="atLeast"/>
        </w:trPr>
        <w:tc>
          <w:tcPr>
            <w:tcW w:w="6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ЈК1</w:t>
            </w:r>
          </w:p>
        </w:tc>
        <w:tc>
          <w:tcPr>
            <w:tcW w:w="59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зграда у јавном и комерцијалном сектору</w:t>
            </w:r>
          </w:p>
        </w:tc>
        <w:tc>
          <w:tcPr>
            <w:tcW w:w="2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5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0,0029</w:t>
            </w:r>
          </w:p>
        </w:tc>
      </w:tr>
      <w:tr>
        <w:trPr>
          <w:trHeight w:val="45" w:hRule="atLeast"/>
        </w:trPr>
        <w:tc>
          <w:tcPr>
            <w:tcW w:w="6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ЈК2</w:t>
            </w:r>
          </w:p>
        </w:tc>
        <w:tc>
          <w:tcPr>
            <w:tcW w:w="59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грађевинска регулатива и сертификати о енергетским својствима зграда</w:t>
            </w:r>
          </w:p>
        </w:tc>
        <w:tc>
          <w:tcPr>
            <w:tcW w:w="2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5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0,0303</w:t>
            </w:r>
          </w:p>
        </w:tc>
      </w:tr>
      <w:tr>
        <w:trPr>
          <w:trHeight w:val="45" w:hRule="atLeast"/>
        </w:trPr>
        <w:tc>
          <w:tcPr>
            <w:tcW w:w="6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ЈК3</w:t>
            </w:r>
          </w:p>
        </w:tc>
        <w:tc>
          <w:tcPr>
            <w:tcW w:w="59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Модернизација система јавног осветљења у ЈЛС</w:t>
            </w:r>
          </w:p>
        </w:tc>
        <w:tc>
          <w:tcPr>
            <w:tcW w:w="2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5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0,0019</w:t>
            </w:r>
          </w:p>
        </w:tc>
      </w:tr>
      <w:tr>
        <w:trPr>
          <w:trHeight w:val="45" w:hRule="atLeast"/>
        </w:trPr>
        <w:tc>
          <w:tcPr>
            <w:tcW w:w="6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ЈК4</w:t>
            </w:r>
          </w:p>
        </w:tc>
        <w:tc>
          <w:tcPr>
            <w:tcW w:w="59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енергетског менаџмента (СЕМ) у јавни и комерцијални сектор</w:t>
            </w:r>
          </w:p>
        </w:tc>
        <w:tc>
          <w:tcPr>
            <w:tcW w:w="2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5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0,0049</w:t>
            </w:r>
          </w:p>
        </w:tc>
      </w:tr>
      <w:tr>
        <w:trPr>
          <w:trHeight w:val="45" w:hRule="atLeast"/>
        </w:trPr>
        <w:tc>
          <w:tcPr>
            <w:tcW w:w="6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ЈК5</w:t>
            </w:r>
          </w:p>
        </w:tc>
        <w:tc>
          <w:tcPr>
            <w:tcW w:w="59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Минимални критеријуми у погледу енергетске ефикасности у поступку јавне набавке добара</w:t>
            </w:r>
          </w:p>
        </w:tc>
        <w:tc>
          <w:tcPr>
            <w:tcW w:w="2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5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6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ЈК6</w:t>
            </w:r>
          </w:p>
        </w:tc>
        <w:tc>
          <w:tcPr>
            <w:tcW w:w="59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Подстицајне мере за високо ефикасна постројења за комбиновану производњу топлотне и електричне енергије на природни гас (CHP)</w:t>
            </w:r>
          </w:p>
        </w:tc>
        <w:tc>
          <w:tcPr>
            <w:tcW w:w="2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5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6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ЈК7</w:t>
            </w:r>
          </w:p>
        </w:tc>
        <w:tc>
          <w:tcPr>
            <w:tcW w:w="59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система за грејање и система за климатизацију зграда и примена алтернативних мера</w:t>
            </w:r>
          </w:p>
        </w:tc>
        <w:tc>
          <w:tcPr>
            <w:tcW w:w="24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5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Јавно-комерцијални сумарно</w:t>
            </w:r>
          </w:p>
        </w:tc>
        <w:tc>
          <w:tcPr>
            <w:tcW w:w="2446" w:type="dxa"/>
            <w:tcBorders>
              <w:top w:val="single" w:color="000000" w:sz="8"/>
              <w:left w:val="single" w:color="000000" w:sz="8"/>
              <w:bottom w:val="single" w:color="000000" w:sz="8"/>
              <w:right w:val="single" w:color="000000" w:sz="8"/>
            </w:tcBorders>
            <w:vAlign w:val="center"/>
          </w:tcPr>
          <w:p/>
        </w:tc>
        <w:tc>
          <w:tcPr>
            <w:tcW w:w="5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0,04</w:t>
            </w:r>
          </w:p>
        </w:tc>
      </w:tr>
    </w:tbl>
    <w:p>
      <w:pPr>
        <w:spacing w:after="150"/>
        <w:ind w:left="0"/>
        <w:jc w:val="left"/>
      </w:pPr>
      <w:r>
        <w:rPr>
          <w:rFonts w:ascii="Verdana"/>
          <w:b w:val="false"/>
          <w:i w:val="false"/>
          <w:color w:val="000000"/>
          <w:sz w:val="22"/>
        </w:rPr>
        <w:t>И у овом сектору задржане су мере које су већ детаљно описане претходно у 3. АПЕЕ.</w:t>
      </w:r>
    </w:p>
    <w:p>
      <w:pPr>
        <w:spacing w:after="150"/>
        <w:ind w:left="0"/>
        <w:jc w:val="left"/>
      </w:pPr>
      <w:r>
        <w:rPr>
          <w:rFonts w:ascii="Verdana"/>
          <w:b w:val="false"/>
          <w:i w:val="false"/>
          <w:color w:val="000000"/>
          <w:sz w:val="22"/>
        </w:rPr>
        <w:t>Тако се мера ЈК1 односи на уштеде које су резултат домаћих и/или међународних пројеката реконструкција и рехабилитација зграда и термотехничких система.</w:t>
      </w:r>
    </w:p>
    <w:p>
      <w:pPr>
        <w:spacing w:after="150"/>
        <w:ind w:left="0"/>
        <w:jc w:val="left"/>
      </w:pPr>
      <w:r>
        <w:rPr>
          <w:rFonts w:ascii="Verdana"/>
          <w:b w:val="false"/>
          <w:i w:val="false"/>
          <w:color w:val="000000"/>
          <w:sz w:val="22"/>
        </w:rPr>
        <w:t>Мера ЈК2 (као и код мере Д2) односи се на примену Правилника о условима, садржини и начину издавања сертификата о енергетским својствима зграда („Службени гласник РС”, бр. 69/12 и 44/18 – др. пропис) и Правилника о енергетској ефикасности зграда („Службени гласник РС”, број 61/11). Овом мером се остварују уштеде енергије по основу бољих енергетских својстава новоизграђених зграда у односу на просечну потрошњу топлотне енергије у постојећим зградама.</w:t>
      </w:r>
    </w:p>
    <w:p>
      <w:pPr>
        <w:spacing w:after="150"/>
        <w:ind w:left="0"/>
        <w:jc w:val="left"/>
      </w:pPr>
      <w:r>
        <w:rPr>
          <w:rFonts w:ascii="Verdana"/>
          <w:b w:val="false"/>
          <w:i w:val="false"/>
          <w:color w:val="000000"/>
          <w:sz w:val="22"/>
        </w:rPr>
        <w:t>Мера ЈК3 прати уштеде енергије настале као резултат замене светиљки новим ефикасним светиљкама у оквиру јавног осветљења.</w:t>
      </w:r>
    </w:p>
    <w:p>
      <w:pPr>
        <w:spacing w:after="150"/>
        <w:ind w:left="0"/>
        <w:jc w:val="left"/>
      </w:pPr>
      <w:r>
        <w:rPr>
          <w:rFonts w:ascii="Verdana"/>
          <w:b w:val="false"/>
          <w:i w:val="false"/>
          <w:color w:val="000000"/>
          <w:sz w:val="22"/>
        </w:rPr>
        <w:t>Мера ЈК4 описана у 3.1.2, ЈК5 описана у 3.3.3. а ЈК7 је описана у 3.2.1.</w:t>
      </w:r>
    </w:p>
    <w:p>
      <w:pPr>
        <w:spacing w:after="150"/>
        <w:ind w:left="0"/>
        <w:jc w:val="left"/>
      </w:pPr>
      <w:r>
        <w:rPr>
          <w:rFonts w:ascii="Verdana"/>
          <w:b w:val="false"/>
          <w:i w:val="false"/>
          <w:color w:val="000000"/>
          <w:sz w:val="22"/>
        </w:rPr>
        <w:t>Закон којим се уређује енергетика прописао је подстицајне мере за високо ефикасна постројења за комбиновану производњу топлотне и електричне енергије на природни гас капацитета до 10MW. Критеријум за ова постројења је да имају годишњи степен корисности 75% и више.</w:t>
      </w:r>
    </w:p>
    <w:p>
      <w:pPr>
        <w:spacing w:after="150"/>
        <w:ind w:left="0"/>
        <w:jc w:val="left"/>
      </w:pPr>
      <w:r>
        <w:rPr>
          <w:rFonts w:ascii="Verdana"/>
          <w:b w:val="false"/>
          <w:i w:val="false"/>
          <w:color w:val="000000"/>
          <w:sz w:val="22"/>
        </w:rPr>
        <w:t>У Прилогу 4 излистани су појединачни описи свих мера.</w:t>
      </w:r>
    </w:p>
    <w:p>
      <w:pPr>
        <w:spacing w:after="120"/>
        <w:ind w:left="0"/>
        <w:jc w:val="center"/>
      </w:pPr>
      <w:r>
        <w:rPr>
          <w:rFonts w:ascii="Verdana"/>
          <w:b w:val="false"/>
          <w:i/>
          <w:color w:val="000000"/>
          <w:sz w:val="22"/>
        </w:rPr>
        <w:t>3.3.5. Финансирање мера ЕЕ у Јавном сектору</w:t>
      </w:r>
    </w:p>
    <w:p>
      <w:pPr>
        <w:spacing w:after="150"/>
        <w:ind w:left="0"/>
        <w:jc w:val="left"/>
      </w:pPr>
      <w:r>
        <w:rPr>
          <w:rFonts w:ascii="Verdana"/>
          <w:b w:val="false"/>
          <w:i w:val="false"/>
          <w:color w:val="000000"/>
          <w:sz w:val="22"/>
        </w:rPr>
        <w:t>На основу Закона о EKE основан је Буџетски фонд за унапређење енергетске ефикасности Републике Србије као ефикасан начин за прикупљање и пласирање средстава у сврху финансирања или суфинансирања пројеката, програма и активности које за циљ имају ефикасније коришћење енергије. На основу ЗЕЕРУЕ, оснива се Управа за финансирање и подстицање енергетске ефикасности чији је један од главних послова – припрема и спровођење пројеката енергетске ефикасности.</w:t>
      </w:r>
    </w:p>
    <w:p>
      <w:pPr>
        <w:spacing w:after="150"/>
        <w:ind w:left="0"/>
        <w:jc w:val="left"/>
      </w:pPr>
      <w:r>
        <w:rPr>
          <w:rFonts w:ascii="Verdana"/>
          <w:b w:val="false"/>
          <w:i w:val="false"/>
          <w:color w:val="000000"/>
          <w:sz w:val="22"/>
        </w:rPr>
        <w:t>У оквиру Буџетског фонда у периоду од 2014–2019. године спроведено је 6 јавних позива за (су)финансирање пројеката унапређења енергетске ефикасности у јединицама локалних самоуправа (ЈЛС) средствима за унапређење енергетске ефикасности Републике Србије и склопљено је 91 уговора. Пројекти су првенствено обухватили мере унапређења енергетске ефикасности на термичком омотачу зграде (замена столарије и постављање термоизолације) и мере унапређења термотехничких система (уградња котлова на биомасу, уградња термостатских вентила, електронски регулисаних циркулационих пумпи и уређаја за мерење предате количине топлоте). Реализовали су се најчешће на јавним објектима као што су: предшколске установе, домови здравља, основне и средње школе и управне зграде ЈЛС.</w:t>
      </w:r>
    </w:p>
    <w:p>
      <w:pPr>
        <w:spacing w:after="150"/>
        <w:ind w:left="0"/>
        <w:jc w:val="left"/>
      </w:pPr>
      <w:r>
        <w:rPr>
          <w:rFonts w:ascii="Verdana"/>
          <w:b w:val="false"/>
          <w:i w:val="false"/>
          <w:color w:val="000000"/>
          <w:sz w:val="22"/>
        </w:rPr>
        <w:t>Реализација 11 пројеката из првог јавног позива, који је расписан 2014. године, завршена је током 2015. и 2016. године. Укупна вредност свих радова за тих 11 пројеката износила је око 80 милиона динара. Укупна уштеда у потрошњи енергије за грејање у односу на стање пре енергетске рехабилитације износи око 40%, односно око 2,7 милиона kWh, а смањење емисија CO</w:t>
      </w:r>
      <w:r>
        <w:rPr>
          <w:rFonts w:ascii="Verdana"/>
          <w:b w:val="false"/>
          <w:i w:val="false"/>
          <w:color w:val="000000"/>
          <w:sz w:val="22"/>
          <w:vertAlign w:val="subscript"/>
        </w:rPr>
        <w:t>2</w:t>
      </w:r>
      <w:r>
        <w:rPr>
          <w:rFonts w:ascii="Verdana"/>
          <w:b w:val="false"/>
          <w:i w:val="false"/>
          <w:color w:val="000000"/>
          <w:sz w:val="22"/>
        </w:rPr>
        <w:t xml:space="preserve"> око 1120 t/год. У следећим ЈЛС су реализовани пројекти: Жагубици, Бабушници, Малом Зворнику, Димитровграду, Љубовији, Кикинди, Кули, Прибоју, Гаџином Хану, Бору и Горњем Милановцу.</w:t>
      </w:r>
    </w:p>
    <w:p>
      <w:pPr>
        <w:spacing w:after="150"/>
        <w:ind w:left="0"/>
        <w:jc w:val="left"/>
      </w:pPr>
      <w:r>
        <w:rPr>
          <w:rFonts w:ascii="Verdana"/>
          <w:b w:val="false"/>
          <w:i w:val="false"/>
          <w:color w:val="000000"/>
          <w:sz w:val="22"/>
        </w:rPr>
        <w:t>Крајем децембра 2017. године завршени су сви пројекти у ЈЛС којима су додељена средства на основу првог јавног позива за доделу средстава из Буџетског фонда за унапређење енергетске ефикасности ради финансирања пројеката у области ефикасног коришћења енергије у 2016. години. Годишња уштеда енергије износи око 4,5 милиона kWh и смањење емисија CO</w:t>
      </w:r>
      <w:r>
        <w:rPr>
          <w:rFonts w:ascii="Verdana"/>
          <w:b w:val="false"/>
          <w:i w:val="false"/>
          <w:color w:val="000000"/>
          <w:sz w:val="22"/>
          <w:vertAlign w:val="subscript"/>
        </w:rPr>
        <w:t>2</w:t>
      </w:r>
      <w:r>
        <w:rPr>
          <w:rFonts w:ascii="Verdana"/>
          <w:b w:val="false"/>
          <w:i w:val="false"/>
          <w:color w:val="000000"/>
          <w:sz w:val="22"/>
        </w:rPr>
        <w:t xml:space="preserve"> око 1550 t/год. Енергетски су рехабилитовани јавни објекти у: Мионици, Бољевцу, Бечеју, Крушевцу, Крагујевцу, Свилајнцу, Ражњу, Новом Бечеју, Дољевцу, Жагубици, Бачком Петровцу, Гаџином Хану, Ужицу, Бабушници и Новом Саду.</w:t>
      </w:r>
    </w:p>
    <w:p>
      <w:pPr>
        <w:spacing w:after="150"/>
        <w:ind w:left="0"/>
        <w:jc w:val="left"/>
      </w:pPr>
      <w:r>
        <w:rPr>
          <w:rFonts w:ascii="Verdana"/>
          <w:b w:val="false"/>
          <w:i w:val="false"/>
          <w:color w:val="000000"/>
          <w:sz w:val="22"/>
        </w:rPr>
        <w:t>Трећи јавни позив спроведен је крајем 2016 године. Укупна расположива бесповратна средства која су додељена овим јавним позивом износе до 500 хиљада УСД, донација UNDP (GEF) и до 25 милиона динара из Буџетског фонда. Крајем априла по основу овог јавног позива склопљени су уговори са 13 ЈЛС. Укупна инвестициона вредност изабраних пројеката је око 136 милиона динара. Од 13 изабраних пројеката чак шест се односи на уградњу котлова на биомасу укупног капацитета од 2,5 MW. Процењена уштеда енергије износи око 2,1 милиона kWh годишње, а смањење емисије CO</w:t>
      </w:r>
      <w:r>
        <w:rPr>
          <w:rFonts w:ascii="Verdana"/>
          <w:b w:val="false"/>
          <w:i w:val="false"/>
          <w:color w:val="000000"/>
          <w:sz w:val="22"/>
          <w:vertAlign w:val="subscript"/>
        </w:rPr>
        <w:t>2</w:t>
      </w:r>
      <w:r>
        <w:rPr>
          <w:rFonts w:ascii="Verdana"/>
          <w:b w:val="false"/>
          <w:i w:val="false"/>
          <w:color w:val="000000"/>
          <w:sz w:val="22"/>
        </w:rPr>
        <w:t xml:space="preserve"> око 1500 тона годишње. Одобрено је суфинансирање пројеката енергетске ефикасности: Жагубици, Рашки, Књажевцу, Лапову, Шапцу, Медвеђи, Љубовији, Лучанима, Пећинцима, Свилајнцу, Жабарима, Крушевцу и Великој Плани.</w:t>
      </w:r>
    </w:p>
    <w:p>
      <w:pPr>
        <w:spacing w:after="150"/>
        <w:ind w:left="0"/>
        <w:jc w:val="left"/>
      </w:pPr>
      <w:r>
        <w:rPr>
          <w:rFonts w:ascii="Verdana"/>
          <w:b w:val="false"/>
          <w:i w:val="false"/>
          <w:color w:val="000000"/>
          <w:sz w:val="22"/>
        </w:rPr>
        <w:t>Средином маја 2018. године расписан је јавни позив за доделу средстава из Буџетског фонда за унапређење енергетске ефикасности ради финансирања пројеката у области ефикасног коришћења енергије у 2018. години у ЈЛС. Укупна расположива бесповратна средства која су се доделила у јавном позиву износила су 125 милиона динара. Позив је завршен 4. јула. Крајем октобра месеца објављено је решење о додели средстава, којим су се средства доделила за пројекте у 14 ЈЛС и то: Осечини, Крупњу, Љубовији, Иригу, Крагујевцу, Ћуприји, Краљеву, Гаџином Хану, Босилеграду, Велика Плана, Свилајнцу, Кањижи, Белој Паланки и Књажевцу. Уговори о додели средстава су потписани 8. новембра. Процењена уштеда енергије износи око 2,3 милиона kWh годишње, а смањење емисије CO</w:t>
      </w:r>
      <w:r>
        <w:rPr>
          <w:rFonts w:ascii="Verdana"/>
          <w:b w:val="false"/>
          <w:i w:val="false"/>
          <w:color w:val="000000"/>
          <w:sz w:val="22"/>
          <w:vertAlign w:val="subscript"/>
        </w:rPr>
        <w:t>2</w:t>
      </w:r>
      <w:r>
        <w:rPr>
          <w:rFonts w:ascii="Verdana"/>
          <w:b w:val="false"/>
          <w:i w:val="false"/>
          <w:color w:val="000000"/>
          <w:sz w:val="22"/>
        </w:rPr>
        <w:t xml:space="preserve"> око 1800 тона годишње.</w:t>
      </w:r>
    </w:p>
    <w:p>
      <w:pPr>
        <w:spacing w:after="150"/>
        <w:ind w:left="0"/>
        <w:jc w:val="left"/>
      </w:pPr>
      <w:r>
        <w:rPr>
          <w:rFonts w:ascii="Verdana"/>
          <w:b w:val="false"/>
          <w:i w:val="false"/>
          <w:color w:val="000000"/>
          <w:sz w:val="22"/>
        </w:rPr>
        <w:t>Крајем фебруара месеца, односно 26. фебруара расписан је јавни позив за доделу средстава из Буџетског фонда за унапређење енергетске ефикасности ради финансирања пројеката у области ефикасног коришћења енергије у 2019. години у јединицама локалне самоуправе и градским општинама. Позив је трајао до 27. марта. Укупна расположива средства по овом позиву износила су 325 милиона динара. Решењем Министарства рударства и енергетике додељена су средства за пројекте у 24 јединице локалних самоуправа/градских општина и то: Кикинди, Трговишту, Сурдулици, Суботица, Бела Паланка, Мајданпек, Алибунар, Земун, Свилајнац, Рашка, Кањижа, Ириг, Петровац на Млави, Чачак, Мионица, Ваљево, Деспотовац, Лучани, Мало Црниће, Крушевац, Љубовија, Ћуприја, Ниш, Кнић. Уговори о додели средстава су потписани 17. јуна. Укупна вредност пројеката је 490.628.865,92 динара, а допринос ЈЛС износи 165.628.865,92 динара (око 33,8 %). Процењена уштеда енергије износи око 8,2 милиона kWh годишње, а смањење емисије CO</w:t>
      </w:r>
      <w:r>
        <w:rPr>
          <w:rFonts w:ascii="Verdana"/>
          <w:b w:val="false"/>
          <w:i w:val="false"/>
          <w:color w:val="000000"/>
          <w:sz w:val="22"/>
          <w:vertAlign w:val="subscript"/>
        </w:rPr>
        <w:t>2</w:t>
      </w:r>
      <w:r>
        <w:rPr>
          <w:rFonts w:ascii="Verdana"/>
          <w:b w:val="false"/>
          <w:i w:val="false"/>
          <w:color w:val="000000"/>
          <w:sz w:val="22"/>
        </w:rPr>
        <w:t xml:space="preserve"> око 3300 t/год.</w:t>
      </w:r>
    </w:p>
    <w:p>
      <w:pPr>
        <w:spacing w:after="150"/>
        <w:ind w:left="0"/>
        <w:jc w:val="left"/>
      </w:pPr>
      <w:r>
        <w:rPr>
          <w:rFonts w:ascii="Verdana"/>
          <w:b w:val="false"/>
          <w:i w:val="false"/>
          <w:color w:val="000000"/>
          <w:sz w:val="22"/>
        </w:rPr>
        <w:t>Крајем октобра 2019. године је расписан Јавни позив 2/19 за доделу средстава из Буџетског фонда за унапређење енергетске ефикасности ради финансирања пројеката у области ефикасног коришћења енергије у 2019. години у јединицама локалне самоуправе и градским општинама. Средства су обезбеђена за финансирање 14 пројеката.</w:t>
      </w:r>
    </w:p>
    <w:p>
      <w:pPr>
        <w:spacing w:after="150"/>
        <w:ind w:left="0"/>
        <w:jc w:val="left"/>
      </w:pPr>
      <w:r>
        <w:rPr>
          <w:rFonts w:ascii="Verdana"/>
          <w:b w:val="false"/>
          <w:i w:val="false"/>
          <w:color w:val="000000"/>
          <w:sz w:val="22"/>
        </w:rPr>
        <w:t>Извори финансирања одређених мера енергетске ефикасности у 2021. години финансирају се из буџета Републике Србије, кроз подстицаје за унапређење енергетске ефикасности (пре 2021. године преко Буџетског фонда за унапређење енергетске ефикасности Републике Србије) имајући у виду да је од доношења Закона о буџету Републике Србије за 2021. годину (,,Службени гласник РС”, бр. 149/20 и 40/21) измењен начин исказивања буџетских фондова, и то кроз Програмске активности у оквиру одређеног Програма на разделу министарства.</w:t>
      </w:r>
    </w:p>
    <w:p>
      <w:pPr>
        <w:spacing w:after="120"/>
        <w:ind w:left="0"/>
        <w:jc w:val="center"/>
      </w:pPr>
      <w:r>
        <w:rPr>
          <w:rFonts w:ascii="Verdana"/>
          <w:b w:val="false"/>
          <w:i w:val="false"/>
          <w:color w:val="000000"/>
          <w:sz w:val="22"/>
        </w:rPr>
        <w:t>Мере енергетске ефикасности у Индустрији</w:t>
      </w:r>
    </w:p>
    <w:p>
      <w:pPr>
        <w:spacing w:after="120"/>
        <w:ind w:left="0"/>
        <w:jc w:val="center"/>
      </w:pPr>
      <w:r>
        <w:rPr>
          <w:rFonts w:ascii="Verdana"/>
          <w:b w:val="false"/>
          <w:i/>
          <w:color w:val="000000"/>
          <w:sz w:val="22"/>
        </w:rPr>
        <w:t>3.3.6. Главне мере политике које се односе на Индустрију</w:t>
      </w:r>
    </w:p>
    <w:p>
      <w:pPr>
        <w:spacing w:after="150"/>
        <w:ind w:left="0"/>
        <w:jc w:val="left"/>
      </w:pPr>
      <w:r>
        <w:rPr>
          <w:rFonts w:ascii="Verdana"/>
          <w:b w:val="false"/>
          <w:i w:val="false"/>
          <w:color w:val="000000"/>
          <w:sz w:val="22"/>
        </w:rPr>
        <w:t>Индустријска производња у Републици Србији у периоду од 2016. до 2018. године бележи пораст, тако да је 2016. године била за 4,7% већа него 2015. године, 2017. године је била за 3,9% већа него 2016. године а 2018. године је била за 1,3% већа у односу на 2017. годину</w:t>
      </w:r>
      <w:r>
        <w:rPr>
          <w:rFonts w:ascii="Verdana"/>
          <w:b w:val="false"/>
          <w:i w:val="false"/>
          <w:color w:val="000000"/>
          <w:sz w:val="22"/>
          <w:vertAlign w:val="superscript"/>
        </w:rPr>
        <w:t>7</w:t>
      </w:r>
      <w:r>
        <w:rPr>
          <w:rFonts w:ascii="Verdana"/>
          <w:b w:val="false"/>
          <w:i w:val="false"/>
          <w:color w:val="000000"/>
          <w:sz w:val="22"/>
        </w:rPr>
        <w:t>. Највећи утицај на раст индустријске производње у 2016. години, у односу на 2015. годину, имале су: Производња прехрамбених производа, Производња хемикалија и хемијских производа, Производња електричне енергије, Производња производа од гуме и пластике и Производња дуванских производа. Посматрано по секторима, у 2016. години, у односу на 2015. годину, забележена су следећа кретања: сектор Прерађивачка индустрија – раст од 5,3%; сектор Рударство – раст од 4,0%; и сектор Снабдевање електричном енергијом, гасом, паром и климатизациja – раст од 2,7%. Највећи утицај на раст индустријске производње у 2017. години у односу на 2016. годину имале су: Производња производа од гуме и пластике, Производња машина и опреме на другом</w:t>
      </w:r>
    </w:p>
    <w:p>
      <w:pPr>
        <w:spacing w:after="150"/>
        <w:ind w:left="0"/>
        <w:jc w:val="left"/>
      </w:pPr>
      <w:r>
        <w:rPr>
          <w:rFonts w:ascii="Verdana"/>
          <w:b w:val="false"/>
          <w:i w:val="false"/>
          <w:color w:val="000000"/>
          <w:sz w:val="22"/>
        </w:rPr>
        <w:t>––––––––</w:t>
      </w:r>
    </w:p>
    <w:p>
      <w:pPr>
        <w:spacing w:after="150"/>
        <w:ind w:left="0"/>
        <w:jc w:val="left"/>
      </w:pPr>
      <w:r>
        <w:rPr>
          <w:rFonts w:ascii="Verdana"/>
          <w:b w:val="false"/>
          <w:i w:val="false"/>
          <w:color w:val="000000"/>
          <w:sz w:val="22"/>
        </w:rPr>
        <w:t>7	Статистички годишњак Републике Србије 2017, Статистички годишњак Републике Србије 2018 и Статистички годишњак Републике Србије 2019, Републички завод за статистику, https://www.stat.gov.rs/oblasti/industrija/</w:t>
      </w:r>
    </w:p>
    <w:p>
      <w:pPr>
        <w:spacing w:after="150"/>
        <w:ind w:left="0"/>
        <w:jc w:val="left"/>
      </w:pPr>
      <w:r>
        <w:rPr>
          <w:rFonts w:ascii="Verdana"/>
          <w:b w:val="false"/>
          <w:i w:val="false"/>
          <w:color w:val="000000"/>
          <w:sz w:val="22"/>
        </w:rPr>
        <w:t>месту непоменуте, Производња хемикалија и хемијских производа, Производња металних производа, осим машина и Производња деривата нафте. Посматрано по секторима, у 2017. години, у поређењу са претходном годином, забележена су следећа кретања: сектор Прерађивачка индустрија – раст од 6,3%, Сектор рударство – раст од 2,2% и Сектор снабдевање електричном енергијом, гасом, паром и климатизациja – пад од 6,2%. Највећи утицај на раст индустријске производње у 2018. години, у односу на 2017. годину, имале су: Производња деривата нафте, Производња основних метала, Производња машина и опреме на другом месту непоменуте, Производња производа од неметалних минерала и Производња електричне енергије. Посматрано по секторима, у 2018. години, у поређењу са претходном годином, забележена су следећа кретања: Сектор прерађивачка индустрија – раст од 1,9%, Сектор снабдевање електричном енергијом, гасом, паром и климатизациja – раст од 1,2% и Сектор рударство – пад од 4,8%.</w:t>
      </w:r>
    </w:p>
    <w:p>
      <w:pPr>
        <w:spacing w:after="150"/>
        <w:ind w:left="0"/>
        <w:jc w:val="left"/>
      </w:pPr>
      <w:r>
        <w:rPr>
          <w:rFonts w:ascii="Verdana"/>
          <w:b w:val="false"/>
          <w:i w:val="false"/>
          <w:color w:val="000000"/>
          <w:sz w:val="22"/>
        </w:rPr>
        <w:t>Стратегија и политика развоја индустрије Републике Србије од 2011. до 2020. године („Службени гласник РС”, број 55/11) има за циљ обезбеђивање сигурног снабдевања енергијом кроз повећање ефикасности енергетских компанија и привреде у периоду од 2011. до 2020. години. У Стратегији индустријске политике од 2021. до 2030. године енергетска ефикасност је препозната као мера 5.3 – Подстицање ефикасније употребе материјалних ресурса и енергетска ефикасност у индустријским процесима ради остваривања циља 5. – Трансформација индустрије од линеарног ка циркуларном моделу уз смањење емисије CO</w:t>
      </w:r>
      <w:r>
        <w:rPr>
          <w:rFonts w:ascii="Verdana"/>
          <w:b w:val="false"/>
          <w:i w:val="false"/>
          <w:color w:val="000000"/>
          <w:sz w:val="22"/>
          <w:vertAlign w:val="subscript"/>
        </w:rPr>
        <w:t>2</w:t>
      </w:r>
      <w:r>
        <w:rPr>
          <w:rFonts w:ascii="Verdana"/>
          <w:b w:val="false"/>
          <w:i w:val="false"/>
          <w:color w:val="000000"/>
          <w:sz w:val="22"/>
        </w:rPr>
        <w:t>.</w:t>
      </w:r>
    </w:p>
    <w:p>
      <w:pPr>
        <w:spacing w:after="150"/>
        <w:ind w:left="0"/>
        <w:jc w:val="left"/>
      </w:pPr>
      <w:r>
        <w:rPr>
          <w:rFonts w:ascii="Verdana"/>
          <w:b w:val="false"/>
          <w:i w:val="false"/>
          <w:color w:val="000000"/>
          <w:sz w:val="22"/>
        </w:rPr>
        <w:t>Влада Републике Србије у марту 2015. године усвојила је Стратегију за подршку развоја малих и средњих предузећа, предузетништва и конкурентности за период од 2015. до 2020. године, са Акционим планом, која утврђује оквир, циљеве, приоритете и мере за унапређење развоја микро, малих и средњих предузећа и предузетништва у средњорочном периоду. Један од циљева ове стратегије је унапређење подршке за високоиновативна мала и средња привредна предузећа (МСПП), еко-иновације, унапређење енергетске ефикасности и ефикасно коришћењe ресурса.</w:t>
      </w:r>
    </w:p>
    <w:p>
      <w:pPr>
        <w:spacing w:after="150"/>
        <w:ind w:left="0"/>
        <w:jc w:val="left"/>
      </w:pPr>
      <w:r>
        <w:rPr>
          <w:rFonts w:ascii="Verdana"/>
          <w:b w:val="false"/>
          <w:i w:val="false"/>
          <w:color w:val="000000"/>
          <w:sz w:val="22"/>
        </w:rPr>
        <w:t>Закон о ефикасном коришћењу енергије увео је, а Закон енергетској ефикасности и рационалној употреби енергије даље развија обавезу спровођења система енергетског менаџмента (СЕМ) код великих потрошача енергије у сектору индустрије. Уредбом о утврђивању граничних вредности годишње потрошње енергије на основу којих се одређује која привредна друштва су обвезници система енергетског менаџмента, годишњих циљева уштеде енергије и обрасца пријаве о оствареној потрошњи енергије („Службени гласник РС”, број 18/16), дефинисано је да су обвезници СЕМ привредна друштва и јавна предузећа чија је претежна делатност у производном сектору и која на локацији остварују годишњу потрошњу примарне енергије већу од 2.500 toe.</w:t>
      </w:r>
    </w:p>
    <w:p>
      <w:pPr>
        <w:spacing w:after="150"/>
        <w:ind w:left="0"/>
        <w:jc w:val="left"/>
      </w:pPr>
      <w:r>
        <w:rPr>
          <w:rFonts w:ascii="Verdana"/>
          <w:b w:val="false"/>
          <w:i w:val="false"/>
          <w:color w:val="000000"/>
          <w:sz w:val="22"/>
        </w:rPr>
        <w:t>На основу члана 80. Закона о енергетици, донета је Уредба o подстицајним мерама за производњу електричне енергије из обновљивих извора и из високоефикасне комбиноване производње електричне и топлотне енергије („Службени гласник РС” број 56/16), којом се подстиче изградња високо ефикасних постројења за комбиновану производњу топлоте и електричне енергије.</w:t>
      </w:r>
    </w:p>
    <w:p>
      <w:pPr>
        <w:spacing w:after="150"/>
        <w:ind w:left="0"/>
        <w:jc w:val="left"/>
      </w:pPr>
      <w:r>
        <w:rPr>
          <w:rFonts w:ascii="Verdana"/>
          <w:b w:val="false"/>
          <w:i w:val="false"/>
          <w:color w:val="000000"/>
          <w:sz w:val="22"/>
        </w:rPr>
        <w:t>На основу Закона о ефикасном коришћењу енергије, донета је Уредба о минималним захтевима енергетске ефикасности које морају да испуњавају нова и ревитализована постројења („Службени гласник РС”, број 112/17) и Правилник о садржини елаборатa о енергетској ефикасности постројења за производњу електричне енергије, постројења за комбиновану производњу електричне и топлотне енергије, система за пренос и дистрибуцију електричне енергије, постројења за производњу и дистрибуцију топлотне енергије („Службени гласник РС”, број 30/18). Поменути акти прописују минималне захтеве енергетске ефикасности за нова и реконструисана постројења за производњу електричне и топлотне енергије, као и постројења за комбиновану производњу топлотне и електричне енергије, односно система за пренос електричне енергије и система за дистрибуцију електричне и топлотне енергије, као и садржину елабората којим се доказује испуњеност прописаних минималних захтева енергетске ефикасности у циљу добијања енергетске/грађевинске дозволе за нова и реконструисана постројења.</w:t>
      </w:r>
    </w:p>
    <w:p>
      <w:pPr>
        <w:spacing w:after="120"/>
        <w:ind w:left="0"/>
        <w:jc w:val="center"/>
      </w:pPr>
      <w:r>
        <w:rPr>
          <w:rFonts w:ascii="Verdana"/>
          <w:b w:val="false"/>
          <w:i/>
          <w:color w:val="000000"/>
          <w:sz w:val="22"/>
        </w:rPr>
        <w:t>3.3.7. Очекиване мере и уштеде у Сектору индустрије</w:t>
      </w:r>
    </w:p>
    <w:p>
      <w:pPr>
        <w:spacing w:after="150"/>
        <w:ind w:left="0"/>
        <w:jc w:val="left"/>
      </w:pPr>
      <w:r>
        <w:rPr>
          <w:rFonts w:ascii="Verdana"/>
          <w:b w:val="false"/>
          <w:i w:val="false"/>
          <w:color w:val="000000"/>
          <w:sz w:val="22"/>
        </w:rPr>
        <w:t>Мере које ће се спроводити у индустрији у наредном трогодишњем периоду су мере које су већ препознате у 3. АПЕЕ и дате су у Табели 15.</w:t>
      </w:r>
    </w:p>
    <w:p>
      <w:pPr>
        <w:spacing w:after="150"/>
        <w:ind w:left="0"/>
        <w:jc w:val="left"/>
      </w:pPr>
      <w:r>
        <w:rPr>
          <w:rFonts w:ascii="Verdana"/>
          <w:b w:val="false"/>
          <w:i w:val="false"/>
          <w:color w:val="000000"/>
          <w:sz w:val="22"/>
        </w:rPr>
        <w:t>Табела 15. Преглед мера у Сектору индустрије са статусом имплементације и очекиваном уштедом у периоду 2019–2021.</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08"/>
        <w:gridCol w:w="5697"/>
        <w:gridCol w:w="2523"/>
        <w:gridCol w:w="5472"/>
      </w:tblGrid>
      <w:tr>
        <w:trPr>
          <w:trHeight w:val="45" w:hRule="atLeast"/>
        </w:trPr>
        <w:tc>
          <w:tcPr>
            <w:tcW w:w="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5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25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Статус имплементације</w:t>
            </w:r>
          </w:p>
        </w:tc>
        <w:tc>
          <w:tcPr>
            <w:tcW w:w="54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w:t>
            </w:r>
          </w:p>
        </w:tc>
      </w:tr>
      <w:tr>
        <w:trPr>
          <w:trHeight w:val="45" w:hRule="atLeast"/>
        </w:trPr>
        <w:tc>
          <w:tcPr>
            <w:tcW w:w="708" w:type="dxa"/>
            <w:tcBorders>
              <w:top w:val="single" w:color="000000" w:sz="8"/>
              <w:left w:val="single" w:color="000000" w:sz="8"/>
              <w:bottom w:val="single" w:color="000000" w:sz="8"/>
              <w:right w:val="single" w:color="000000" w:sz="8"/>
            </w:tcBorders>
            <w:vAlign w:val="center"/>
          </w:tcPr>
          <w:p/>
        </w:tc>
        <w:tc>
          <w:tcPr>
            <w:tcW w:w="5697" w:type="dxa"/>
            <w:tcBorders>
              <w:top w:val="single" w:color="000000" w:sz="8"/>
              <w:left w:val="single" w:color="000000" w:sz="8"/>
              <w:bottom w:val="single" w:color="000000" w:sz="8"/>
              <w:right w:val="single" w:color="000000" w:sz="8"/>
            </w:tcBorders>
            <w:vAlign w:val="center"/>
          </w:tcPr>
          <w:p/>
        </w:tc>
        <w:tc>
          <w:tcPr>
            <w:tcW w:w="2523" w:type="dxa"/>
            <w:tcBorders>
              <w:top w:val="single" w:color="000000" w:sz="8"/>
              <w:left w:val="single" w:color="000000" w:sz="8"/>
              <w:bottom w:val="single" w:color="000000" w:sz="8"/>
              <w:right w:val="single" w:color="000000" w:sz="8"/>
            </w:tcBorders>
            <w:vAlign w:val="center"/>
          </w:tcPr>
          <w:p/>
        </w:tc>
        <w:tc>
          <w:tcPr>
            <w:tcW w:w="54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r>
      <w:tr>
        <w:trPr>
          <w:trHeight w:val="45" w:hRule="atLeast"/>
        </w:trPr>
        <w:tc>
          <w:tcPr>
            <w:tcW w:w="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И1</w:t>
            </w:r>
          </w:p>
        </w:tc>
        <w:tc>
          <w:tcPr>
            <w:tcW w:w="5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енергетског менаџмента у великим индустријским потрошачима</w:t>
            </w:r>
          </w:p>
        </w:tc>
        <w:tc>
          <w:tcPr>
            <w:tcW w:w="25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54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0,0546</w:t>
            </w:r>
          </w:p>
        </w:tc>
      </w:tr>
      <w:tr>
        <w:trPr>
          <w:trHeight w:val="45" w:hRule="atLeast"/>
        </w:trPr>
        <w:tc>
          <w:tcPr>
            <w:tcW w:w="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И2</w:t>
            </w:r>
          </w:p>
        </w:tc>
        <w:tc>
          <w:tcPr>
            <w:tcW w:w="5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Програм побољшања енергетске ефикасности у индустрији</w:t>
            </w:r>
          </w:p>
        </w:tc>
        <w:tc>
          <w:tcPr>
            <w:tcW w:w="25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54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0,0089</w:t>
            </w:r>
          </w:p>
        </w:tc>
      </w:tr>
      <w:tr>
        <w:trPr>
          <w:trHeight w:val="45" w:hRule="atLeast"/>
        </w:trPr>
        <w:tc>
          <w:tcPr>
            <w:tcW w:w="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И3</w:t>
            </w:r>
          </w:p>
        </w:tc>
        <w:tc>
          <w:tcPr>
            <w:tcW w:w="5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Подстицајне тарифе за високо ефикасне </w:t>
            </w:r>
            <w:r>
              <w:rPr>
                <w:rFonts w:ascii="Verdana"/>
                <w:b w:val="false"/>
                <w:i/>
                <w:color w:val="000000"/>
                <w:sz w:val="22"/>
              </w:rPr>
              <w:t>CHP</w:t>
            </w:r>
            <w:r>
              <w:rPr>
                <w:rFonts w:ascii="Verdana"/>
                <w:b w:val="false"/>
                <w:i w:val="false"/>
                <w:color w:val="000000"/>
                <w:sz w:val="22"/>
              </w:rPr>
              <w:t xml:space="preserve"> у индустрији</w:t>
            </w:r>
          </w:p>
        </w:tc>
        <w:tc>
          <w:tcPr>
            <w:tcW w:w="25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54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И4</w:t>
            </w:r>
          </w:p>
        </w:tc>
        <w:tc>
          <w:tcPr>
            <w:tcW w:w="5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Минимални захтеви енергетске ефикасности за нова и реновирана постројења за производњу електричне и топлотне енергије, или системе за комбиновану производњу електричне и топлотне енергије</w:t>
            </w:r>
          </w:p>
        </w:tc>
        <w:tc>
          <w:tcPr>
            <w:tcW w:w="25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54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Индустрија сумарно</w:t>
            </w:r>
          </w:p>
        </w:tc>
        <w:tc>
          <w:tcPr>
            <w:tcW w:w="2523" w:type="dxa"/>
            <w:tcBorders>
              <w:top w:val="single" w:color="000000" w:sz="8"/>
              <w:left w:val="single" w:color="000000" w:sz="8"/>
              <w:bottom w:val="single" w:color="000000" w:sz="8"/>
              <w:right w:val="single" w:color="000000" w:sz="8"/>
            </w:tcBorders>
            <w:vAlign w:val="center"/>
          </w:tcPr>
          <w:p/>
        </w:tc>
        <w:tc>
          <w:tcPr>
            <w:tcW w:w="54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0,0635</w:t>
            </w:r>
          </w:p>
        </w:tc>
      </w:tr>
    </w:tbl>
    <w:p>
      <w:pPr>
        <w:spacing w:after="150"/>
        <w:ind w:left="0"/>
        <w:jc w:val="left"/>
      </w:pPr>
      <w:r>
        <w:rPr>
          <w:rFonts w:ascii="Verdana"/>
          <w:b w:val="false"/>
          <w:i w:val="false"/>
          <w:color w:val="000000"/>
          <w:sz w:val="22"/>
        </w:rPr>
        <w:t>Уштеде по мери И1 проистичу из примене Закона о ЕКЕ, а процењене су на основу досадашње имплементације.</w:t>
      </w:r>
    </w:p>
    <w:p>
      <w:pPr>
        <w:spacing w:after="150"/>
        <w:ind w:left="0"/>
        <w:jc w:val="left"/>
      </w:pPr>
      <w:r>
        <w:rPr>
          <w:rFonts w:ascii="Verdana"/>
          <w:b w:val="false"/>
          <w:i w:val="false"/>
          <w:color w:val="000000"/>
          <w:sz w:val="22"/>
        </w:rPr>
        <w:t>За меру И2 узето је у обзир да су пријављене уштеде у последњем трогодишњем периоду мање у односу на период пре 2015. години, па су предвиђене на нивоу вредности пријављених за период 2016–2019. година.</w:t>
      </w:r>
    </w:p>
    <w:p>
      <w:pPr>
        <w:spacing w:after="150"/>
        <w:ind w:left="0"/>
        <w:jc w:val="left"/>
      </w:pPr>
      <w:r>
        <w:rPr>
          <w:rFonts w:ascii="Verdana"/>
          <w:b w:val="false"/>
          <w:i w:val="false"/>
          <w:color w:val="000000"/>
          <w:sz w:val="22"/>
        </w:rPr>
        <w:t>Мера И3 је била прописана Законом којим се уређује енергетика и односи се на подстицајне мере за високо ефикасна постројења за комбиновану производњу топлотне и електричне енергије на природни гас капацитета до 10 MW. Критеријум за ова постројења је да имају годишњи степен корисности 75% и више. Кроз измене Закона о енергетици и нови закон којим ће бити уређена енергетска ефикасности ове одредбе биће ревидиране у складу са ЕУ регулативом и ограничењима која се намећу по основу прописа у вези државне помоћи.</w:t>
      </w:r>
    </w:p>
    <w:p>
      <w:pPr>
        <w:spacing w:after="150"/>
        <w:ind w:left="0"/>
        <w:jc w:val="left"/>
      </w:pPr>
      <w:r>
        <w:rPr>
          <w:rFonts w:ascii="Verdana"/>
          <w:b w:val="false"/>
          <w:i w:val="false"/>
          <w:color w:val="000000"/>
          <w:sz w:val="22"/>
        </w:rPr>
        <w:t>И4 мера се описује у поглављу 3.4.1.</w:t>
      </w:r>
    </w:p>
    <w:p>
      <w:pPr>
        <w:spacing w:after="150"/>
        <w:ind w:left="0"/>
        <w:jc w:val="left"/>
      </w:pPr>
      <w:r>
        <w:rPr>
          <w:rFonts w:ascii="Verdana"/>
          <w:b w:val="false"/>
          <w:i w:val="false"/>
          <w:color w:val="000000"/>
          <w:sz w:val="22"/>
        </w:rPr>
        <w:t>У Прилогу 4 излистани су детаљније појединачни описи свих мера.</w:t>
      </w:r>
    </w:p>
    <w:p>
      <w:pPr>
        <w:spacing w:after="120"/>
        <w:ind w:left="0"/>
        <w:jc w:val="center"/>
      </w:pPr>
      <w:r>
        <w:rPr>
          <w:rFonts w:ascii="Verdana"/>
          <w:b w:val="false"/>
          <w:i/>
          <w:color w:val="000000"/>
          <w:sz w:val="22"/>
        </w:rPr>
        <w:t>3.3.8. Финансирање мера ЕЕ у Индустрији</w:t>
      </w:r>
    </w:p>
    <w:p>
      <w:pPr>
        <w:spacing w:after="150"/>
        <w:ind w:left="0"/>
        <w:jc w:val="left"/>
      </w:pPr>
      <w:r>
        <w:rPr>
          <w:rFonts w:ascii="Verdana"/>
          <w:b w:val="false"/>
          <w:i w:val="false"/>
          <w:color w:val="000000"/>
          <w:sz w:val="22"/>
        </w:rPr>
        <w:t>Међународне финансијске институције путем директног финансирања или преко комерцијалних банака пласирају средства приватним предузећима која су заинтересована да инвестирају у модерне технологије које смањују потрошњу енергије или емисију CO</w:t>
      </w:r>
      <w:r>
        <w:rPr>
          <w:rFonts w:ascii="Verdana"/>
          <w:b w:val="false"/>
          <w:i w:val="false"/>
          <w:color w:val="000000"/>
          <w:sz w:val="22"/>
          <w:vertAlign w:val="subscript"/>
        </w:rPr>
        <w:t>2</w:t>
      </w:r>
      <w:r>
        <w:rPr>
          <w:rFonts w:ascii="Verdana"/>
          <w:b w:val="false"/>
          <w:i w:val="false"/>
          <w:color w:val="000000"/>
          <w:sz w:val="22"/>
        </w:rPr>
        <w:t>, у санацију и оптимизацију зграда и самосталне пројекте обновљивих извора енергије. Ове инвестиције имају за резултат смањење трошкова и постизање боље конкурентности, замену старе опреме и модернизацију производње, повећање обима производње, побољшање стандарда квалитета и извозног тржишта. Мера финансијске подршке индустријском сектору је у оквиру Сектора индустрије препозната као И2, а истовремено спада у алтернативне мере по члану 7. ЕЕД.</w:t>
      </w:r>
    </w:p>
    <w:p>
      <w:pPr>
        <w:spacing w:after="150"/>
        <w:ind w:left="0"/>
        <w:jc w:val="left"/>
      </w:pPr>
      <w:r>
        <w:rPr>
          <w:rFonts w:ascii="Verdana"/>
          <w:b w:val="false"/>
          <w:i w:val="false"/>
          <w:color w:val="000000"/>
          <w:sz w:val="22"/>
        </w:rPr>
        <w:t>Од међународних финансијских институција и фондова издвајамо:</w:t>
      </w:r>
    </w:p>
    <w:p>
      <w:pPr>
        <w:spacing w:after="150"/>
        <w:ind w:left="0"/>
        <w:jc w:val="left"/>
      </w:pPr>
      <w:r>
        <w:rPr>
          <w:rFonts w:ascii="Verdana"/>
          <w:b w:val="false"/>
          <w:i w:val="false"/>
          <w:color w:val="000000"/>
          <w:sz w:val="22"/>
        </w:rPr>
        <w:t>– WeBSEFF – Кредитна линија за одрживу енергију за Западни Балкан је кредитна линија у оквиру које Европска банка за обнову и развој (EBRD) обезбеђује средства партнерским банкама, а које та средства даље позајмљују предузећима и локалним самоуправама који желе да инвестирају у енергетску ефикасност и мање пројекте обновљивих извора енергије. WeBSEFF је део EBRD-јеве SEFF породице (Кредитна линија за одрживу енергију).</w:t>
      </w:r>
    </w:p>
    <w:p>
      <w:pPr>
        <w:spacing w:after="150"/>
        <w:ind w:left="0"/>
        <w:jc w:val="left"/>
      </w:pPr>
      <w:r>
        <w:rPr>
          <w:rFonts w:ascii="Verdana"/>
          <w:b w:val="false"/>
          <w:i w:val="false"/>
          <w:color w:val="000000"/>
          <w:sz w:val="22"/>
        </w:rPr>
        <w:t>– GGF (Green for Growth Fund – Фонд „Зелени за раст”): Фонд инвестира у енергетску ефикасност, обновљиву енергију и техничку помоћ. Фонд је заснован на моделу партнерства између јавног и приватног сектора. Инвеститори су Европска комисија, Немачко федерално министарство за економски развој, заједно са Европском инвестиционом банком, KfW, Европском банком за реконструкцију и развој и Међународном финансијском корпорацијом.</w:t>
      </w:r>
    </w:p>
    <w:p>
      <w:pPr>
        <w:spacing w:after="150"/>
        <w:ind w:left="0"/>
        <w:jc w:val="left"/>
      </w:pPr>
      <w:r>
        <w:rPr>
          <w:rFonts w:ascii="Verdana"/>
          <w:b w:val="false"/>
          <w:i w:val="false"/>
          <w:color w:val="000000"/>
          <w:sz w:val="22"/>
        </w:rPr>
        <w:t>– KfW је у Немачкој водећа финансијска институција за домаћу привреду, као и за државе у развоју и транзицији. Савезна Република Немачка има 80% удела у оснивачком капиталу, док немачке покрајине имају удео од 20%. Са билансом од око 500 милијарди евра Немачка развојна банка КfW се убраја у највеће банке у Немачкој. Од 2001. године групацији KfW припада и Немачка организација за улагање и развој (DEG) са седиштем у Келну. DEG улаже у приватна предузећа која су профитабилна и еколошки и друштвено одржива, како би на тај начин подржала приватни сектор у државама у развоју и транзицији.</w:t>
      </w:r>
    </w:p>
    <w:p>
      <w:pPr>
        <w:spacing w:after="120"/>
        <w:ind w:left="0"/>
        <w:jc w:val="center"/>
      </w:pPr>
      <w:r>
        <w:rPr>
          <w:rFonts w:ascii="Verdana"/>
          <w:b/>
          <w:i w:val="false"/>
          <w:color w:val="000000"/>
          <w:sz w:val="22"/>
        </w:rPr>
        <w:t>3.4. Мере енергетске ефикасности у Саобраћају</w:t>
      </w:r>
    </w:p>
    <w:p>
      <w:pPr>
        <w:spacing w:after="120"/>
        <w:ind w:left="0"/>
        <w:jc w:val="center"/>
      </w:pPr>
      <w:r>
        <w:rPr>
          <w:rFonts w:ascii="Verdana"/>
          <w:b w:val="false"/>
          <w:i/>
          <w:color w:val="000000"/>
          <w:sz w:val="22"/>
        </w:rPr>
        <w:t>3.4.1. Главне мере политике које се односе на Саобраћај</w:t>
      </w:r>
    </w:p>
    <w:p>
      <w:pPr>
        <w:spacing w:after="150"/>
        <w:ind w:left="0"/>
        <w:jc w:val="left"/>
      </w:pPr>
      <w:r>
        <w:rPr>
          <w:rFonts w:ascii="Verdana"/>
          <w:b w:val="false"/>
          <w:i w:val="false"/>
          <w:color w:val="000000"/>
          <w:sz w:val="22"/>
        </w:rPr>
        <w:t>Мере овде наведене односе се пре свега на повећање енергетске ефикасности друмског и градског саобраћаја у Републици Србије. Стратешки документи који се баве унапређењем енергетске ефикасности у саобраћају и утицајем на животну средину могу бити међународног карактера, републичког и на нивоу ЈЛС.</w:t>
      </w:r>
    </w:p>
    <w:p>
      <w:pPr>
        <w:spacing w:after="150"/>
        <w:ind w:left="0"/>
        <w:jc w:val="left"/>
      </w:pPr>
      <w:r>
        <w:rPr>
          <w:rFonts w:ascii="Verdana"/>
          <w:b w:val="false"/>
          <w:i w:val="false"/>
          <w:color w:val="000000"/>
          <w:sz w:val="22"/>
        </w:rPr>
        <w:t>Акциони план за спровођење Стратегије безбедности саобраћаја на путевима Републике Србије за период од 2015. до 2020. године („Службени гласник РС”, број 1/17), у оквиру стуба 3 – Безбеднија возила, циља 3 – технолошког унапређења возила и стимулисања коришћења еколошких горива и еколошких возила, за период од 2018. до 2020. године предвиђа следеће активности:</w:t>
      </w:r>
    </w:p>
    <w:p>
      <w:pPr>
        <w:spacing w:after="150"/>
        <w:ind w:left="0"/>
        <w:jc w:val="left"/>
      </w:pPr>
      <w:r>
        <w:rPr>
          <w:rFonts w:ascii="Verdana"/>
          <w:b w:val="false"/>
          <w:i w:val="false"/>
          <w:color w:val="000000"/>
          <w:sz w:val="22"/>
        </w:rPr>
        <w:t>а) дефинисање прописа за нова и половна возила у складу са стандардима УН/EУ из области заштите животне средине,</w:t>
      </w:r>
    </w:p>
    <w:p>
      <w:pPr>
        <w:spacing w:after="150"/>
        <w:ind w:left="0"/>
        <w:jc w:val="left"/>
      </w:pPr>
      <w:r>
        <w:rPr>
          <w:rFonts w:ascii="Verdana"/>
          <w:b w:val="false"/>
          <w:i w:val="false"/>
          <w:color w:val="000000"/>
          <w:sz w:val="22"/>
        </w:rPr>
        <w:t>б) стимулисање коришћења еколошких горива и еколошких возила и мониторинг емисије CO</w:t>
      </w:r>
      <w:r>
        <w:rPr>
          <w:rFonts w:ascii="Verdana"/>
          <w:b w:val="false"/>
          <w:i w:val="false"/>
          <w:color w:val="000000"/>
          <w:sz w:val="22"/>
          <w:vertAlign w:val="subscript"/>
        </w:rPr>
        <w:t>2</w:t>
      </w:r>
      <w:r>
        <w:rPr>
          <w:rFonts w:ascii="Verdana"/>
          <w:b w:val="false"/>
          <w:i w:val="false"/>
          <w:color w:val="000000"/>
          <w:sz w:val="22"/>
        </w:rPr>
        <w:t>,</w:t>
      </w:r>
    </w:p>
    <w:p>
      <w:pPr>
        <w:spacing w:after="150"/>
        <w:ind w:left="0"/>
        <w:jc w:val="left"/>
      </w:pPr>
      <w:r>
        <w:rPr>
          <w:rFonts w:ascii="Verdana"/>
          <w:b w:val="false"/>
          <w:i w:val="false"/>
          <w:color w:val="000000"/>
          <w:sz w:val="22"/>
        </w:rPr>
        <w:t>в) шира имплементација возила на еколошка горива (погоне), ОИЕ и флексибилна возила (у погледу смеше горива),</w:t>
      </w:r>
    </w:p>
    <w:p>
      <w:pPr>
        <w:spacing w:after="150"/>
        <w:ind w:left="0"/>
        <w:jc w:val="left"/>
      </w:pPr>
      <w:r>
        <w:rPr>
          <w:rFonts w:ascii="Verdana"/>
          <w:b w:val="false"/>
          <w:i w:val="false"/>
          <w:color w:val="000000"/>
          <w:sz w:val="22"/>
        </w:rPr>
        <w:t>г) примена UNECE правилника, праћење возила у саобраћају која испуњавају захтеване критеријуме и</w:t>
      </w:r>
    </w:p>
    <w:p>
      <w:pPr>
        <w:spacing w:after="150"/>
        <w:ind w:left="0"/>
        <w:jc w:val="left"/>
      </w:pPr>
      <w:r>
        <w:rPr>
          <w:rFonts w:ascii="Verdana"/>
          <w:b w:val="false"/>
          <w:i w:val="false"/>
          <w:color w:val="000000"/>
          <w:sz w:val="22"/>
        </w:rPr>
        <w:t>д) увођење царинских/пореских олакшица за возила на алтернативне погоне.</w:t>
      </w:r>
    </w:p>
    <w:p>
      <w:pPr>
        <w:spacing w:after="150"/>
        <w:ind w:left="0"/>
        <w:jc w:val="left"/>
      </w:pPr>
      <w:r>
        <w:rPr>
          <w:rFonts w:ascii="Verdana"/>
          <w:b w:val="false"/>
          <w:i w:val="false"/>
          <w:color w:val="000000"/>
          <w:sz w:val="22"/>
        </w:rPr>
        <w:t>Прва од ових активности треба да унапреди прописе који се тичу увоза половних и нових возила на тржиште Републике Србије. Што се тиче увоза половних возила, у последњих пет година уочен је тренд раста увоза из Европске уније коришћених моторних возила стандарда емисије најмање EURO 3, у складу са Уредбом о увозу моторних возила („Службени гласник РС”, бр. 23/10 и 5/18). С обзиром да је обавезна примена EURO 3 стандарда почела од 2001. и трајала до 2006. године, у ЕУ старост потенцијално најстаријих возила чији је увоз дозвољен данас износи 18 година, тако да се од мере Т6 која је пратила уштеде у претходном периоду одустаје док се не уведе нови минимални стандард бољи од ЕУРО 3.</w:t>
      </w:r>
    </w:p>
    <w:p>
      <w:pPr>
        <w:spacing w:after="150"/>
        <w:ind w:left="0"/>
        <w:jc w:val="left"/>
      </w:pPr>
      <w:r>
        <w:rPr>
          <w:rFonts w:ascii="Verdana"/>
          <w:b w:val="false"/>
          <w:i w:val="false"/>
          <w:color w:val="000000"/>
          <w:sz w:val="22"/>
        </w:rPr>
        <w:t>Активност дата под тачком д) описана је у поглављу 3.5.3.</w:t>
      </w:r>
    </w:p>
    <w:p>
      <w:pPr>
        <w:spacing w:after="150"/>
        <w:ind w:left="0"/>
        <w:jc w:val="left"/>
      </w:pPr>
      <w:r>
        <w:rPr>
          <w:rFonts w:ascii="Verdana"/>
          <w:b w:val="false"/>
          <w:i w:val="false"/>
          <w:color w:val="000000"/>
          <w:sz w:val="22"/>
        </w:rPr>
        <w:t>Што се тиче међународних захтева који регулишу сектор транспорта, приступ тржишту транспорта робе Европске уније остварује се добијањем билатералних или мултилатералних дозвола (CEMT), које се расподељују на бази квалитета возног парка, односно за неке државе ЕУ условљен је поседовањем одређеног процента возила која испуњавају најстроже прописе о стандарду емисије штетних гасова и безбедности возила.</w:t>
      </w:r>
    </w:p>
    <w:p>
      <w:pPr>
        <w:spacing w:after="150"/>
        <w:ind w:left="0"/>
        <w:jc w:val="left"/>
      </w:pPr>
      <w:r>
        <w:rPr>
          <w:rFonts w:ascii="Verdana"/>
          <w:b w:val="false"/>
          <w:i w:val="false"/>
          <w:color w:val="000000"/>
          <w:sz w:val="22"/>
        </w:rPr>
        <w:t xml:space="preserve">ЈЛС такође учествују у планирању стратешких докумената који регулишу област саобраћаја. Град Београд треба да добије свој први план одрживе урбане мобилности – стратешки документ који на иновативан начин планира градски транспортни и урбани систем, а који на одржив начин задовољава пре свега потребе његових становника. У погледу популаризације бицикала, усвојена је и Одлука о постављању станица за изнајмљивање бицикала на територији града Београда на седници Скупштине града Београда 28. априла 2016. године и објављена у „Службеном листу града Београда”, број 37/16. Овом одлуком су прописани услови и начин постављања и коришћења станица за изнајмљивање јавних бицикала, а током 2017. године окончано је подношење пријава на јавни конкурс за постављање станица за изнајмљивање око 750 јавних бицикала на 150 станица. Током 2017. године у граду Београду је реализован: „Пројекат смањења издувне емисије возила јавног превоза на територији Београда увођењем система ECO-DRIVING”. Tренутно се реализује истраживање утицаја стила вожње на енергетску ефикасност код аутобуса на електрични погон. Приватни превозник у јавном градском, приградском и међумесном превозу путника „Arriva” је уградио у сваки аутобус уређаје за активну помоћ и оцењивање возача у погледу његове енергетске ефикасности и на томе заснива систем награђивања возача. Текући проблем у јавном превозу путника представља значајан недостатак професионалних возача и њихова флуктуација, па се превозници ретко опредељују за улагање у њихову обуку и у њихово доследно санкционисање у случају енергетски неефикасне вожње. У јуну 2019. године покренута је израда студије под називом „Управљање саобраћајем у Београду кроз модел тарифирања приступа централној зони”, која је требало да представља предуслов за увођење система контроле приступа, односно смањење улазака у центар, односно у критичне зоне града индивидуалним путничким возилима и за увођење тзв. наплате за саобраћајна загушења (енгл. </w:t>
      </w:r>
      <w:r>
        <w:rPr>
          <w:rFonts w:ascii="Verdana"/>
          <w:b w:val="false"/>
          <w:i/>
          <w:color w:val="000000"/>
          <w:sz w:val="22"/>
        </w:rPr>
        <w:t>Congestion charging</w:t>
      </w:r>
      <w:r>
        <w:rPr>
          <w:rFonts w:ascii="Verdana"/>
          <w:b w:val="false"/>
          <w:i w:val="false"/>
          <w:color w:val="000000"/>
          <w:sz w:val="22"/>
        </w:rPr>
        <w:t>) коју познају многе светске метрополе.</w:t>
      </w:r>
    </w:p>
    <w:p>
      <w:pPr>
        <w:spacing w:after="120"/>
        <w:ind w:left="0"/>
        <w:jc w:val="center"/>
      </w:pPr>
      <w:r>
        <w:rPr>
          <w:rFonts w:ascii="Verdana"/>
          <w:b w:val="false"/>
          <w:i/>
          <w:color w:val="000000"/>
          <w:sz w:val="22"/>
        </w:rPr>
        <w:t>3.4.2. Очекиване мере и уштеде у Сектору саобраћаја</w:t>
      </w:r>
    </w:p>
    <w:p>
      <w:pPr>
        <w:spacing w:after="150"/>
        <w:ind w:left="0"/>
        <w:jc w:val="left"/>
      </w:pPr>
      <w:r>
        <w:rPr>
          <w:rFonts w:ascii="Verdana"/>
          <w:b w:val="false"/>
          <w:i w:val="false"/>
          <w:color w:val="000000"/>
          <w:sz w:val="22"/>
        </w:rPr>
        <w:t>У табели 16. дате су мере преузете из 3. АПЕЕ које се могу релативно лако пратити, које нису застареле и остају легитимне до 2021. године за израчунавање уштеда примарне енергије. Бољи резултати уштеда очекују се од тренутка када буде донета нова Уредба о увозу моторних возила са нормом строжом од за сада постављене EURO 3 норме, што се очекује почетком 2021. године.</w:t>
      </w:r>
    </w:p>
    <w:p>
      <w:pPr>
        <w:spacing w:after="150"/>
        <w:ind w:left="0"/>
        <w:jc w:val="left"/>
      </w:pPr>
      <w:r>
        <w:rPr>
          <w:rFonts w:ascii="Verdana"/>
          <w:b w:val="false"/>
          <w:i w:val="false"/>
          <w:color w:val="000000"/>
          <w:sz w:val="22"/>
        </w:rPr>
        <w:t>У Прилогу 4 излистани су детаљније појединачни описи свих мера.</w:t>
      </w:r>
    </w:p>
    <w:p>
      <w:pPr>
        <w:spacing w:after="150"/>
        <w:ind w:left="0"/>
        <w:jc w:val="left"/>
      </w:pPr>
      <w:r>
        <w:rPr>
          <w:rFonts w:ascii="Verdana"/>
          <w:b w:val="false"/>
          <w:i w:val="false"/>
          <w:color w:val="000000"/>
          <w:sz w:val="22"/>
        </w:rPr>
        <w:t>Табела 16. Преглед мера у Сектору саобраћаја са статусом имплементације и очекиваном уштедом у периоду 2019–2021.</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883"/>
        <w:gridCol w:w="6404"/>
        <w:gridCol w:w="2952"/>
        <w:gridCol w:w="4161"/>
      </w:tblGrid>
      <w:tr>
        <w:trPr>
          <w:trHeight w:val="45" w:hRule="atLeast"/>
        </w:trPr>
        <w:tc>
          <w:tcPr>
            <w:tcW w:w="8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64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Статус имплементације</w:t>
            </w:r>
          </w:p>
        </w:tc>
        <w:tc>
          <w:tcPr>
            <w:tcW w:w="4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w:t>
            </w:r>
          </w:p>
        </w:tc>
      </w:tr>
      <w:tr>
        <w:trPr>
          <w:trHeight w:val="45" w:hRule="atLeast"/>
        </w:trPr>
        <w:tc>
          <w:tcPr>
            <w:tcW w:w="883" w:type="dxa"/>
            <w:tcBorders>
              <w:top w:val="single" w:color="000000" w:sz="8"/>
              <w:left w:val="single" w:color="000000" w:sz="8"/>
              <w:bottom w:val="single" w:color="000000" w:sz="8"/>
              <w:right w:val="single" w:color="000000" w:sz="8"/>
            </w:tcBorders>
            <w:vAlign w:val="center"/>
          </w:tcPr>
          <w:p/>
        </w:tc>
        <w:tc>
          <w:tcPr>
            <w:tcW w:w="6404" w:type="dxa"/>
            <w:tcBorders>
              <w:top w:val="single" w:color="000000" w:sz="8"/>
              <w:left w:val="single" w:color="000000" w:sz="8"/>
              <w:bottom w:val="single" w:color="000000" w:sz="8"/>
              <w:right w:val="single" w:color="000000" w:sz="8"/>
            </w:tcBorders>
            <w:vAlign w:val="center"/>
          </w:tcPr>
          <w:p/>
        </w:tc>
        <w:tc>
          <w:tcPr>
            <w:tcW w:w="2952" w:type="dxa"/>
            <w:tcBorders>
              <w:top w:val="single" w:color="000000" w:sz="8"/>
              <w:left w:val="single" w:color="000000" w:sz="8"/>
              <w:bottom w:val="single" w:color="000000" w:sz="8"/>
              <w:right w:val="single" w:color="000000" w:sz="8"/>
            </w:tcBorders>
            <w:vAlign w:val="center"/>
          </w:tcPr>
          <w:p/>
        </w:tc>
        <w:tc>
          <w:tcPr>
            <w:tcW w:w="4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r>
      <w:tr>
        <w:trPr>
          <w:trHeight w:val="45" w:hRule="atLeast"/>
        </w:trPr>
        <w:tc>
          <w:tcPr>
            <w:tcW w:w="8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w:t>
            </w:r>
          </w:p>
        </w:tc>
        <w:tc>
          <w:tcPr>
            <w:tcW w:w="64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Имплементација EC 443/2009 о смањењу емисије CO</w:t>
            </w:r>
            <w:r>
              <w:rPr>
                <w:rFonts w:ascii="Verdana"/>
                <w:b w:val="false"/>
                <w:i w:val="false"/>
                <w:color w:val="000000"/>
                <w:sz w:val="22"/>
                <w:vertAlign w:val="subscript"/>
              </w:rPr>
              <w:t>2</w:t>
            </w:r>
            <w:r>
              <w:rPr>
                <w:rFonts w:ascii="Verdana"/>
                <w:b w:val="false"/>
                <w:i w:val="false"/>
                <w:color w:val="000000"/>
                <w:sz w:val="22"/>
              </w:rPr>
              <w:t xml:space="preserve"> нових путничких возила</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4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0,011</w:t>
            </w:r>
          </w:p>
        </w:tc>
      </w:tr>
      <w:tr>
        <w:trPr>
          <w:trHeight w:val="45" w:hRule="atLeast"/>
        </w:trPr>
        <w:tc>
          <w:tcPr>
            <w:tcW w:w="8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Т2</w:t>
            </w:r>
          </w:p>
        </w:tc>
        <w:tc>
          <w:tcPr>
            <w:tcW w:w="64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Еко-вожња</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4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8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Т3</w:t>
            </w:r>
          </w:p>
        </w:tc>
        <w:tc>
          <w:tcPr>
            <w:tcW w:w="64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Управљање мобилношћу</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4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8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Т4</w:t>
            </w:r>
          </w:p>
        </w:tc>
        <w:tc>
          <w:tcPr>
            <w:tcW w:w="64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у систему јавног транспорта путника</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4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Процена укључена у оквиру Т1</w:t>
            </w:r>
          </w:p>
        </w:tc>
      </w:tr>
      <w:tr>
        <w:trPr>
          <w:trHeight w:val="45" w:hRule="atLeast"/>
        </w:trPr>
        <w:tc>
          <w:tcPr>
            <w:tcW w:w="8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Т5</w:t>
            </w:r>
          </w:p>
        </w:tc>
        <w:tc>
          <w:tcPr>
            <w:tcW w:w="64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у систему транспорта робе</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4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8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Т6</w:t>
            </w:r>
          </w:p>
        </w:tc>
        <w:tc>
          <w:tcPr>
            <w:tcW w:w="64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Регулисање EURO стандарда у погледу нивоа емисије за увезене путничке аутомобиле</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 мере се одустало. Поново ће бити успостављена након усвајања строжег ЕУРО стандарда за увезена возила</w:t>
            </w:r>
          </w:p>
        </w:tc>
        <w:tc>
          <w:tcPr>
            <w:tcW w:w="4161" w:type="dxa"/>
            <w:tcBorders>
              <w:top w:val="single" w:color="000000" w:sz="8"/>
              <w:left w:val="single" w:color="000000" w:sz="8"/>
              <w:bottom w:val="single" w:color="000000" w:sz="8"/>
              <w:right w:val="single" w:color="000000" w:sz="8"/>
            </w:tcBorders>
            <w:vAlign w:val="center"/>
          </w:tcPr>
          <w:p/>
        </w:tc>
      </w:tr>
      <w:tr>
        <w:trPr>
          <w:trHeight w:val="45" w:hRule="atLeast"/>
        </w:trPr>
        <w:tc>
          <w:tcPr>
            <w:tcW w:w="8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Т7</w:t>
            </w:r>
          </w:p>
        </w:tc>
        <w:tc>
          <w:tcPr>
            <w:tcW w:w="64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Ефикасне гуме (пнеуматици) за друмска возила</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4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8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Т8</w:t>
            </w:r>
          </w:p>
        </w:tc>
        <w:tc>
          <w:tcPr>
            <w:tcW w:w="64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Побољшање квалитета редовних (годишњих) техничких прегледа возила</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4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8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Т9</w:t>
            </w:r>
          </w:p>
        </w:tc>
        <w:tc>
          <w:tcPr>
            <w:tcW w:w="64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Модернизација возног парка у циљу испуњења техничких услова за обављање домаћег и међународног транспорта</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4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0,0342</w:t>
            </w:r>
          </w:p>
        </w:tc>
      </w:tr>
      <w:tr>
        <w:trPr>
          <w:trHeight w:val="45" w:hRule="atLeast"/>
        </w:trPr>
        <w:tc>
          <w:tcPr>
            <w:tcW w:w="8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Т10</w:t>
            </w:r>
          </w:p>
        </w:tc>
        <w:tc>
          <w:tcPr>
            <w:tcW w:w="64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Маркирање горива и мониторинг квалитета горива</w:t>
            </w:r>
          </w:p>
        </w:tc>
        <w:tc>
          <w:tcPr>
            <w:tcW w:w="2952" w:type="dxa"/>
            <w:tcBorders>
              <w:top w:val="single" w:color="000000" w:sz="8"/>
              <w:left w:val="single" w:color="000000" w:sz="8"/>
              <w:bottom w:val="single" w:color="000000" w:sz="8"/>
              <w:right w:val="single" w:color="000000" w:sz="8"/>
            </w:tcBorders>
            <w:vAlign w:val="center"/>
          </w:tcPr>
          <w:p/>
        </w:tc>
        <w:tc>
          <w:tcPr>
            <w:tcW w:w="4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8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Т11</w:t>
            </w:r>
          </w:p>
        </w:tc>
        <w:tc>
          <w:tcPr>
            <w:tcW w:w="64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Обавезна замена летњих гума (пнеуматика)</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4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883" w:type="dxa"/>
            <w:tcBorders>
              <w:top w:val="single" w:color="000000" w:sz="8"/>
              <w:left w:val="single" w:color="000000" w:sz="8"/>
              <w:bottom w:val="single" w:color="000000" w:sz="8"/>
              <w:right w:val="single" w:color="000000" w:sz="8"/>
            </w:tcBorders>
            <w:vAlign w:val="center"/>
          </w:tcPr>
          <w:p/>
        </w:tc>
        <w:tc>
          <w:tcPr>
            <w:tcW w:w="64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подстицајних механизама за замену постојећег возног парка</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није активна. Уколико буде нових подстицаја биће поново уведена.</w:t>
            </w:r>
          </w:p>
        </w:tc>
        <w:tc>
          <w:tcPr>
            <w:tcW w:w="4161" w:type="dxa"/>
            <w:tcBorders>
              <w:top w:val="single" w:color="000000" w:sz="8"/>
              <w:left w:val="single" w:color="000000" w:sz="8"/>
              <w:bottom w:val="single" w:color="000000" w:sz="8"/>
              <w:right w:val="single" w:color="000000" w:sz="8"/>
            </w:tcBorders>
            <w:vAlign w:val="center"/>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Саобраћај сумарно</w:t>
            </w:r>
          </w:p>
        </w:tc>
        <w:tc>
          <w:tcPr>
            <w:tcW w:w="2952" w:type="dxa"/>
            <w:tcBorders>
              <w:top w:val="single" w:color="000000" w:sz="8"/>
              <w:left w:val="single" w:color="000000" w:sz="8"/>
              <w:bottom w:val="single" w:color="000000" w:sz="8"/>
              <w:right w:val="single" w:color="000000" w:sz="8"/>
            </w:tcBorders>
            <w:vAlign w:val="center"/>
          </w:tcPr>
          <w:p/>
        </w:tc>
        <w:tc>
          <w:tcPr>
            <w:tcW w:w="4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0,0452</w:t>
            </w:r>
          </w:p>
        </w:tc>
      </w:tr>
    </w:tbl>
    <w:p>
      <w:pPr>
        <w:spacing w:after="120"/>
        <w:ind w:left="0"/>
        <w:jc w:val="center"/>
      </w:pPr>
      <w:r>
        <w:rPr>
          <w:rFonts w:ascii="Verdana"/>
          <w:b w:val="false"/>
          <w:i/>
          <w:color w:val="000000"/>
          <w:sz w:val="22"/>
        </w:rPr>
        <w:t>3.4.3. Финансирање мера ЕЕ у Сектору саобраћај</w:t>
      </w:r>
    </w:p>
    <w:p>
      <w:pPr>
        <w:spacing w:after="150"/>
        <w:ind w:left="0"/>
        <w:jc w:val="left"/>
      </w:pPr>
      <w:r>
        <w:rPr>
          <w:rFonts w:ascii="Verdana"/>
          <w:b w:val="false"/>
          <w:i w:val="false"/>
          <w:color w:val="000000"/>
          <w:sz w:val="22"/>
        </w:rPr>
        <w:t>У Европској унији постоје три актуелна пакета афирмативних мера:</w:t>
      </w:r>
    </w:p>
    <w:p>
      <w:pPr>
        <w:spacing w:after="150"/>
        <w:ind w:left="0"/>
        <w:jc w:val="left"/>
      </w:pPr>
      <w:r>
        <w:rPr>
          <w:rFonts w:ascii="Verdana"/>
          <w:b w:val="false"/>
          <w:i w:val="false"/>
          <w:color w:val="000000"/>
          <w:sz w:val="22"/>
        </w:rPr>
        <w:t>– зелена (јавна) набавка и давање „личног” примера (добре праксе) кроз набавку енергетски ефикаснијих и еколошки повољнијих комуналних и службених возила органа локалне самоуправе и државних органа, јавних предузећа и државних институција;</w:t>
      </w:r>
    </w:p>
    <w:p>
      <w:pPr>
        <w:spacing w:after="150"/>
        <w:ind w:left="0"/>
        <w:jc w:val="left"/>
      </w:pPr>
      <w:r>
        <w:rPr>
          <w:rFonts w:ascii="Verdana"/>
          <w:b w:val="false"/>
          <w:i w:val="false"/>
          <w:color w:val="000000"/>
          <w:sz w:val="22"/>
        </w:rPr>
        <w:t>– субвенционисање и царинске/пореске олакшице приликом индивидуалне набавке енергетски ефикаснијих, еколошки повољнијих возила или возила са погоном на обновљиве изворе енергије (ОИЕ) и</w:t>
      </w:r>
    </w:p>
    <w:p>
      <w:pPr>
        <w:spacing w:after="150"/>
        <w:ind w:left="0"/>
        <w:jc w:val="left"/>
      </w:pPr>
      <w:r>
        <w:rPr>
          <w:rFonts w:ascii="Verdana"/>
          <w:b w:val="false"/>
          <w:i w:val="false"/>
          <w:color w:val="000000"/>
          <w:sz w:val="22"/>
        </w:rPr>
        <w:t>– посебне погодности или права приликом коришћења енергетски ефикаснијих, еколошки повољнијих возила или возила са погоном на ОИЕ (коришћење бесплатних или резервисаних паркинг места, бесплатно снабдевање погонском енергијом, право коришћења посебних резервисаних саобраћајних трака за јавни превоз, тзв. жутих трака и друго).</w:t>
      </w:r>
    </w:p>
    <w:p>
      <w:pPr>
        <w:spacing w:after="150"/>
        <w:ind w:left="0"/>
        <w:jc w:val="left"/>
      </w:pPr>
      <w:r>
        <w:rPr>
          <w:rFonts w:ascii="Verdana"/>
          <w:b w:val="false"/>
          <w:i w:val="false"/>
          <w:color w:val="000000"/>
          <w:sz w:val="22"/>
        </w:rPr>
        <w:t>Као илустрација првог пакета афирмативних мера, у марту 2014. године потписан је Споразум о донацији између Владе Републике Србије и Владе Јапана, на основу ког је реализована донација од 100 милиона јена за набавку 33 нова хибридна путничка аутомобила.</w:t>
      </w:r>
    </w:p>
    <w:p>
      <w:pPr>
        <w:spacing w:after="150"/>
        <w:ind w:left="0"/>
        <w:jc w:val="left"/>
      </w:pPr>
      <w:r>
        <w:rPr>
          <w:rFonts w:ascii="Verdana"/>
          <w:b w:val="false"/>
          <w:i w:val="false"/>
          <w:color w:val="000000"/>
          <w:sz w:val="22"/>
        </w:rPr>
        <w:t>У духу другог пакета афирмативних мера, власници моторних возила чији погон је искључиво електрични, односно чији је један од погона електрични (хибридна возила) не плаћају порез на употребу моторних возила према члану 5. тачка 6) Закона о порезима на употребу, држање и ношење добара („Службени гласник РС”, бр. 26/01, 80/02, 43/04, 31/09, 101/10, 24/11, 68/14 – др закон, 112/15 и 86/19).</w:t>
      </w:r>
    </w:p>
    <w:p>
      <w:pPr>
        <w:spacing w:after="150"/>
        <w:ind w:left="0"/>
        <w:jc w:val="left"/>
      </w:pPr>
      <w:r>
        <w:rPr>
          <w:rFonts w:ascii="Verdana"/>
          <w:b w:val="false"/>
          <w:i w:val="false"/>
          <w:color w:val="000000"/>
          <w:sz w:val="22"/>
        </w:rPr>
        <w:t>Трећи пакет афирмативних мера је покривен бесплатним станицама за снабдевање електричном енергијом. У Републици Србији тренутно постоји преко 30 јавних станица за пуњење. Све неопходне информације о локацијама, карактеристикама (врстама конектора, снази, броју места) и функционалности (исправности) пуњача могу да се пронађу на мапама пуњача или у сродним апликацијама за паметне мобилне телефоне.</w:t>
      </w:r>
    </w:p>
    <w:p>
      <w:pPr>
        <w:spacing w:after="120"/>
        <w:ind w:left="0"/>
        <w:jc w:val="center"/>
      </w:pPr>
      <w:r>
        <w:rPr>
          <w:rFonts w:ascii="Verdana"/>
          <w:b/>
          <w:i w:val="false"/>
          <w:color w:val="000000"/>
          <w:sz w:val="22"/>
        </w:rPr>
        <w:t>3.5. Промоција енергетске ефикасности при грејању и хлађењу (Члан 14. ЕЕД)</w:t>
      </w:r>
    </w:p>
    <w:p>
      <w:pPr>
        <w:spacing w:after="150"/>
        <w:ind w:left="0"/>
        <w:jc w:val="left"/>
      </w:pPr>
      <w:r>
        <w:rPr>
          <w:rFonts w:ascii="Verdana"/>
          <w:b w:val="false"/>
          <w:i w:val="false"/>
          <w:color w:val="000000"/>
          <w:sz w:val="22"/>
        </w:rPr>
        <w:t>Законом о енергетској ефикасности и рационалној употреби енергије уређују се финансијски и нефинансијски подстицаји за високоефикасну комбиновану производњу електричне и топлотне енергије: У финансијске подстицаје спадају: подстицаји кроз систем тржишних премија (за капацитете од 500 kW до 10 MW) које ће се стицати по основу аукција, подстицаји кроз систем фид-ин тарифа (за капацитете до 500 kW) и подстицаје које додељује Управа за финансирање и подстицање енергетске ефикасности (микрокогенерација, уколико нису остварени други подстицаји у складу са законом). Нефинансијски подстицаји обухватају: приоритетни приступ систему за високоефикасну когенерацију и поједине учеснике на тржишту енергије, услове за прикључење високоефикасне когенерације, гаранције порекла за високоефикасну когенерацију.</w:t>
      </w:r>
    </w:p>
    <w:p>
      <w:pPr>
        <w:spacing w:after="150"/>
        <w:ind w:left="0"/>
        <w:jc w:val="left"/>
      </w:pPr>
      <w:r>
        <w:rPr>
          <w:rFonts w:ascii="Verdana"/>
          <w:b w:val="false"/>
          <w:i w:val="false"/>
          <w:color w:val="000000"/>
          <w:sz w:val="22"/>
        </w:rPr>
        <w:t>За нова и реконструисане енергетске објекте која имају снагу 1 МW и више, у ЗЕЕРУЕ је прописана обавеза израде елабората о енергетској ефикасности. Предвиђено је и да се у случају изградње нових или реконструисаних енергетских објеката за производњу топлотне или електричне енергије односно комбиноване производње топлотне и електричне енергије која имају снагу 5 МW и више, извештај о термотехничким испитивањима подноси уз захтев за добијање употребне дозволе како би се доказала испуњеност минималних захтева енергетске ефикасности која се прописана у складу са законом, при раду ових постројења. За нова и реконструисана постројења за производњу топлотне или електричне енергије капацитета изнад 5 MW, постоји и обавеза израде анализе исплативости примене комбиноване производње електричне и топлотне енергије. Захтев се односи на нове и реконструисане енергетске објекте, који као гориво користе фосилна горива и/или биомасу.</w:t>
      </w:r>
    </w:p>
    <w:p>
      <w:pPr>
        <w:spacing w:after="150"/>
        <w:ind w:left="0"/>
        <w:jc w:val="left"/>
      </w:pPr>
      <w:r>
        <w:rPr>
          <w:rFonts w:ascii="Verdana"/>
          <w:b w:val="false"/>
          <w:i w:val="false"/>
          <w:color w:val="000000"/>
          <w:sz w:val="22"/>
        </w:rPr>
        <w:t>У ЗЕЕРУЕ је предвиђена и израда анализе потенцијала за високоефикасну когенерацију и могућност коришћења ефикасног даљинског грејања/хлађења у складу са чланом 14. ЕЕД.</w:t>
      </w:r>
    </w:p>
    <w:p>
      <w:pPr>
        <w:spacing w:after="120"/>
        <w:ind w:left="0"/>
        <w:jc w:val="center"/>
      </w:pPr>
      <w:r>
        <w:rPr>
          <w:rFonts w:ascii="Verdana"/>
          <w:b/>
          <w:i w:val="false"/>
          <w:color w:val="000000"/>
          <w:sz w:val="22"/>
        </w:rPr>
        <w:t>3.6. Конверзија енергије, пренос, дистрибуција и одзив потрошње (Члан 15. ЕЕД)</w:t>
      </w:r>
    </w:p>
    <w:p>
      <w:pPr>
        <w:spacing w:after="120"/>
        <w:ind w:left="0"/>
        <w:jc w:val="center"/>
      </w:pPr>
      <w:r>
        <w:rPr>
          <w:rFonts w:ascii="Verdana"/>
          <w:b w:val="false"/>
          <w:i/>
          <w:color w:val="000000"/>
          <w:sz w:val="22"/>
        </w:rPr>
        <w:t>3.6.1. Критеријуми везани за енергетску ефикасност у мрежаринама и прописима</w:t>
      </w:r>
    </w:p>
    <w:p>
      <w:pPr>
        <w:spacing w:after="150"/>
        <w:ind w:left="0"/>
        <w:jc w:val="left"/>
      </w:pPr>
      <w:r>
        <w:rPr>
          <w:rFonts w:ascii="Verdana"/>
          <w:b w:val="false"/>
          <w:i w:val="false"/>
          <w:color w:val="000000"/>
          <w:sz w:val="22"/>
        </w:rPr>
        <w:t>Цена електричне енергије је релативно ниска што доприноси употреби електричне енергије за потребе грејања. Без обзира на ниво цене електричне енергије, тарифе у Методологији за одређивање цене електричне енергије за гарантовано снабдевање обезбеђују да је грејање електричном енергијом коришћењем котлова и грејалица (директно грејања) међу најскупљим. Грејање електричном енергијом је повољније уколико се користе ТА пећи и то само у периоду ниске потрошње (ноћ). Међутим и грејање ТА пећима постаје скупо уколико се енергија користи неефикасно и ако се троши много енергије из црвене зоне (месечно је то сва енергија преко 1.600 kWh).</w:t>
      </w:r>
    </w:p>
    <w:p>
      <w:pPr>
        <w:spacing w:after="150"/>
        <w:ind w:left="0"/>
        <w:jc w:val="left"/>
      </w:pPr>
      <w:r>
        <w:rPr>
          <w:rFonts w:ascii="Verdana"/>
          <w:b w:val="false"/>
          <w:i w:val="false"/>
          <w:color w:val="000000"/>
          <w:sz w:val="22"/>
        </w:rPr>
        <w:t>Уредба о условима и процедури за стицање статуса повлашћеног произвођача електричне енергије такође обавезује операторе преносног и дистрибутивног система да испуне услове и захтеве прописане, између осталог, техничким прописима, прописима о енергетској ефикасности и заштити животне средине.</w:t>
      </w:r>
    </w:p>
    <w:p>
      <w:pPr>
        <w:spacing w:after="150"/>
        <w:ind w:left="0"/>
        <w:jc w:val="left"/>
      </w:pPr>
      <w:r>
        <w:rPr>
          <w:rFonts w:ascii="Verdana"/>
          <w:b w:val="false"/>
          <w:i w:val="false"/>
          <w:color w:val="000000"/>
          <w:sz w:val="22"/>
        </w:rPr>
        <w:t>Снабдевач и гарантовани снабдевач електричном енергијом ће обезбедити потрошачу информације о уделу појединачних извора енергије у укупној количини електричне енергије коју је продао тај снабдевач у протеклој години и то информацију која је разумљива и лако упоредива на националном нивоу.</w:t>
      </w:r>
    </w:p>
    <w:p>
      <w:pPr>
        <w:spacing w:after="150"/>
        <w:ind w:left="0"/>
        <w:jc w:val="left"/>
      </w:pPr>
      <w:r>
        <w:rPr>
          <w:rFonts w:ascii="Verdana"/>
          <w:b w:val="false"/>
          <w:i w:val="false"/>
          <w:color w:val="000000"/>
          <w:sz w:val="22"/>
        </w:rPr>
        <w:t>Такође, Закон о енергетици прописује захтев да је за издавање енергетске дозволе потребно испунити услове везане за енергетску ефикасност.</w:t>
      </w:r>
    </w:p>
    <w:p>
      <w:pPr>
        <w:spacing w:after="150"/>
        <w:ind w:left="0"/>
        <w:jc w:val="left"/>
      </w:pPr>
      <w:r>
        <w:rPr>
          <w:rFonts w:ascii="Verdana"/>
          <w:b w:val="false"/>
          <w:i w:val="false"/>
          <w:color w:val="000000"/>
          <w:sz w:val="22"/>
        </w:rPr>
        <w:t>Да би се повећала ефикасност производње и снабдевања електричном енергијом путем тржишних механизама уведена је конкуренцију у сектор електричне енергије доношењем Закона о енергетици 2014. године. Потпуно отварање тржишта уследило је након ратификације Уговора о Енергетској заједници из јануара 2015. године.</w:t>
      </w:r>
    </w:p>
    <w:p>
      <w:pPr>
        <w:spacing w:after="150"/>
        <w:ind w:left="0"/>
        <w:jc w:val="left"/>
      </w:pPr>
      <w:r>
        <w:rPr>
          <w:rFonts w:ascii="Verdana"/>
          <w:b w:val="false"/>
          <w:i w:val="false"/>
          <w:color w:val="000000"/>
          <w:sz w:val="22"/>
        </w:rPr>
        <w:t>Агенција за енергетику Републике Србије (АЕРС) усваја Методологију за одређивање цене електричне енергије за гарантовано снабдевање са главним тарифним подстицајем за ефикаснију употребу енергије на основу потрошње (прогресивни тарифни блок). Тарифни систем за домаћинства се примењује модулацијом компонената којима се исплаћују мрежарине. Прогресивна структура тарифе уведена је 15. априла 2001. године ради заштите мреже од преоптерећења. Тарифа за „рационалну потрошњу” (зелена зона) укључује месечну потрошњу до 350 kWh; а тај праг се мењао временом. „Умерена потрошња” (плава зона) подразумева потрошњу између 350 kWh и 1.600 kWh, док „велика потрошња” (црвена зона) подразумева потрошњу већу од 1.600 kWh.</w:t>
      </w:r>
    </w:p>
    <w:p>
      <w:pPr>
        <w:spacing w:after="150"/>
        <w:ind w:left="0"/>
        <w:jc w:val="left"/>
      </w:pPr>
      <w:r>
        <w:rPr>
          <w:rFonts w:ascii="Verdana"/>
          <w:b w:val="false"/>
          <w:i w:val="false"/>
          <w:color w:val="000000"/>
          <w:sz w:val="22"/>
        </w:rPr>
        <w:t>Према Тарифном систему за обрачун електричне енергије тарифним купцима („Службени гласник РС”, бр. 1/07, 31/07, 50/07, 81/07, 21/08 и 109/09, 100/10 и 96/11) тарифа је везана за време коришћења, са четири пута вишим ценама током периода већих оптерећења у поређењу са „ноћном” потрошњом. Разлика је четири пута јер је нижа тарифа само током ноћи, чиме се стимулише коришћење електричне енергије ван вршног оптерећења, а тиме се смањује и потреба за повећањем инсталисаних капацитета и у мрежама. Оваква наплата према временским периодима датим у односу на тренутно оптерећење шаље добар сигнал потрошачима. У складу са Методологија за одређивање тарифних елемената за израчунавање цена приступа и коришћења система за дистрибуцију електричне енергије („Службени гласник РС”, бр. 68/06, 18/07 и 116/08), други подстицај (за потрошаче са мерењем вршног оптерећења) је кажњавање за вршно оптерећење веће од уговореног (четири пута већа цена за разлику између уговорене и измерене активне снаге). Овим се стимулишу купци да при прикључењу траже да им се омогући коришћење стварно потребне снаге, а да њено прекорачење значи додатни трошак.</w:t>
      </w:r>
    </w:p>
    <w:p>
      <w:pPr>
        <w:spacing w:after="150"/>
        <w:ind w:left="0"/>
        <w:jc w:val="left"/>
      </w:pPr>
      <w:r>
        <w:rPr>
          <w:rFonts w:ascii="Verdana"/>
          <w:b w:val="false"/>
          <w:i w:val="false"/>
          <w:color w:val="000000"/>
          <w:sz w:val="22"/>
        </w:rPr>
        <w:t>Друга препрека активнијем учешћу потрошача у сигналу који даје страна потражње је учешће заступника или удружења потрошача (агрегатора) на тржишту услуга. ЕЕД, члан 15(8), подразумева да државе чланице морају да траже од националних регулаторних тела, ОПС или ОДС, где то национални регулаторни системи захтевају, да промовишу приступ и учешће одзива потрошње у балансирању, резервама и другим тржиштима помоћних услуга.</w:t>
      </w:r>
    </w:p>
    <w:p>
      <w:pPr>
        <w:spacing w:after="150"/>
        <w:ind w:left="0"/>
        <w:jc w:val="left"/>
      </w:pPr>
      <w:r>
        <w:rPr>
          <w:rFonts w:ascii="Verdana"/>
          <w:b w:val="false"/>
          <w:i w:val="false"/>
          <w:color w:val="000000"/>
          <w:sz w:val="22"/>
        </w:rPr>
        <w:t>Тренутни национални оквир за тржиште електричне енергије не помиње агрегаторе за тржиште помоћних услуга и балансно тржиште. Агрегатори једино имају улогу да подносе понуде за куповину на „дан – унапред” тржишту и понуде за продају нерелевантних производних јединица које користе обновљиве изворе енергије како би се адекватно распоредили трошкови у случају неизбалансираности система. Закон о енергетици из 2014. године помиње улогу оператора дистрибутивног система у управљању потражњом (члан 139) али не баш експлицитно.</w:t>
      </w:r>
    </w:p>
    <w:p>
      <w:pPr>
        <w:spacing w:after="120"/>
        <w:ind w:left="0"/>
        <w:jc w:val="center"/>
      </w:pPr>
      <w:r>
        <w:rPr>
          <w:rFonts w:ascii="Verdana"/>
          <w:b w:val="false"/>
          <w:i/>
          <w:color w:val="000000"/>
          <w:sz w:val="22"/>
        </w:rPr>
        <w:t>3.6.2. Мере којима се олакшава и промовише „demand response”</w:t>
      </w:r>
    </w:p>
    <w:p>
      <w:pPr>
        <w:spacing w:after="150"/>
        <w:ind w:left="0"/>
        <w:jc w:val="left"/>
      </w:pPr>
      <w:r>
        <w:rPr>
          <w:rFonts w:ascii="Verdana"/>
          <w:b w:val="false"/>
          <w:i w:val="false"/>
          <w:color w:val="000000"/>
          <w:sz w:val="22"/>
        </w:rPr>
        <w:t>Развијање одзива потрошње је могуће само уколико се уведу паметна бројила која ће омогућити већу слободу у дефинисању тарифа. МФИ (Међународне финансијске институције) (нпр. – ЕБРД, EIB) ће издвојити средства за замену старих бројила мерних уређаја паметним бројилима.</w:t>
      </w:r>
    </w:p>
    <w:p>
      <w:pPr>
        <w:spacing w:after="120"/>
        <w:ind w:left="0"/>
        <w:jc w:val="center"/>
      </w:pPr>
      <w:r>
        <w:rPr>
          <w:rFonts w:ascii="Verdana"/>
          <w:b w:val="false"/>
          <w:i/>
          <w:color w:val="000000"/>
          <w:sz w:val="22"/>
        </w:rPr>
        <w:t>3.6.3. Енергетска ефикасност у моделу мреже и управљању</w:t>
      </w:r>
    </w:p>
    <w:p>
      <w:pPr>
        <w:spacing w:after="150"/>
        <w:ind w:left="0"/>
        <w:jc w:val="left"/>
      </w:pPr>
      <w:r>
        <w:rPr>
          <w:rFonts w:ascii="Verdana"/>
          <w:b w:val="false"/>
          <w:i w:val="false"/>
          <w:color w:val="000000"/>
          <w:sz w:val="22"/>
        </w:rPr>
        <w:t>На основу пројекта „Смањење губитака у дистрибутивној мрежи” недавно је покренуто пет нових пројеката и предложен низ мера како би се повећала ефикасност или смањили (и) технички губици, итд. у које спадају: уградња трансформатора са смањеним губицима, оптималан избор трансформатора и проводника за водове (у складу са очекиваним оптерећењем), корекција фактора снаге (компензација реактивне снаге), балансирање оптерећења по фазама, регулација напона, реконфигурација мреже (оптимизација типа мреже) и друго.</w:t>
      </w:r>
    </w:p>
    <w:p>
      <w:pPr>
        <w:spacing w:after="120"/>
        <w:ind w:left="0"/>
        <w:jc w:val="center"/>
      </w:pPr>
      <w:r>
        <w:rPr>
          <w:rFonts w:ascii="Verdana"/>
          <w:b w:val="false"/>
          <w:i/>
          <w:color w:val="000000"/>
          <w:sz w:val="22"/>
        </w:rPr>
        <w:t>3.6.4. Очекиване мере и уштеде енергије на страни снабдевања енергијом</w:t>
      </w:r>
    </w:p>
    <w:p>
      <w:pPr>
        <w:spacing w:after="150"/>
        <w:ind w:left="0"/>
        <w:jc w:val="left"/>
      </w:pPr>
      <w:r>
        <w:rPr>
          <w:rFonts w:ascii="Verdana"/>
          <w:b w:val="false"/>
          <w:i w:val="false"/>
          <w:color w:val="000000"/>
          <w:sz w:val="22"/>
        </w:rPr>
        <w:t>У Табели 17. дат је преглед мера на страни снабдевања енергијом које ће допринети уштедама у периоду од 2019. до 2021. године. Табела 17. односи се на мере које су предвиђене у сектору ДГ, док се Табела 18. односи на мере у сектору производње, преноса и дистрибуције електричне енергије.</w:t>
      </w:r>
    </w:p>
    <w:p>
      <w:pPr>
        <w:spacing w:after="150"/>
        <w:ind w:left="0"/>
        <w:jc w:val="left"/>
      </w:pPr>
      <w:r>
        <w:rPr>
          <w:rFonts w:ascii="Verdana"/>
          <w:b w:val="false"/>
          <w:i w:val="false"/>
          <w:color w:val="000000"/>
          <w:sz w:val="22"/>
        </w:rPr>
        <w:t>Табела 17. Очекиване мера и уштеде у Сектору СДГ за период 2019. до 2021. године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852"/>
        <w:gridCol w:w="3745"/>
        <w:gridCol w:w="2298"/>
        <w:gridCol w:w="7505"/>
      </w:tblGrid>
      <w:tr>
        <w:trPr>
          <w:trHeight w:val="45" w:hRule="atLeast"/>
        </w:trPr>
        <w:tc>
          <w:tcPr>
            <w:tcW w:w="8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37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22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Статус мере</w:t>
            </w:r>
          </w:p>
        </w:tc>
        <w:tc>
          <w:tcPr>
            <w:tcW w:w="75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 до 2021. године (ktoe)</w:t>
            </w:r>
          </w:p>
        </w:tc>
      </w:tr>
      <w:tr>
        <w:trPr>
          <w:trHeight w:val="45" w:hRule="atLeast"/>
        </w:trPr>
        <w:tc>
          <w:tcPr>
            <w:tcW w:w="8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 1</w:t>
            </w:r>
          </w:p>
        </w:tc>
        <w:tc>
          <w:tcPr>
            <w:tcW w:w="37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система за дистрибуцију топлотне енергије ДГ</w:t>
            </w:r>
          </w:p>
        </w:tc>
        <w:tc>
          <w:tcPr>
            <w:tcW w:w="22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75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w:t>
            </w:r>
          </w:p>
        </w:tc>
      </w:tr>
      <w:tr>
        <w:trPr>
          <w:trHeight w:val="45" w:hRule="atLeast"/>
        </w:trPr>
        <w:tc>
          <w:tcPr>
            <w:tcW w:w="8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 2</w:t>
            </w:r>
          </w:p>
        </w:tc>
        <w:tc>
          <w:tcPr>
            <w:tcW w:w="37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и модернизација производних система ДГ</w:t>
            </w:r>
          </w:p>
        </w:tc>
        <w:tc>
          <w:tcPr>
            <w:tcW w:w="22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75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2,38</w:t>
            </w:r>
          </w:p>
        </w:tc>
      </w:tr>
      <w:tr>
        <w:trPr>
          <w:trHeight w:val="45" w:hRule="atLeast"/>
        </w:trPr>
        <w:tc>
          <w:tcPr>
            <w:tcW w:w="8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 3</w:t>
            </w:r>
          </w:p>
        </w:tc>
        <w:tc>
          <w:tcPr>
            <w:tcW w:w="37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сагоревања гасовитог горива у топланама</w:t>
            </w:r>
          </w:p>
        </w:tc>
        <w:tc>
          <w:tcPr>
            <w:tcW w:w="22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7505" w:type="dxa"/>
            <w:tcBorders>
              <w:top w:val="single" w:color="000000" w:sz="8"/>
              <w:left w:val="single" w:color="000000" w:sz="8"/>
              <w:bottom w:val="single" w:color="000000" w:sz="8"/>
              <w:right w:val="single" w:color="000000" w:sz="8"/>
            </w:tcBorders>
            <w:vAlign w:val="center"/>
          </w:tcPr>
          <w:p/>
        </w:tc>
      </w:tr>
      <w:tr>
        <w:trPr>
          <w:trHeight w:val="45" w:hRule="atLeast"/>
        </w:trPr>
        <w:tc>
          <w:tcPr>
            <w:tcW w:w="8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 4</w:t>
            </w:r>
          </w:p>
        </w:tc>
        <w:tc>
          <w:tcPr>
            <w:tcW w:w="37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сагоревања течног горива у топланама</w:t>
            </w:r>
          </w:p>
        </w:tc>
        <w:tc>
          <w:tcPr>
            <w:tcW w:w="22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75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8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 5</w:t>
            </w:r>
          </w:p>
        </w:tc>
        <w:tc>
          <w:tcPr>
            <w:tcW w:w="37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сагоревања чврстог горива у топланама</w:t>
            </w:r>
          </w:p>
        </w:tc>
        <w:tc>
          <w:tcPr>
            <w:tcW w:w="22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75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8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 6</w:t>
            </w:r>
          </w:p>
        </w:tc>
        <w:tc>
          <w:tcPr>
            <w:tcW w:w="37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дистрибуције топлотне енергије</w:t>
            </w:r>
          </w:p>
        </w:tc>
        <w:tc>
          <w:tcPr>
            <w:tcW w:w="22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7505" w:type="dxa"/>
            <w:tcBorders>
              <w:top w:val="single" w:color="000000" w:sz="8"/>
              <w:left w:val="single" w:color="000000" w:sz="8"/>
              <w:bottom w:val="single" w:color="000000" w:sz="8"/>
              <w:right w:val="single" w:color="000000" w:sz="8"/>
            </w:tcBorders>
            <w:vAlign w:val="center"/>
          </w:tcPr>
          <w:p/>
        </w:tc>
      </w:tr>
      <w:tr>
        <w:trPr>
          <w:trHeight w:val="45" w:hRule="atLeast"/>
        </w:trPr>
        <w:tc>
          <w:tcPr>
            <w:tcW w:w="8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 7</w:t>
            </w:r>
          </w:p>
        </w:tc>
        <w:tc>
          <w:tcPr>
            <w:tcW w:w="37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термоелектране Никола Тесла А на когенарацију</w:t>
            </w:r>
          </w:p>
        </w:tc>
        <w:tc>
          <w:tcPr>
            <w:tcW w:w="22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75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реализовано</w:t>
            </w:r>
          </w:p>
        </w:tc>
      </w:tr>
      <w:tr>
        <w:trPr>
          <w:trHeight w:val="45" w:hRule="atLeast"/>
        </w:trPr>
        <w:tc>
          <w:tcPr>
            <w:tcW w:w="8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 8</w:t>
            </w:r>
          </w:p>
        </w:tc>
        <w:tc>
          <w:tcPr>
            <w:tcW w:w="37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Минимални захтеви енергетске ефикасности за нова и реконструкција постројења за производњу електричне и топлотне енергије за СНР постројења</w:t>
            </w:r>
          </w:p>
        </w:tc>
        <w:tc>
          <w:tcPr>
            <w:tcW w:w="22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75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8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Даљинско грејање сумарно</w:t>
            </w:r>
          </w:p>
        </w:tc>
        <w:tc>
          <w:tcPr>
            <w:tcW w:w="3745" w:type="dxa"/>
            <w:tcBorders>
              <w:top w:val="single" w:color="000000" w:sz="8"/>
              <w:left w:val="single" w:color="000000" w:sz="8"/>
              <w:bottom w:val="single" w:color="000000" w:sz="8"/>
              <w:right w:val="single" w:color="000000" w:sz="8"/>
            </w:tcBorders>
            <w:vAlign w:val="center"/>
          </w:tcPr>
          <w:p/>
        </w:tc>
        <w:tc>
          <w:tcPr>
            <w:tcW w:w="2298" w:type="dxa"/>
            <w:tcBorders>
              <w:top w:val="single" w:color="000000" w:sz="8"/>
              <w:left w:val="single" w:color="000000" w:sz="8"/>
              <w:bottom w:val="single" w:color="000000" w:sz="8"/>
              <w:right w:val="single" w:color="000000" w:sz="8"/>
            </w:tcBorders>
            <w:vAlign w:val="center"/>
          </w:tcPr>
          <w:p/>
        </w:tc>
        <w:tc>
          <w:tcPr>
            <w:tcW w:w="75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9,38</w:t>
            </w:r>
          </w:p>
        </w:tc>
      </w:tr>
    </w:tbl>
    <w:p>
      <w:pPr>
        <w:spacing w:after="150"/>
        <w:ind w:left="0"/>
        <w:jc w:val="left"/>
      </w:pPr>
      <w:r>
        <w:rPr>
          <w:rFonts w:ascii="Verdana"/>
          <w:b w:val="false"/>
          <w:i w:val="false"/>
          <w:color w:val="000000"/>
          <w:sz w:val="22"/>
        </w:rPr>
        <w:t>У оквиру Програм „Рехабилитација система даљинског грејања у Србији” у току је V фаза његове реализације. Пројектом је предвиђена рехабилитација и модернизација система даљинског грејања у до осам топлана и то кроз имплементацију око 30 инвестиција/под-пројеката који ће обухватити:</w:t>
      </w:r>
    </w:p>
    <w:p>
      <w:pPr>
        <w:spacing w:after="150"/>
        <w:ind w:left="0"/>
        <w:jc w:val="left"/>
      </w:pPr>
      <w:r>
        <w:rPr>
          <w:rFonts w:ascii="Verdana"/>
          <w:b w:val="false"/>
          <w:i w:val="false"/>
          <w:color w:val="000000"/>
          <w:sz w:val="22"/>
        </w:rPr>
        <w:t>– изградњу, реконструкцију и/или замену постројења за производњу топлотне енергије,</w:t>
      </w:r>
    </w:p>
    <w:p>
      <w:pPr>
        <w:spacing w:after="150"/>
        <w:ind w:left="0"/>
        <w:jc w:val="left"/>
      </w:pPr>
      <w:r>
        <w:rPr>
          <w:rFonts w:ascii="Verdana"/>
          <w:b w:val="false"/>
          <w:i w:val="false"/>
          <w:color w:val="000000"/>
          <w:sz w:val="22"/>
        </w:rPr>
        <w:t>– замену и/или проширење топловода,</w:t>
      </w:r>
    </w:p>
    <w:p>
      <w:pPr>
        <w:spacing w:after="150"/>
        <w:ind w:left="0"/>
        <w:jc w:val="left"/>
      </w:pPr>
      <w:r>
        <w:rPr>
          <w:rFonts w:ascii="Verdana"/>
          <w:b w:val="false"/>
          <w:i w:val="false"/>
          <w:color w:val="000000"/>
          <w:sz w:val="22"/>
        </w:rPr>
        <w:t>– реконструкцију, замену и/или уградњу подстаница,</w:t>
      </w:r>
    </w:p>
    <w:p>
      <w:pPr>
        <w:spacing w:after="150"/>
        <w:ind w:left="0"/>
        <w:jc w:val="left"/>
      </w:pPr>
      <w:r>
        <w:rPr>
          <w:rFonts w:ascii="Verdana"/>
          <w:b w:val="false"/>
          <w:i w:val="false"/>
          <w:color w:val="000000"/>
          <w:sz w:val="22"/>
        </w:rPr>
        <w:t>– уградњу, надоградња и/или проширење савремених SCADA система.</w:t>
      </w:r>
    </w:p>
    <w:p>
      <w:pPr>
        <w:spacing w:after="150"/>
        <w:ind w:left="0"/>
        <w:jc w:val="left"/>
      </w:pPr>
      <w:r>
        <w:rPr>
          <w:rFonts w:ascii="Verdana"/>
          <w:b w:val="false"/>
          <w:i w:val="false"/>
          <w:color w:val="000000"/>
          <w:sz w:val="22"/>
        </w:rPr>
        <w:t>Осим техничких мера, Пројектом су предвиђене и институционалне мере које имају за циљ да топлане послују по економским принципима. Очекује се да се у оквиру фазе V оствари повећање енергетске ефикасности, односно смањење топлотних губитака од најмање 15% годишње, годишње смањење емисије гасова са ефектом стаклене баште изражено као еквивалент емисије CO</w:t>
      </w:r>
      <w:r>
        <w:rPr>
          <w:rFonts w:ascii="Verdana"/>
          <w:b w:val="false"/>
          <w:i w:val="false"/>
          <w:color w:val="000000"/>
          <w:sz w:val="22"/>
          <w:vertAlign w:val="subscript"/>
        </w:rPr>
        <w:t>2</w:t>
      </w:r>
      <w:r>
        <w:rPr>
          <w:rFonts w:ascii="Verdana"/>
          <w:b w:val="false"/>
          <w:i w:val="false"/>
          <w:color w:val="000000"/>
          <w:sz w:val="22"/>
        </w:rPr>
        <w:t xml:space="preserve"> од 70,000 тона CO</w:t>
      </w:r>
      <w:r>
        <w:rPr>
          <w:rFonts w:ascii="Verdana"/>
          <w:b w:val="false"/>
          <w:i w:val="false"/>
          <w:color w:val="000000"/>
          <w:sz w:val="22"/>
          <w:vertAlign w:val="subscript"/>
        </w:rPr>
        <w:t>2</w:t>
      </w:r>
      <w:r>
        <w:rPr>
          <w:rFonts w:ascii="Verdana"/>
          <w:b w:val="false"/>
          <w:i w:val="false"/>
          <w:color w:val="000000"/>
          <w:sz w:val="22"/>
        </w:rPr>
        <w:t>/годишње (најмање 22%). Осим тога, очекује се повећање сигурности снабдевања енергијом и економска стабилност топлана.</w:t>
      </w:r>
    </w:p>
    <w:p>
      <w:pPr>
        <w:spacing w:after="150"/>
        <w:ind w:left="0"/>
        <w:jc w:val="left"/>
      </w:pPr>
      <w:r>
        <w:rPr>
          <w:rFonts w:ascii="Verdana"/>
          <w:b w:val="false"/>
          <w:i w:val="false"/>
          <w:color w:val="000000"/>
          <w:sz w:val="22"/>
        </w:rPr>
        <w:t>Табела 18. Очекиване мера и уштеде у Електроенергетском сектору за период 2019. до 2021. године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78"/>
        <w:gridCol w:w="5471"/>
        <w:gridCol w:w="2062"/>
        <w:gridCol w:w="6289"/>
      </w:tblGrid>
      <w:tr>
        <w:trPr>
          <w:trHeight w:val="45" w:hRule="atLeast"/>
        </w:trPr>
        <w:tc>
          <w:tcPr>
            <w:tcW w:w="5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54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2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Статус мере</w:t>
            </w:r>
          </w:p>
        </w:tc>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 до 2021. године ktoe</w:t>
            </w:r>
          </w:p>
        </w:tc>
      </w:tr>
      <w:tr>
        <w:trPr>
          <w:trHeight w:val="45" w:hRule="atLeast"/>
        </w:trPr>
        <w:tc>
          <w:tcPr>
            <w:tcW w:w="5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Е1</w:t>
            </w:r>
          </w:p>
        </w:tc>
        <w:tc>
          <w:tcPr>
            <w:tcW w:w="54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ефикасности котлова</w:t>
            </w:r>
          </w:p>
        </w:tc>
        <w:tc>
          <w:tcPr>
            <w:tcW w:w="2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70</w:t>
            </w:r>
          </w:p>
        </w:tc>
      </w:tr>
      <w:tr>
        <w:trPr>
          <w:trHeight w:val="45" w:hRule="atLeast"/>
        </w:trPr>
        <w:tc>
          <w:tcPr>
            <w:tcW w:w="5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Е2</w:t>
            </w:r>
          </w:p>
        </w:tc>
        <w:tc>
          <w:tcPr>
            <w:tcW w:w="54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 управљања квалитетом угља</w:t>
            </w:r>
          </w:p>
        </w:tc>
        <w:tc>
          <w:tcPr>
            <w:tcW w:w="2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w:t>
            </w:r>
          </w:p>
        </w:tc>
      </w:tr>
      <w:tr>
        <w:trPr>
          <w:trHeight w:val="45" w:hRule="atLeast"/>
        </w:trPr>
        <w:tc>
          <w:tcPr>
            <w:tcW w:w="5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Е3</w:t>
            </w:r>
          </w:p>
        </w:tc>
        <w:tc>
          <w:tcPr>
            <w:tcW w:w="54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ефикасности парних турбина</w:t>
            </w:r>
          </w:p>
        </w:tc>
        <w:tc>
          <w:tcPr>
            <w:tcW w:w="2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76</w:t>
            </w:r>
          </w:p>
        </w:tc>
      </w:tr>
      <w:tr>
        <w:trPr>
          <w:trHeight w:val="45" w:hRule="atLeast"/>
        </w:trPr>
        <w:tc>
          <w:tcPr>
            <w:tcW w:w="5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Е4</w:t>
            </w:r>
          </w:p>
        </w:tc>
        <w:tc>
          <w:tcPr>
            <w:tcW w:w="54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Смањење сопствене потрошње енергије у термоелектранама</w:t>
            </w:r>
          </w:p>
        </w:tc>
        <w:tc>
          <w:tcPr>
            <w:tcW w:w="2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w:t>
            </w:r>
          </w:p>
        </w:tc>
      </w:tr>
      <w:tr>
        <w:trPr>
          <w:trHeight w:val="45" w:hRule="atLeast"/>
        </w:trPr>
        <w:tc>
          <w:tcPr>
            <w:tcW w:w="5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Е5</w:t>
            </w:r>
          </w:p>
        </w:tc>
        <w:tc>
          <w:tcPr>
            <w:tcW w:w="54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Реконфигурација дистрибутивне мреже</w:t>
            </w:r>
          </w:p>
        </w:tc>
        <w:tc>
          <w:tcPr>
            <w:tcW w:w="2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w:t>
            </w:r>
          </w:p>
        </w:tc>
      </w:tr>
      <w:tr>
        <w:trPr>
          <w:trHeight w:val="45" w:hRule="atLeast"/>
        </w:trPr>
        <w:tc>
          <w:tcPr>
            <w:tcW w:w="5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Е6</w:t>
            </w:r>
          </w:p>
        </w:tc>
        <w:tc>
          <w:tcPr>
            <w:tcW w:w="54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Регулација напона дистрибутивне мреже</w:t>
            </w:r>
          </w:p>
        </w:tc>
        <w:tc>
          <w:tcPr>
            <w:tcW w:w="2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4,83</w:t>
            </w:r>
          </w:p>
        </w:tc>
      </w:tr>
      <w:tr>
        <w:trPr>
          <w:trHeight w:val="45" w:hRule="atLeast"/>
        </w:trPr>
        <w:tc>
          <w:tcPr>
            <w:tcW w:w="5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Е7</w:t>
            </w:r>
          </w:p>
        </w:tc>
        <w:tc>
          <w:tcPr>
            <w:tcW w:w="54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Појачање дистрибутивне мреже</w:t>
            </w:r>
          </w:p>
        </w:tc>
        <w:tc>
          <w:tcPr>
            <w:tcW w:w="2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5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Е8</w:t>
            </w:r>
          </w:p>
        </w:tc>
        <w:tc>
          <w:tcPr>
            <w:tcW w:w="54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Уградња паметних бројила</w:t>
            </w:r>
          </w:p>
        </w:tc>
        <w:tc>
          <w:tcPr>
            <w:tcW w:w="2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5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Е9</w:t>
            </w:r>
          </w:p>
        </w:tc>
        <w:tc>
          <w:tcPr>
            <w:tcW w:w="54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Минимални захтеви EE за нова и реконструисана постројења за производњу топлотне и електричне енергије или CHP постројења</w:t>
            </w:r>
          </w:p>
        </w:tc>
        <w:tc>
          <w:tcPr>
            <w:tcW w:w="2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Задржана мера. Наставак активности из 3. АПЕЕ</w:t>
            </w:r>
          </w:p>
        </w:tc>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578" w:type="dxa"/>
            <w:tcBorders>
              <w:top w:val="single" w:color="000000" w:sz="8"/>
              <w:left w:val="single" w:color="000000" w:sz="8"/>
              <w:bottom w:val="single" w:color="000000" w:sz="8"/>
              <w:right w:val="single" w:color="000000" w:sz="8"/>
            </w:tcBorders>
            <w:vAlign w:val="center"/>
          </w:tcPr>
          <w:p/>
        </w:tc>
        <w:tc>
          <w:tcPr>
            <w:tcW w:w="54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w:t>
            </w:r>
          </w:p>
        </w:tc>
        <w:tc>
          <w:tcPr>
            <w:tcW w:w="2062" w:type="dxa"/>
            <w:tcBorders>
              <w:top w:val="single" w:color="000000" w:sz="8"/>
              <w:left w:val="single" w:color="000000" w:sz="8"/>
              <w:bottom w:val="single" w:color="000000" w:sz="8"/>
              <w:right w:val="single" w:color="000000" w:sz="8"/>
            </w:tcBorders>
            <w:vAlign w:val="center"/>
          </w:tcPr>
          <w:p/>
        </w:tc>
        <w:tc>
          <w:tcPr>
            <w:tcW w:w="62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167,83</w:t>
            </w:r>
          </w:p>
        </w:tc>
      </w:tr>
    </w:tbl>
    <w:p>
      <w:pPr>
        <w:spacing w:after="150"/>
        <w:ind w:left="0"/>
        <w:jc w:val="left"/>
      </w:pPr>
      <w:r>
        <w:rPr>
          <w:rFonts w:ascii="Verdana"/>
          <w:b w:val="false"/>
          <w:i w:val="false"/>
          <w:color w:val="000000"/>
          <w:sz w:val="22"/>
        </w:rPr>
        <w:t>Прилог 1 Табела конверзије енергије и енергената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88"/>
        <w:gridCol w:w="188"/>
        <w:gridCol w:w="1696"/>
        <w:gridCol w:w="1536"/>
        <w:gridCol w:w="1645"/>
        <w:gridCol w:w="1079"/>
        <w:gridCol w:w="1216"/>
        <w:gridCol w:w="1438"/>
        <w:gridCol w:w="1079"/>
        <w:gridCol w:w="2886"/>
        <w:gridCol w:w="1449"/>
      </w:tblGrid>
      <w:tr>
        <w:trPr>
          <w:trHeight w:val="45" w:hRule="atLeast"/>
        </w:trPr>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Енергија/гориво</w:t>
            </w:r>
          </w:p>
        </w:tc>
        <w:tc>
          <w:tcPr>
            <w:tcW w:w="1536"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Јед.</w:t>
            </w:r>
          </w:p>
        </w:tc>
        <w:tc>
          <w:tcPr>
            <w:tcW w:w="1645"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Густина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Финална енергија (MJ/јединици)</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Финална енергија (kWh/јединици)</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Финална енергија</w:t>
            </w:r>
            <w:r>
              <w:br/>
            </w:r>
            <w:r>
              <w:rPr>
                <w:rFonts w:ascii="Verdana"/>
                <w:b w:val="false"/>
                <w:i w:val="false"/>
                <w:color w:val="000000"/>
                <w:sz w:val="22"/>
              </w:rPr>
              <w:t>(toe/јединици)</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Примарна енергија</w:t>
            </w:r>
            <w:r>
              <w:br/>
            </w:r>
            <w:r>
              <w:rPr>
                <w:rFonts w:ascii="Verdana"/>
                <w:b w:val="false"/>
                <w:i w:val="false"/>
                <w:color w:val="000000"/>
                <w:sz w:val="22"/>
              </w:rPr>
              <w:t>(toe/јединици)</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CO</w:t>
            </w:r>
            <w:r>
              <w:rPr>
                <w:rFonts w:ascii="Verdana"/>
                <w:b w:val="false"/>
                <w:i w:val="false"/>
                <w:color w:val="000000"/>
                <w:sz w:val="22"/>
                <w:vertAlign w:val="subscript"/>
              </w:rPr>
              <w:t>2</w:t>
            </w:r>
            <w:r>
              <w:rPr>
                <w:rFonts w:ascii="Verdana"/>
                <w:b w:val="false"/>
                <w:i w:val="false"/>
                <w:color w:val="000000"/>
                <w:sz w:val="22"/>
              </w:rPr>
              <w:t xml:space="preserve"> фактор (kg CO</w:t>
            </w:r>
            <w:r>
              <w:rPr>
                <w:rFonts w:ascii="Verdana"/>
                <w:b w:val="false"/>
                <w:i w:val="false"/>
                <w:color w:val="000000"/>
                <w:sz w:val="22"/>
                <w:vertAlign w:val="subscript"/>
              </w:rPr>
              <w:t>2</w:t>
            </w:r>
            <w:r>
              <w:rPr>
                <w:rFonts w:ascii="Verdana"/>
                <w:b w:val="false"/>
                <w:i w:val="false"/>
                <w:color w:val="000000"/>
                <w:sz w:val="22"/>
              </w:rPr>
              <w:t>/kWh)</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CO</w:t>
            </w:r>
            <w:r>
              <w:rPr>
                <w:rFonts w:ascii="Verdana"/>
                <w:b w:val="false"/>
                <w:i w:val="false"/>
                <w:color w:val="000000"/>
                <w:sz w:val="22"/>
                <w:vertAlign w:val="subscript"/>
              </w:rPr>
              <w:t>2</w:t>
            </w:r>
            <w:r>
              <w:br/>
            </w:r>
            <w:r>
              <w:rPr>
                <w:rFonts w:ascii="Verdana"/>
                <w:b w:val="false"/>
                <w:i w:val="false"/>
                <w:color w:val="000000"/>
                <w:sz w:val="22"/>
              </w:rPr>
              <w:t>(kg CO</w:t>
            </w:r>
            <w:r>
              <w:rPr>
                <w:rFonts w:ascii="Verdana"/>
                <w:b w:val="false"/>
                <w:i w:val="false"/>
                <w:color w:val="000000"/>
                <w:sz w:val="22"/>
                <w:vertAlign w:val="subscript"/>
              </w:rPr>
              <w:t>2</w:t>
            </w:r>
            <w:r>
              <w:rPr>
                <w:rFonts w:ascii="Verdana"/>
                <w:b w:val="false"/>
                <w:i w:val="false"/>
                <w:color w:val="000000"/>
                <w:sz w:val="22"/>
              </w:rPr>
              <w:t>/јединици)</w:t>
            </w:r>
          </w:p>
        </w:tc>
      </w:tr>
      <w:tr>
        <w:trPr>
          <w:trHeight w:val="45" w:hRule="atLeast"/>
        </w:trPr>
        <w:tc>
          <w:tcPr>
            <w:tcW w:w="0" w:type="auto"/>
            <w:gridSpan w:val="3"/>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 = A/3,6</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 = Б/11630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 = Ц/ефикасност</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 = Е*Б</w:t>
            </w:r>
          </w:p>
        </w:tc>
      </w:tr>
      <w:tr>
        <w:trPr>
          <w:trHeight w:val="45" w:hRule="atLeast"/>
        </w:trPr>
        <w:tc>
          <w:tcPr>
            <w:tcW w:w="0" w:type="auto"/>
            <w:gridSpan w:val="2"/>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Гориво</w:t>
            </w: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Лигнит</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1,35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7,523</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2,090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0.1797</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0.1797</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0.36</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752</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Лигнит Колубара</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1,35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7,500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2,083</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0.1791</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0.1791</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0.36</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750</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Лигнит Костолац</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1,35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8,500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2,361</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0.2030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0.2030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0.36</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850</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Сушени лигнит</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1,35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17,600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4,889</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0.4204</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0.4204</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0.36</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1,760</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Мрки угаљ</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1,55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15,988</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4,441</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0.3819</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0.3819</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0.35</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1,554</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Камени угаљ</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1,35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26,900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7,472</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0.6425</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0.6425</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0.34</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2,541</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Коксни угаљ</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0,50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29,300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8,139</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0.6998</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0.6998</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0.38</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3,093</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Високо пећни гас</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m</w:t>
            </w:r>
            <w:r>
              <w:rPr>
                <w:rFonts w:ascii="Verdana"/>
                <w:b w:val="false"/>
                <w:i w:val="false"/>
                <w:color w:val="000000"/>
                <w:sz w:val="22"/>
                <w:vertAlign w:val="superscript"/>
              </w:rPr>
              <w:t>3</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1,25 kg/m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4,212</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1,170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0.1006</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0.1006</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0.21</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246</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Рафинеријски гас</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m</w:t>
            </w:r>
            <w:r>
              <w:rPr>
                <w:rFonts w:ascii="Verdana"/>
                <w:b w:val="false"/>
                <w:i w:val="false"/>
                <w:color w:val="000000"/>
                <w:sz w:val="22"/>
                <w:vertAlign w:val="superscript"/>
              </w:rPr>
              <w:t>3</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36,950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10,264</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0.8825</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0.8825</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0.21</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2,155</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Бензин (моторни бензин)</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L</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0,71 t/kl</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31,807</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8,835</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0.7597</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0.7597</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0.25</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2,209</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Биодизел</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L</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0,88 t/kl</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32,600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9,056</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0.7786</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0.7786</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0.252</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2,282</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Примарни бензин</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44,938</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12,483</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1.0733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1.0733</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0.25</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3,121</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Примарни бензин/Пиро уље</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1,057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41,000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11,389</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0.9793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0.9793</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0.20</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2,278</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Примарни бензин/Ложиви гас (RG)</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0,680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52,080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14,467</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1.2439</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1.2439</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0.28</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4,051</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Примарни бензин/Рафинат II</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0,680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44,000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12,222</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1.0509</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1.0509</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0.215</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2,628</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Авионски бензини и млазна горива (Керозин)</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L</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0,80 t/kl</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34,722</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9,645</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0.8293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0.8293</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0.26</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2,508</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Дизел гориво – Гасно уље 0,1</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L</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0,86 t/kl</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36,800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10,222</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0.8790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0.8790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0.27</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2,760</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Гасно уље екстра лако евро ел</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L</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0,87 t/kl</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37,334</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10,371</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0.8917</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0.8917</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0.28</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2,904</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Уље за ложење средње С – Уље за ложење средње (мазут)</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0,95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40,872</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11,353</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0.9762</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0.9762</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0.28</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3,179</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Уље за ложење средње евро С</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0,95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40,872</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11,353</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0.9762</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0.9762</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0.28</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3,179</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Уље за ложење ниско сумпорно</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0,95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41,302</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11,473</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0.9865</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0.9865</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0.28</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3,212</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Нафтни кокс</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0,98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38,000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10,556</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0.9076</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0.9076</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0.35</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3,694</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Течни нафтни гас</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0,558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46,340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12,872</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1.1068</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1.1068</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0.23</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2,961</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Пропан-бутан у боци</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0,558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46,080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12,800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1.1006</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1.1006</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0.227</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2,906</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Природни гас</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m</w:t>
            </w:r>
            <w:r>
              <w:rPr>
                <w:rFonts w:ascii="Verdana"/>
                <w:b w:val="false"/>
                <w:i w:val="false"/>
                <w:color w:val="000000"/>
                <w:sz w:val="22"/>
                <w:vertAlign w:val="superscript"/>
              </w:rPr>
              <w:t>3</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0,68 kg/m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33,338</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9,261</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0.7963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0.7963</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0.20</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1,852</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Компримовани природни гас – CNG – метан</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m</w:t>
            </w:r>
            <w:r>
              <w:rPr>
                <w:rFonts w:ascii="Verdana"/>
                <w:b w:val="false"/>
                <w:i w:val="false"/>
                <w:color w:val="000000"/>
                <w:sz w:val="22"/>
                <w:vertAlign w:val="superscript"/>
              </w:rPr>
              <w:t>3</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0,68 kg/m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33,338</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9,261</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0.7963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0.7963</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0.22</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2,037</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Биогас</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m</w:t>
            </w:r>
            <w:r>
              <w:rPr>
                <w:rFonts w:ascii="Verdana"/>
                <w:b w:val="false"/>
                <w:i w:val="false"/>
                <w:color w:val="000000"/>
                <w:sz w:val="22"/>
                <w:vertAlign w:val="superscript"/>
              </w:rPr>
              <w:t>3</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1,22 kg/m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26,500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7,361</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0.6329</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0.6329</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0.20</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1,472</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Огревно дрво</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просторни m</w:t>
            </w:r>
            <w:r>
              <w:rPr>
                <w:rFonts w:ascii="Verdana"/>
                <w:b w:val="false"/>
                <w:i w:val="false"/>
                <w:color w:val="000000"/>
                <w:sz w:val="22"/>
                <w:vertAlign w:val="superscript"/>
              </w:rPr>
              <w:t>3</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0,40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6,624</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1,840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0.1582</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0.1582</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0.0098</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Дрвни пелет</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0,64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17,640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4,900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0.4213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0.4213</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0.0267</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131</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Дрвни брикет</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1,025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16,560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4,600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0.3955</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0.3955</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0.0294</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135</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Дрвна сечка</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насипни m</w:t>
            </w:r>
            <w:r>
              <w:rPr>
                <w:rFonts w:ascii="Verdana"/>
                <w:b w:val="false"/>
                <w:i w:val="false"/>
                <w:color w:val="000000"/>
                <w:sz w:val="22"/>
                <w:vertAlign w:val="superscript"/>
              </w:rPr>
              <w:t>3</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0,362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2,695</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749</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0.0644</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0.0644</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0.0212</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Дрвени угаљ</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0,60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25,900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7,194</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0.6186</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0.6186</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0.35</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2,518</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Љуска сунцокрета</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0,10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17,500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4,861</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0.4180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0.4180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0.04</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194</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Слама</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0,17 t/m</w:t>
            </w:r>
            <w:r>
              <w:rPr>
                <w:rFonts w:ascii="Verdana"/>
                <w:b w:val="false"/>
                <w:i w:val="false"/>
                <w:color w:val="000000"/>
                <w:sz w:val="22"/>
                <w:vertAlign w:val="superscript"/>
              </w:rPr>
              <w:t>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14,500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4,028</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0.3463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0.3463</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0.04</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161</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Биомаса 1</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Биомаса 2</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Остало 1</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Остало 2</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Остало 3</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0" w:type="auto"/>
            <w:gridSpan w:val="2"/>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Остало 4</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18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Топлотна енергија</w:t>
            </w:r>
          </w:p>
        </w:tc>
        <w:tc>
          <w:tcPr>
            <w:tcW w:w="18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купљена</w:t>
            </w: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Пара</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kWh</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0.1344</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0.287</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287</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Топла вода</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kWh</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0.1344</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0.287</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287</w:t>
            </w:r>
          </w:p>
        </w:tc>
      </w:tr>
      <w:tr>
        <w:trPr>
          <w:trHeight w:val="45" w:hRule="atLeast"/>
        </w:trPr>
        <w:tc>
          <w:tcPr>
            <w:tcW w:w="0" w:type="auto"/>
            <w:vMerge/>
            <w:tcBorders>
              <w:top w:val="nil"/>
              <w:left w:val="single" w:color="000000" w:sz="8"/>
              <w:bottom w:val="single" w:color="000000" w:sz="8"/>
              <w:right w:val="single" w:color="000000" w:sz="8"/>
            </w:tcBorders>
          </w:tcPr>
          <w:p/>
        </w:tc>
        <w:tc>
          <w:tcPr>
            <w:tcW w:w="18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сопствена производња</w:t>
            </w: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Соларна енергија</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kWh</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Геотермална енергија</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kWh</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Остало 1</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kWh</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Остало 2</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kWh</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18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Електрична енергија</w:t>
            </w:r>
          </w:p>
        </w:tc>
        <w:tc>
          <w:tcPr>
            <w:tcW w:w="18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купљена</w:t>
            </w: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ЕПС снабдевање</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kWh</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0.2593</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1.099</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1099</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Остали снабдевачи</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kWh</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0.2593</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1.099</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1099</w:t>
            </w:r>
          </w:p>
        </w:tc>
      </w:tr>
      <w:tr>
        <w:trPr>
          <w:trHeight w:val="45" w:hRule="atLeast"/>
        </w:trPr>
        <w:tc>
          <w:tcPr>
            <w:tcW w:w="0" w:type="auto"/>
            <w:vMerge/>
            <w:tcBorders>
              <w:top w:val="nil"/>
              <w:left w:val="single" w:color="000000" w:sz="8"/>
              <w:bottom w:val="single" w:color="000000" w:sz="8"/>
              <w:right w:val="single" w:color="000000" w:sz="8"/>
            </w:tcBorders>
          </w:tcPr>
          <w:p/>
        </w:tc>
        <w:tc>
          <w:tcPr>
            <w:tcW w:w="18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сопствена производња</w:t>
            </w: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Соларна енергија</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kWh</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Геотермална енергија</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kWh</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Енергија ветра</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kWh</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w:t>
            </w: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Остало 1</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kWh</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16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Остало 2</w:t>
            </w:r>
          </w:p>
        </w:tc>
        <w:tc>
          <w:tcPr>
            <w:tcW w:w="15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 kWh</w:t>
            </w:r>
          </w:p>
        </w:tc>
        <w:tc>
          <w:tcPr>
            <w:tcW w:w="16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3,600</w:t>
            </w:r>
          </w:p>
        </w:tc>
        <w:tc>
          <w:tcPr>
            <w:tcW w:w="12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w:t>
            </w:r>
          </w:p>
        </w:tc>
        <w:tc>
          <w:tcPr>
            <w:tcW w:w="14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0.0860</w:t>
            </w:r>
          </w:p>
        </w:tc>
        <w:tc>
          <w:tcPr>
            <w:tcW w:w="2886" w:type="dxa"/>
            <w:tcBorders>
              <w:top w:val="single" w:color="000000" w:sz="8"/>
              <w:left w:val="single" w:color="000000" w:sz="8"/>
              <w:bottom w:val="single" w:color="000000" w:sz="8"/>
              <w:right w:val="single" w:color="000000" w:sz="8"/>
            </w:tcBorders>
            <w:vAlign w:val="center"/>
          </w:tcPr>
          <w:p>
            <w:pPr>
              <w:spacing w:after="150"/>
              <w:ind w:left="0"/>
              <w:jc w:val="left"/>
            </w:pPr>
          </w:p>
        </w:tc>
        <w:tc>
          <w:tcPr>
            <w:tcW w:w="14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bl>
    <w:p>
      <w:pPr>
        <w:spacing w:after="150"/>
        <w:ind w:left="0"/>
        <w:jc w:val="left"/>
      </w:pPr>
      <w:r>
        <w:rPr>
          <w:rFonts w:ascii="Verdana"/>
          <w:b w:val="false"/>
          <w:i w:val="false"/>
          <w:color w:val="000000"/>
          <w:sz w:val="22"/>
        </w:rPr>
        <w:t>Прилог 2 Годишњи извештај по ЕЕД</w:t>
      </w:r>
    </w:p>
    <w:p>
      <w:pPr>
        <w:spacing w:after="150"/>
        <w:ind w:left="0"/>
        <w:jc w:val="left"/>
      </w:pPr>
      <w:r>
        <w:rPr>
          <w:rFonts w:ascii="Verdana"/>
          <w:b w:val="false"/>
          <w:i w:val="false"/>
          <w:color w:val="000000"/>
          <w:sz w:val="22"/>
        </w:rPr>
        <w:t>A1 Национални циљ по ЕЕД за 2020. годину</w:t>
      </w:r>
    </w:p>
    <w:p>
      <w:pPr>
        <w:spacing w:after="150"/>
        <w:ind w:left="0"/>
        <w:jc w:val="left"/>
      </w:pPr>
      <w:r>
        <w:rPr>
          <w:rFonts w:ascii="Verdana"/>
          <w:b w:val="false"/>
          <w:i w:val="false"/>
          <w:color w:val="000000"/>
          <w:sz w:val="22"/>
        </w:rPr>
        <w:t>Сходно овом циљу, и истој примењеној методологији, постављен је индикативни циљ за Републику Србију за 2020. годину који је дефинисао да потрошња примарне енергије не би требало да пређе 17,981 милиона toe примарне енергије, а потрошња финалне енергије за енергетске сврхе 13,103 милиона toe. Циљ за Републику Србију дефинисан је у ПОС.</w:t>
      </w:r>
    </w:p>
    <w:p>
      <w:pPr>
        <w:spacing w:after="150"/>
        <w:ind w:left="0"/>
        <w:jc w:val="left"/>
      </w:pPr>
      <w:r>
        <w:rPr>
          <w:rFonts w:ascii="Verdana"/>
          <w:b w:val="false"/>
          <w:i w:val="false"/>
          <w:color w:val="000000"/>
          <w:sz w:val="22"/>
        </w:rPr>
        <w:t>A.2 Кључна статистика за 2018. годину</w:t>
      </w:r>
    </w:p>
    <w:p>
      <w:pPr>
        <w:spacing w:after="150"/>
        <w:ind w:left="0"/>
        <w:jc w:val="left"/>
      </w:pPr>
      <w:r>
        <w:rPr>
          <w:rFonts w:ascii="Verdana"/>
          <w:b w:val="false"/>
          <w:i w:val="false"/>
          <w:color w:val="000000"/>
          <w:sz w:val="22"/>
        </w:rPr>
        <w:t>Табела А2. Процењене вредности кључних статистичких података који се односе на енергетску потрошњу у 2018. години</w:t>
      </w:r>
      <w:r>
        <w:rPr>
          <w:rFonts w:ascii="Verdana"/>
          <w:b w:val="false"/>
          <w:i w:val="false"/>
          <w:color w:val="000000"/>
          <w:sz w:val="22"/>
          <w:vertAlign w:val="superscript"/>
        </w:rPr>
        <w:t>8</w:t>
      </w:r>
    </w:p>
    <w:p>
      <w:pPr>
        <w:spacing w:after="150"/>
        <w:ind w:left="0"/>
        <w:jc w:val="left"/>
      </w:pPr>
      <w:r>
        <w:rPr>
          <w:rFonts w:ascii="Verdana"/>
          <w:b w:val="false"/>
          <w:i w:val="false"/>
          <w:color w:val="000000"/>
          <w:sz w:val="22"/>
        </w:rPr>
        <w:t>––––––––</w:t>
      </w:r>
    </w:p>
    <w:p>
      <w:pPr>
        <w:spacing w:after="150"/>
        <w:ind w:left="0"/>
        <w:jc w:val="left"/>
      </w:pPr>
      <w:r>
        <w:rPr>
          <w:rFonts w:ascii="Verdana"/>
          <w:b w:val="false"/>
          <w:i w:val="false"/>
          <w:color w:val="000000"/>
          <w:sz w:val="22"/>
        </w:rPr>
        <w:t>8	Више података у Енергетском билансу Републике Србије за 2020. годину и на сајту ЕУРОСТАТА и Републичког завода за статистику</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0495"/>
        <w:gridCol w:w="3905"/>
      </w:tblGrid>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Укупна потрошња примарне енергије</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15,527 Мtoe</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Укупна потрошња финалне енергије</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8,470 Мtoe</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финалне енергије – Индустрија</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2,397 Мtoe</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финалне енергије – Саобраћај</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2,138 Мtoe</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финалне енергије – Домаћинства</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2,872 Мtoe</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финалне енергије – Услуге</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0,891 Мtoe</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Бруто додата вредност – Индустрија</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9.008,5 MEUR</w:t>
            </w:r>
          </w:p>
          <w:p>
            <w:pPr>
              <w:spacing w:after="150"/>
              <w:ind w:left="0"/>
              <w:jc w:val="left"/>
            </w:pPr>
            <w:r>
              <w:rPr>
                <w:rFonts w:ascii="Verdana"/>
                <w:b w:val="false"/>
                <w:i w:val="false"/>
                <w:color w:val="000000"/>
                <w:sz w:val="22"/>
              </w:rPr>
              <w:t>589.486,9 MRSD</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Бруто додата вредност – Услуге</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1.805.238,9 MRSD</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Приход домаћинства</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59198 RSD</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Укупан број домаћинстава</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2.487.886</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Бруто домаћи производ</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3.737.370,6 MRSD</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Производња електричне енергије из термоелектрана</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2,147 Мtoe</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Производња електричне енергије из термоелектрана – топлане</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0,024 Мtoe</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Производња топлотне енергије из термоелектрана</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0,516 Мtoe</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Производња топлотне енергије из термоелектрана – топлана</w:t>
            </w:r>
          </w:p>
        </w:tc>
        <w:tc>
          <w:tcPr>
            <w:tcW w:w="3905" w:type="dxa"/>
            <w:tcBorders>
              <w:top w:val="single" w:color="000000" w:sz="8"/>
              <w:left w:val="single" w:color="000000" w:sz="8"/>
              <w:bottom w:val="single" w:color="000000" w:sz="8"/>
              <w:right w:val="single" w:color="000000" w:sz="8"/>
            </w:tcBorders>
            <w:vAlign w:val="center"/>
          </w:tcP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Утрошка за производњу трансформацијом у термоелектранама</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6,273 Мtoe</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Утрошка за производњу трансформацијом у термоелектранама – топланама</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0,092 Мtoe</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Губици</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0,554 Мtoe</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Путнички километар (pkm) за 2015. годину</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7752 мил</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Тонски километар (tkm) за 2015. годину</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8014 мил</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Total kilometres (if pkm and tkm are not available) </w:t>
            </w:r>
            <w:r>
              <w:rPr>
                <w:rFonts w:ascii="Verdana"/>
                <w:b w:val="false"/>
                <w:i w:val="false"/>
                <w:color w:val="000000"/>
                <w:sz w:val="22"/>
                <w:vertAlign w:val="superscript"/>
              </w:rPr>
              <w:t>(3)</w:t>
            </w:r>
          </w:p>
        </w:tc>
        <w:tc>
          <w:tcPr>
            <w:tcW w:w="3905" w:type="dxa"/>
            <w:tcBorders>
              <w:top w:val="single" w:color="000000" w:sz="8"/>
              <w:left w:val="single" w:color="000000" w:sz="8"/>
              <w:bottom w:val="single" w:color="000000" w:sz="8"/>
              <w:right w:val="single" w:color="000000" w:sz="8"/>
            </w:tcBorders>
            <w:vAlign w:val="center"/>
          </w:tcP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Total population</w:t>
            </w:r>
          </w:p>
        </w:tc>
        <w:tc>
          <w:tcPr>
            <w:tcW w:w="39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6.982.604</w:t>
            </w: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Генерисана топлота у ДСГ</w:t>
            </w:r>
          </w:p>
        </w:tc>
        <w:tc>
          <w:tcPr>
            <w:tcW w:w="3905" w:type="dxa"/>
            <w:tcBorders>
              <w:top w:val="single" w:color="000000" w:sz="8"/>
              <w:left w:val="single" w:color="000000" w:sz="8"/>
              <w:bottom w:val="single" w:color="000000" w:sz="8"/>
              <w:right w:val="single" w:color="000000" w:sz="8"/>
            </w:tcBorders>
            <w:vAlign w:val="center"/>
          </w:tcPr>
          <w:p/>
        </w:tc>
      </w:tr>
      <w:tr>
        <w:trPr>
          <w:trHeight w:val="45" w:hRule="atLeast"/>
        </w:trPr>
        <w:tc>
          <w:tcPr>
            <w:tcW w:w="104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Утрошка за производњу трансформацијом у топланама</w:t>
            </w:r>
          </w:p>
        </w:tc>
        <w:tc>
          <w:tcPr>
            <w:tcW w:w="3905" w:type="dxa"/>
            <w:tcBorders>
              <w:top w:val="single" w:color="000000" w:sz="8"/>
              <w:left w:val="single" w:color="000000" w:sz="8"/>
              <w:bottom w:val="single" w:color="000000" w:sz="8"/>
              <w:right w:val="single" w:color="000000" w:sz="8"/>
            </w:tcBorders>
            <w:vAlign w:val="center"/>
          </w:tcPr>
          <w:p/>
        </w:tc>
      </w:tr>
    </w:tbl>
    <w:p>
      <w:pPr>
        <w:spacing w:after="150"/>
        <w:ind w:left="0"/>
        <w:jc w:val="left"/>
      </w:pPr>
      <w:r>
        <w:rPr>
          <w:rFonts w:ascii="Verdana"/>
          <w:b w:val="false"/>
          <w:i w:val="false"/>
          <w:color w:val="000000"/>
          <w:sz w:val="22"/>
        </w:rPr>
        <w:t xml:space="preserve">A.3 </w:t>
      </w:r>
      <w:r>
        <w:rPr>
          <w:rFonts w:ascii="Verdana"/>
          <w:b w:val="false"/>
          <w:i w:val="false"/>
          <w:color w:val="000000"/>
          <w:sz w:val="22"/>
        </w:rPr>
        <w:t>Анализа тренда потрошње енергије</w:t>
      </w:r>
    </w:p>
    <w:bookmarkStart w:name="_idContainer057" w:id="0"/>
    <w:p>
      <w:r>
        <w:drawing>
          <wp:inline distT="0" distB="0" distL="0" distR="0">
            <wp:extent cx="5732145" cy="187146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5732145" cy="1871468"/>
                    </a:xfrm>
                    <a:prstGeom prst="rect">
                      <a:avLst/>
                    </a:prstGeom>
                  </pic:spPr>
                </pic:pic>
              </a:graphicData>
            </a:graphic>
          </wp:inline>
        </w:drawing>
      </w:r>
    </w:p>
    <w:bookmarkEnd w:id="0"/>
    <w:p>
      <w:pPr>
        <w:spacing w:after="150"/>
        <w:ind w:left="0"/>
        <w:jc w:val="left"/>
      </w:pPr>
      <w:r>
        <w:rPr>
          <w:rFonts w:ascii="Verdana"/>
          <w:b w:val="false"/>
          <w:i w:val="false"/>
          <w:color w:val="000000"/>
          <w:sz w:val="22"/>
        </w:rPr>
        <w:t>Слика 1. Финална и примарна потрошња енергије (лево) и финална потрошња енергије по секторима (десно) за период 2016. до 2018.</w:t>
      </w:r>
    </w:p>
    <w:p>
      <w:pPr>
        <w:spacing w:after="150"/>
        <w:ind w:left="0"/>
        <w:jc w:val="left"/>
      </w:pPr>
      <w:r>
        <w:rPr>
          <w:rFonts w:ascii="Verdana"/>
          <w:b w:val="false"/>
          <w:i w:val="false"/>
          <w:color w:val="000000"/>
          <w:sz w:val="22"/>
        </w:rPr>
        <w:t>Финална потрошња енергије (TFC) смањила се за 2% у периоду 2010-2018. Тачније, TFC је смањен у периоду 2012–2014, док је у периоду 2015–2018. дошло до одређеног повећања након раста економских активности. Потрошња примарне енергије (TPES) смањена је за око 13% у периоду од 2010–2014, док је у периоду од 2014–2018. дошло до повећања резултирајући растом од 15%.</w:t>
      </w:r>
    </w:p>
    <w:p>
      <w:pPr>
        <w:spacing w:after="150"/>
        <w:ind w:left="0"/>
        <w:jc w:val="left"/>
      </w:pPr>
      <w:r>
        <w:rPr>
          <w:rFonts w:ascii="Verdana"/>
          <w:b w:val="false"/>
          <w:i w:val="false"/>
          <w:color w:val="000000"/>
          <w:sz w:val="22"/>
        </w:rPr>
        <w:t>A.4 Главне мере донете у 2019. години</w:t>
      </w:r>
    </w:p>
    <w:p>
      <w:pPr>
        <w:spacing w:after="150"/>
        <w:ind w:left="0"/>
        <w:jc w:val="left"/>
      </w:pPr>
      <w:r>
        <w:rPr>
          <w:rFonts w:ascii="Verdana"/>
          <w:b w:val="false"/>
          <w:i w:val="false"/>
          <w:color w:val="000000"/>
          <w:sz w:val="22"/>
        </w:rPr>
        <w:t>Регулаторне мере</w:t>
      </w:r>
    </w:p>
    <w:p>
      <w:pPr>
        <w:spacing w:after="150"/>
        <w:ind w:left="0"/>
        <w:jc w:val="left"/>
      </w:pPr>
      <w:r>
        <w:rPr>
          <w:rFonts w:ascii="Verdana"/>
          <w:b w:val="false"/>
          <w:i w:val="false"/>
          <w:color w:val="000000"/>
          <w:sz w:val="22"/>
        </w:rPr>
        <w:t>У наставку су наведени подзаконски акти овог министарства који су донети током 2019. године:</w:t>
      </w:r>
    </w:p>
    <w:p>
      <w:pPr>
        <w:spacing w:after="150"/>
        <w:ind w:left="0"/>
        <w:jc w:val="left"/>
      </w:pPr>
      <w:r>
        <w:rPr>
          <w:rFonts w:ascii="Verdana"/>
          <w:b w:val="false"/>
          <w:i w:val="false"/>
          <w:color w:val="000000"/>
          <w:sz w:val="22"/>
        </w:rPr>
        <w:t>– Уредба о утврђивању програма финансирања активности и мера унапређења ефикасног коришћења енергије у 2019. години („Службени гласник РС”, број 4/19),</w:t>
      </w:r>
    </w:p>
    <w:p>
      <w:pPr>
        <w:spacing w:after="150"/>
        <w:ind w:left="0"/>
        <w:jc w:val="left"/>
      </w:pPr>
      <w:r>
        <w:rPr>
          <w:rFonts w:ascii="Verdana"/>
          <w:b w:val="false"/>
          <w:i w:val="false"/>
          <w:color w:val="000000"/>
          <w:sz w:val="22"/>
        </w:rPr>
        <w:t>– Правилник о условима за расподелу и коришћење средстава Буџетског фонда за унапређење енергетске ефикасности Републике Србије и критеријумима за изузимање од обавезе вршења енергетског прегледа („Службени гласник РС”, број 12/19),</w:t>
      </w:r>
    </w:p>
    <w:p>
      <w:pPr>
        <w:spacing w:after="150"/>
        <w:ind w:left="0"/>
        <w:jc w:val="left"/>
      </w:pPr>
      <w:r>
        <w:rPr>
          <w:rFonts w:ascii="Verdana"/>
          <w:b w:val="false"/>
          <w:i w:val="false"/>
          <w:color w:val="000000"/>
          <w:sz w:val="22"/>
        </w:rPr>
        <w:t>– Правилник о престанку важења Правилника о означавању енергетске ефикасности усисивача („Службени гласник РС”, број 20/19),</w:t>
      </w:r>
    </w:p>
    <w:p>
      <w:pPr>
        <w:spacing w:after="150"/>
        <w:ind w:left="0"/>
        <w:jc w:val="left"/>
      </w:pPr>
      <w:r>
        <w:rPr>
          <w:rFonts w:ascii="Verdana"/>
          <w:b w:val="false"/>
          <w:i w:val="false"/>
          <w:color w:val="000000"/>
          <w:sz w:val="22"/>
        </w:rPr>
        <w:t>– Правилник о обрасцу пријаве за евиденцију обвезника накнаде за унапређење енергетске ефикасности, обрасцу месечног и годишњег обрачуна количина енергије/енергената испоручених потрошачима или стављених у промет на територији Републике Србије, односно увезених на територију Републике Србија, обрасцу месечног и годишњег обрачуна обавезе плаћања накнаде, обрасцу извештаја о уплати, као и начину достављања ових образаца („Службени гласник РС”, број 41/19),</w:t>
      </w:r>
    </w:p>
    <w:p>
      <w:pPr>
        <w:spacing w:after="150"/>
        <w:ind w:left="0"/>
        <w:jc w:val="left"/>
      </w:pPr>
      <w:r>
        <w:rPr>
          <w:rFonts w:ascii="Verdana"/>
          <w:b w:val="false"/>
          <w:i w:val="false"/>
          <w:color w:val="000000"/>
          <w:sz w:val="22"/>
        </w:rPr>
        <w:t>– Решење којим се овлашћује Машински факултет Универзитета у Београду за обављање послова обуке енергетских менаџера и овлашћених енергетских саветника („Службени гласник РС”, број 84/19).</w:t>
      </w:r>
    </w:p>
    <w:p>
      <w:pPr>
        <w:spacing w:after="150"/>
        <w:ind w:left="0"/>
        <w:jc w:val="left"/>
      </w:pPr>
      <w:r>
        <w:rPr>
          <w:rFonts w:ascii="Verdana"/>
          <w:b w:val="false"/>
          <w:i w:val="false"/>
          <w:color w:val="000000"/>
          <w:sz w:val="22"/>
        </w:rPr>
        <w:t>Нерегулаторне мере</w:t>
      </w:r>
    </w:p>
    <w:p>
      <w:pPr>
        <w:spacing w:after="150"/>
        <w:ind w:left="0"/>
        <w:jc w:val="left"/>
      </w:pPr>
      <w:r>
        <w:rPr>
          <w:rFonts w:ascii="Verdana"/>
          <w:b w:val="false"/>
          <w:i w:val="false"/>
          <w:color w:val="000000"/>
          <w:sz w:val="22"/>
        </w:rPr>
        <w:t>– Буџетски фонд, односно Управа за финансирање и подстицање енергетске ефикасности</w:t>
      </w:r>
    </w:p>
    <w:p>
      <w:pPr>
        <w:spacing w:after="150"/>
        <w:ind w:left="0"/>
        <w:jc w:val="left"/>
      </w:pPr>
      <w:r>
        <w:rPr>
          <w:rFonts w:ascii="Verdana"/>
          <w:b w:val="false"/>
          <w:i w:val="false"/>
          <w:color w:val="000000"/>
          <w:sz w:val="22"/>
        </w:rPr>
        <w:t>Поглавље 3.3.5.</w:t>
      </w:r>
    </w:p>
    <w:p>
      <w:pPr>
        <w:spacing w:after="150"/>
        <w:ind w:left="0"/>
        <w:jc w:val="left"/>
      </w:pPr>
      <w:r>
        <w:rPr>
          <w:rFonts w:ascii="Verdana"/>
          <w:b w:val="false"/>
          <w:i w:val="false"/>
          <w:color w:val="000000"/>
          <w:sz w:val="22"/>
        </w:rPr>
        <w:t>– Систем енергетског менаџмента</w:t>
      </w:r>
    </w:p>
    <w:p>
      <w:pPr>
        <w:spacing w:after="150"/>
        <w:ind w:left="0"/>
        <w:jc w:val="left"/>
      </w:pPr>
      <w:r>
        <w:rPr>
          <w:rFonts w:ascii="Verdana"/>
          <w:b w:val="false"/>
          <w:i w:val="false"/>
          <w:color w:val="000000"/>
          <w:sz w:val="22"/>
        </w:rPr>
        <w:t>Поглавље 3.1.2.</w:t>
      </w:r>
    </w:p>
    <w:p>
      <w:pPr>
        <w:spacing w:after="150"/>
        <w:ind w:left="0"/>
        <w:jc w:val="left"/>
      </w:pPr>
      <w:r>
        <w:rPr>
          <w:rFonts w:ascii="Verdana"/>
          <w:b w:val="false"/>
          <w:i w:val="false"/>
          <w:color w:val="000000"/>
          <w:sz w:val="22"/>
        </w:rPr>
        <w:t>– Инвестициони пројекти</w:t>
      </w:r>
    </w:p>
    <w:p>
      <w:pPr>
        <w:spacing w:after="150"/>
        <w:ind w:left="0"/>
        <w:jc w:val="left"/>
      </w:pPr>
      <w:r>
        <w:rPr>
          <w:rFonts w:ascii="Verdana"/>
          <w:b w:val="false"/>
          <w:i w:val="false"/>
          <w:color w:val="000000"/>
          <w:sz w:val="22"/>
        </w:rPr>
        <w:t xml:space="preserve">Пројекат Енергетска ефикасност у јавним зградама и обновљиви извори енергије у сектору даљинског грејања („Озелењавање јавног сектора”) ВМА </w:t>
      </w:r>
      <w:r>
        <w:rPr>
          <w:rFonts w:ascii="Verdana"/>
          <w:b w:val="false"/>
          <w:i/>
          <w:color w:val="000000"/>
          <w:sz w:val="22"/>
        </w:rPr>
        <w:t>(KfW)</w:t>
      </w:r>
      <w:r>
        <w:rPr>
          <w:rFonts w:ascii="Verdana"/>
          <w:b w:val="false"/>
          <w:i w:val="false"/>
          <w:color w:val="000000"/>
          <w:sz w:val="22"/>
        </w:rPr>
        <w:t xml:space="preserve"> </w:t>
      </w:r>
      <w:r>
        <w:rPr>
          <w:rFonts w:ascii="Verdana"/>
          <w:b w:val="false"/>
          <w:i w:val="false"/>
          <w:color w:val="000000"/>
          <w:sz w:val="22"/>
        </w:rPr>
        <w:t>(Поглавље 3.3.2),</w:t>
      </w:r>
    </w:p>
    <w:p>
      <w:pPr>
        <w:spacing w:after="150"/>
        <w:ind w:left="0"/>
        <w:jc w:val="left"/>
      </w:pPr>
      <w:r>
        <w:rPr>
          <w:rFonts w:ascii="Verdana"/>
          <w:b w:val="false"/>
          <w:i w:val="false"/>
          <w:color w:val="000000"/>
          <w:sz w:val="22"/>
        </w:rPr>
        <w:t xml:space="preserve">Програм „Рехабилитација система даљинског грејања у Србији” – фаза V (KfW) </w:t>
      </w:r>
      <w:r>
        <w:rPr>
          <w:rFonts w:ascii="Verdana"/>
          <w:b/>
          <w:i w:val="false"/>
          <w:color w:val="000000"/>
          <w:sz w:val="22"/>
        </w:rPr>
        <w:t>(</w:t>
      </w:r>
      <w:r>
        <w:rPr>
          <w:rFonts w:ascii="Verdana"/>
          <w:b w:val="false"/>
          <w:i w:val="false"/>
          <w:color w:val="000000"/>
          <w:sz w:val="22"/>
        </w:rPr>
        <w:t>Поглавље 3.6.4),</w:t>
      </w:r>
    </w:p>
    <w:p>
      <w:pPr>
        <w:spacing w:after="150"/>
        <w:ind w:left="0"/>
        <w:jc w:val="left"/>
      </w:pPr>
      <w:r>
        <w:rPr>
          <w:rFonts w:ascii="Verdana"/>
          <w:b w:val="false"/>
          <w:i w:val="false"/>
          <w:color w:val="000000"/>
          <w:sz w:val="22"/>
        </w:rPr>
        <w:t xml:space="preserve">Пројекат „Енергетска ефикасност у зградама централне власти” </w:t>
      </w:r>
      <w:r>
        <w:rPr>
          <w:rFonts w:ascii="Verdana"/>
          <w:b w:val="false"/>
          <w:i/>
          <w:color w:val="000000"/>
          <w:sz w:val="22"/>
        </w:rPr>
        <w:t>–</w:t>
      </w:r>
      <w:r>
        <w:rPr>
          <w:rFonts w:ascii="Verdana"/>
          <w:b w:val="false"/>
          <w:i w:val="false"/>
          <w:color w:val="000000"/>
          <w:sz w:val="22"/>
        </w:rPr>
        <w:t xml:space="preserve"> (CEB) (Поглавље 3.3.1),</w:t>
      </w:r>
    </w:p>
    <w:p>
      <w:pPr>
        <w:spacing w:after="150"/>
        <w:ind w:left="0"/>
        <w:jc w:val="left"/>
      </w:pPr>
      <w:r>
        <w:rPr>
          <w:rFonts w:ascii="Verdana"/>
          <w:b w:val="false"/>
          <w:i w:val="false"/>
          <w:color w:val="000000"/>
          <w:sz w:val="22"/>
        </w:rPr>
        <w:t xml:space="preserve">„Пројекат енергетске ефикасности и управљања енергијом у општинама (ПЕЕУЕО) у Србији” </w:t>
      </w:r>
      <w:r>
        <w:rPr>
          <w:rFonts w:ascii="Verdana"/>
          <w:b w:val="false"/>
          <w:i/>
          <w:color w:val="000000"/>
          <w:sz w:val="22"/>
        </w:rPr>
        <w:t>SECO</w:t>
      </w:r>
      <w:r>
        <w:rPr>
          <w:rFonts w:ascii="Verdana"/>
          <w:b w:val="false"/>
          <w:i w:val="false"/>
          <w:color w:val="000000"/>
          <w:sz w:val="22"/>
        </w:rPr>
        <w:t xml:space="preserve"> (Поглавље 3.3.2).</w:t>
      </w:r>
    </w:p>
    <w:p>
      <w:pPr>
        <w:spacing w:after="150"/>
        <w:ind w:left="0"/>
        <w:jc w:val="left"/>
      </w:pPr>
      <w:r>
        <w:rPr>
          <w:rFonts w:ascii="Verdana"/>
          <w:b w:val="false"/>
          <w:i w:val="false"/>
          <w:color w:val="000000"/>
          <w:sz w:val="22"/>
        </w:rPr>
        <w:t>A.5 Зграде централне власти</w:t>
      </w:r>
    </w:p>
    <w:p>
      <w:pPr>
        <w:spacing w:after="150"/>
        <w:ind w:left="0"/>
        <w:jc w:val="left"/>
      </w:pPr>
      <w:r>
        <w:rPr>
          <w:rFonts w:ascii="Verdana"/>
          <w:b w:val="false"/>
          <w:i w:val="false"/>
          <w:color w:val="000000"/>
          <w:sz w:val="22"/>
        </w:rPr>
        <w:t>Списак зграда централне власти који је сачињен обухвата 56 зграда чија је површина процењена на основу доступних података и износи око 405.000 m</w:t>
      </w:r>
      <w:r>
        <w:rPr>
          <w:rFonts w:ascii="Verdana"/>
          <w:b w:val="false"/>
          <w:i w:val="false"/>
          <w:color w:val="000000"/>
          <w:sz w:val="22"/>
          <w:vertAlign w:val="superscript"/>
        </w:rPr>
        <w:t>2</w:t>
      </w:r>
      <w:r>
        <w:rPr>
          <w:rFonts w:ascii="Verdana"/>
          <w:b w:val="false"/>
          <w:i w:val="false"/>
          <w:color w:val="000000"/>
          <w:sz w:val="22"/>
        </w:rPr>
        <w:t>. Списак је утврдила Влада Републике Србије у форми Закључка од 9. августа 2018. године.</w:t>
      </w:r>
    </w:p>
    <w:p>
      <w:pPr>
        <w:spacing w:after="150"/>
        <w:ind w:left="0"/>
        <w:jc w:val="left"/>
      </w:pPr>
      <w:r>
        <w:rPr>
          <w:rFonts w:ascii="Verdana"/>
          <w:b w:val="false"/>
          <w:i w:val="false"/>
          <w:color w:val="000000"/>
          <w:sz w:val="22"/>
        </w:rPr>
        <w:t xml:space="preserve">Унапређење енергетске ефикасности у овим зградама реализује се у оквиру Пројекта </w:t>
      </w:r>
      <w:r>
        <w:rPr>
          <w:rFonts w:ascii="Verdana"/>
          <w:b w:val="false"/>
          <w:i w:val="false"/>
          <w:color w:val="000000"/>
          <w:sz w:val="22"/>
        </w:rPr>
        <w:t>„Енергетска ефикасност у зградама централне власти” – (CEB) (Поглавље 3.3.1).</w:t>
      </w:r>
    </w:p>
    <w:p>
      <w:pPr>
        <w:spacing w:after="150"/>
        <w:ind w:left="0"/>
        <w:jc w:val="left"/>
      </w:pPr>
      <w:r>
        <w:rPr>
          <w:rFonts w:ascii="Verdana"/>
          <w:b w:val="false"/>
          <w:i w:val="false"/>
          <w:color w:val="000000"/>
          <w:sz w:val="22"/>
        </w:rPr>
        <w:t>A.6 Обавезујућа шема енергетске ефикасности</w:t>
      </w:r>
    </w:p>
    <w:p>
      <w:pPr>
        <w:spacing w:after="150"/>
        <w:ind w:left="0"/>
        <w:jc w:val="left"/>
      </w:pPr>
      <w:r>
        <w:rPr>
          <w:rFonts w:ascii="Verdana"/>
          <w:b w:val="false"/>
          <w:i w:val="false"/>
          <w:color w:val="000000"/>
          <w:sz w:val="22"/>
        </w:rPr>
        <w:t>Обавеза по члану 7 ЕЕД је детаљно образложена у Обавештењу о примени члана 7 и у поглављу 3.1.1. као и остварене уштеде у периоду од 2017. до 2019. године по мерама, а за које су постојали подаци.</w:t>
      </w:r>
    </w:p>
    <w:p>
      <w:pPr>
        <w:spacing w:after="150"/>
        <w:ind w:left="0"/>
        <w:jc w:val="left"/>
      </w:pPr>
      <w:r>
        <w:rPr>
          <w:rFonts w:ascii="Verdana"/>
          <w:b w:val="false"/>
          <w:i w:val="false"/>
          <w:color w:val="000000"/>
          <w:sz w:val="22"/>
        </w:rPr>
        <w:t>ПРИЛОГ 3 ПЛАН РЕНОВИРАЊА ЗГРАДА</w:t>
      </w:r>
    </w:p>
    <w:p>
      <w:pPr>
        <w:spacing w:after="150"/>
        <w:ind w:left="0"/>
        <w:jc w:val="left"/>
      </w:pPr>
      <w:r>
        <w:rPr>
          <w:rFonts w:ascii="Verdana"/>
          <w:b w:val="false"/>
          <w:i w:val="false"/>
          <w:color w:val="000000"/>
          <w:sz w:val="22"/>
        </w:rPr>
        <w:t>План ће бити дат у оквиру документа „Дугорочне стратегије за подстицање улагања у обнову националног фонда зграда” који је у статусу израде.</w:t>
      </w:r>
    </w:p>
    <w:p>
      <w:pPr>
        <w:spacing w:after="150"/>
        <w:ind w:left="0"/>
        <w:jc w:val="left"/>
      </w:pPr>
      <w:r>
        <w:rPr>
          <w:rFonts w:ascii="Verdana"/>
          <w:b w:val="false"/>
          <w:i w:val="false"/>
          <w:color w:val="000000"/>
          <w:sz w:val="22"/>
        </w:rPr>
        <w:t>ПРИЛОГ 4 ЛИСТА МЕРА ЕЕ ЧИЈА СЕ ИМПЛЕМЕНТАЦИЈА НАСТАВЉА ДО 2021. ГОДИНЕ</w:t>
      </w:r>
    </w:p>
    <w:p>
      <w:pPr>
        <w:spacing w:after="120"/>
        <w:ind w:left="0"/>
        <w:jc w:val="center"/>
      </w:pPr>
      <w:r>
        <w:rPr>
          <w:rFonts w:ascii="Verdana"/>
          <w:b w:val="false"/>
          <w:i w:val="false"/>
          <w:color w:val="000000"/>
          <w:sz w:val="22"/>
        </w:rPr>
        <w:t>СЕКТОР ДОМАЋИНСТВА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687"/>
        <w:gridCol w:w="9713"/>
      </w:tblGrid>
      <w:tr>
        <w:trPr>
          <w:trHeight w:val="45" w:hRule="atLeast"/>
        </w:trPr>
        <w:tc>
          <w:tcPr>
            <w:tcW w:w="46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9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Мере енергетске ефикасности у стамбеним зградама</w:t>
            </w:r>
          </w:p>
        </w:tc>
      </w:tr>
      <w:tr>
        <w:trPr>
          <w:trHeight w:val="45" w:hRule="atLeast"/>
        </w:trPr>
        <w:tc>
          <w:tcPr>
            <w:tcW w:w="46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9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Д1</w:t>
            </w:r>
          </w:p>
        </w:tc>
      </w:tr>
      <w:tr>
        <w:trPr>
          <w:trHeight w:val="45" w:hRule="atLeast"/>
        </w:trPr>
        <w:tc>
          <w:tcPr>
            <w:tcW w:w="46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9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Информације и обавезне информационе мере (2.4. енергетски прегледи)</w:t>
            </w:r>
          </w:p>
          <w:p>
            <w:pPr>
              <w:spacing w:after="150"/>
              <w:ind w:left="0"/>
              <w:jc w:val="left"/>
            </w:pPr>
            <w:r>
              <w:rPr>
                <w:rFonts w:ascii="Verdana"/>
                <w:b w:val="false"/>
                <w:i w:val="false"/>
                <w:color w:val="000000"/>
                <w:sz w:val="22"/>
              </w:rPr>
              <w:t>3. Финансијски инструменти (кредитне линије, субвенције, зајмови),</w:t>
            </w:r>
          </w:p>
        </w:tc>
      </w:tr>
      <w:tr>
        <w:trPr>
          <w:trHeight w:val="45" w:hRule="atLeast"/>
        </w:trPr>
        <w:tc>
          <w:tcPr>
            <w:tcW w:w="46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9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2010, продужена до 2021. године</w:t>
            </w:r>
          </w:p>
          <w:p>
            <w:pPr>
              <w:spacing w:after="150"/>
              <w:ind w:left="0"/>
              <w:jc w:val="left"/>
            </w:pPr>
            <w:r>
              <w:rPr>
                <w:rFonts w:ascii="Verdana"/>
                <w:b w:val="false"/>
                <w:i w:val="false"/>
                <w:color w:val="000000"/>
                <w:sz w:val="22"/>
              </w:rPr>
              <w:t>Раних мера није било</w:t>
            </w:r>
          </w:p>
        </w:tc>
      </w:tr>
      <w:tr>
        <w:trPr>
          <w:trHeight w:val="45" w:hRule="atLeast"/>
        </w:trPr>
        <w:tc>
          <w:tcPr>
            <w:tcW w:w="46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9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зграда: смањење потребне енергије за грејања и хлађења применом мера на термичком омотачу зграде и унапређењем термотехничког система зграде</w:t>
            </w:r>
          </w:p>
        </w:tc>
      </w:tr>
      <w:tr>
        <w:trPr>
          <w:trHeight w:val="45" w:hRule="atLeast"/>
        </w:trPr>
        <w:tc>
          <w:tcPr>
            <w:tcW w:w="46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9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Постојеће зграде (термички омотач зграде, термотехнички системи у зградама)</w:t>
            </w:r>
          </w:p>
        </w:tc>
      </w:tr>
      <w:tr>
        <w:trPr>
          <w:trHeight w:val="45" w:hRule="atLeast"/>
        </w:trPr>
        <w:tc>
          <w:tcPr>
            <w:tcW w:w="46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9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домаћинства – стамбене зграде</w:t>
            </w:r>
          </w:p>
        </w:tc>
      </w:tr>
      <w:tr>
        <w:trPr>
          <w:trHeight w:val="45" w:hRule="atLeast"/>
        </w:trPr>
        <w:tc>
          <w:tcPr>
            <w:tcW w:w="46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9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регионална,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46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9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 ће се постићи смањењем потребне енергија за грејања и хлађења кроз активности:</w:t>
            </w:r>
          </w:p>
          <w:p>
            <w:pPr>
              <w:spacing w:after="150"/>
              <w:ind w:left="0"/>
              <w:jc w:val="left"/>
            </w:pPr>
            <w:r>
              <w:rPr>
                <w:rFonts w:ascii="Verdana"/>
                <w:b w:val="false"/>
                <w:i w:val="false"/>
                <w:color w:val="000000"/>
                <w:sz w:val="22"/>
              </w:rPr>
              <w:t>• Заменом спољних прозора и врата;</w:t>
            </w:r>
          </w:p>
          <w:p>
            <w:pPr>
              <w:spacing w:after="150"/>
              <w:ind w:left="0"/>
              <w:jc w:val="left"/>
            </w:pPr>
            <w:r>
              <w:rPr>
                <w:rFonts w:ascii="Verdana"/>
                <w:b w:val="false"/>
                <w:i w:val="false"/>
                <w:color w:val="000000"/>
                <w:sz w:val="22"/>
              </w:rPr>
              <w:t>• Унапређењем осталих елемената термичког омотача зграде (додавање топлотне изолације)</w:t>
            </w:r>
          </w:p>
          <w:p>
            <w:pPr>
              <w:spacing w:after="150"/>
              <w:ind w:left="0"/>
              <w:jc w:val="left"/>
            </w:pPr>
            <w:r>
              <w:rPr>
                <w:rFonts w:ascii="Verdana"/>
                <w:b w:val="false"/>
                <w:i w:val="false"/>
                <w:color w:val="000000"/>
                <w:sz w:val="22"/>
              </w:rPr>
              <w:t>• Смањењем потрошње енергије у термотехничком систему зграде коришћењем:</w:t>
            </w:r>
          </w:p>
          <w:p>
            <w:pPr>
              <w:spacing w:after="150"/>
              <w:ind w:left="0"/>
              <w:jc w:val="left"/>
            </w:pPr>
            <w:r>
              <w:rPr>
                <w:rFonts w:ascii="Verdana"/>
                <w:b w:val="false"/>
                <w:i w:val="false"/>
                <w:color w:val="000000"/>
                <w:sz w:val="22"/>
              </w:rPr>
              <w:t>⸰ Опреме за КГХ више класе енергетске ефикасности са електронском контролом рада;</w:t>
            </w:r>
          </w:p>
          <w:p>
            <w:pPr>
              <w:spacing w:after="150"/>
              <w:ind w:left="0"/>
              <w:jc w:val="left"/>
            </w:pPr>
            <w:r>
              <w:rPr>
                <w:rFonts w:ascii="Verdana"/>
                <w:b w:val="false"/>
                <w:i w:val="false"/>
                <w:color w:val="000000"/>
                <w:sz w:val="22"/>
              </w:rPr>
              <w:t>⸰ Котлова за сагоревање биомасе високог степена корисности;</w:t>
            </w:r>
          </w:p>
          <w:p>
            <w:pPr>
              <w:spacing w:after="150"/>
              <w:ind w:left="0"/>
              <w:jc w:val="left"/>
            </w:pPr>
            <w:r>
              <w:rPr>
                <w:rFonts w:ascii="Verdana"/>
                <w:b w:val="false"/>
                <w:i w:val="false"/>
                <w:color w:val="000000"/>
                <w:sz w:val="22"/>
              </w:rPr>
              <w:t>⸰ Соларних колектора;</w:t>
            </w:r>
          </w:p>
          <w:p>
            <w:pPr>
              <w:spacing w:after="150"/>
              <w:ind w:left="0"/>
              <w:jc w:val="left"/>
            </w:pPr>
            <w:r>
              <w:rPr>
                <w:rFonts w:ascii="Verdana"/>
                <w:b w:val="false"/>
                <w:i w:val="false"/>
                <w:color w:val="000000"/>
                <w:sz w:val="22"/>
              </w:rPr>
              <w:t>⸰ Топлотних пумпи;</w:t>
            </w:r>
          </w:p>
          <w:p>
            <w:pPr>
              <w:spacing w:after="150"/>
              <w:ind w:left="0"/>
              <w:jc w:val="left"/>
            </w:pPr>
            <w:r>
              <w:rPr>
                <w:rFonts w:ascii="Verdana"/>
                <w:b w:val="false"/>
                <w:i w:val="false"/>
                <w:color w:val="000000"/>
                <w:sz w:val="22"/>
              </w:rPr>
              <w:t>Имплементацију ће водити МРЕ, путем јавних кампања и промоција.</w:t>
            </w:r>
          </w:p>
          <w:p>
            <w:pPr>
              <w:spacing w:after="150"/>
              <w:ind w:left="0"/>
              <w:jc w:val="left"/>
            </w:pPr>
            <w:r>
              <w:rPr>
                <w:rFonts w:ascii="Verdana"/>
                <w:b w:val="false"/>
                <w:i w:val="false"/>
                <w:color w:val="000000"/>
                <w:sz w:val="22"/>
              </w:rPr>
              <w:t>Основ за спровођење су: Закон о планирању и изградњи, Закон о енергетици, ЗЕЕРУЕ, Правилник о енергетској ефикасности зграда, Правилник о условима, садржини и начину издавања сертификата о енергетским својствима зграда и одговарајући подзаконски акти.</w:t>
            </w:r>
          </w:p>
        </w:tc>
      </w:tr>
      <w:tr>
        <w:trPr>
          <w:trHeight w:val="45" w:hRule="atLeast"/>
        </w:trPr>
        <w:tc>
          <w:tcPr>
            <w:tcW w:w="46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9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Управа за финансирање и подстицање енергетске ефикасности/или други механизам финансирања енергетску ефикасност РС, од које се очекује да обезбеди средства за субвенционирање камата или средства за гаранције или неку другу врсту субвенција која ће омогућити да средства буду доступна под повољнијим условима у складу са годишњим програмом финансирања.</w:t>
            </w:r>
          </w:p>
          <w:p>
            <w:pPr>
              <w:spacing w:after="150"/>
              <w:ind w:left="0"/>
              <w:jc w:val="left"/>
            </w:pPr>
            <w:r>
              <w:rPr>
                <w:rFonts w:ascii="Verdana"/>
                <w:b w:val="false"/>
                <w:i w:val="false"/>
                <w:color w:val="000000"/>
                <w:sz w:val="22"/>
              </w:rPr>
              <w:t>У оквиру послова којима се бави Управа спроводиће се активности у Сектору домаћинства у погледу енергетске санације стамбених зграда и кућа</w:t>
            </w:r>
            <w:r>
              <w:br/>
            </w:r>
            <w:r>
              <w:rPr>
                <w:rFonts w:ascii="Verdana"/>
                <w:b w:val="false"/>
                <w:i w:val="false"/>
                <w:color w:val="000000"/>
                <w:sz w:val="22"/>
              </w:rPr>
              <w:t>– Управа може давати потицаје за израду енергетских прегледа за веће објекте.</w:t>
            </w:r>
          </w:p>
          <w:p>
            <w:pPr>
              <w:spacing w:after="150"/>
              <w:ind w:left="0"/>
              <w:jc w:val="left"/>
            </w:pPr>
            <w:r>
              <w:rPr>
                <w:rFonts w:ascii="Verdana"/>
                <w:b w:val="false"/>
                <w:i w:val="false"/>
                <w:color w:val="000000"/>
                <w:sz w:val="22"/>
              </w:rPr>
              <w:t>– Кредитне линије са повољним условима отплате уз подршку МФИ (KfW, WB, EBRD итд.)</w:t>
            </w:r>
          </w:p>
          <w:p>
            <w:pPr>
              <w:spacing w:after="150"/>
              <w:ind w:left="0"/>
              <w:jc w:val="left"/>
            </w:pPr>
            <w:r>
              <w:rPr>
                <w:rFonts w:ascii="Verdana"/>
                <w:b w:val="false"/>
                <w:i w:val="false"/>
                <w:color w:val="000000"/>
                <w:sz w:val="22"/>
              </w:rPr>
              <w:t>– Комерцијалне банке (наменски кредити са повољним условима отплате).</w:t>
            </w:r>
          </w:p>
          <w:p>
            <w:pPr>
              <w:spacing w:after="150"/>
              <w:ind w:left="0"/>
              <w:jc w:val="left"/>
            </w:pPr>
            <w:r>
              <w:rPr>
                <w:rFonts w:ascii="Verdana"/>
                <w:b w:val="false"/>
                <w:i w:val="false"/>
                <w:color w:val="000000"/>
                <w:sz w:val="22"/>
              </w:rPr>
              <w:t>– Буџет АП Војводина</w:t>
            </w:r>
          </w:p>
          <w:p>
            <w:pPr>
              <w:spacing w:after="150"/>
              <w:ind w:left="0"/>
              <w:jc w:val="left"/>
            </w:pPr>
            <w:r>
              <w:rPr>
                <w:rFonts w:ascii="Verdana"/>
                <w:b w:val="false"/>
                <w:i w:val="false"/>
                <w:color w:val="000000"/>
                <w:sz w:val="22"/>
              </w:rPr>
              <w:t>– Буџет ЈЛС</w:t>
            </w:r>
          </w:p>
          <w:p>
            <w:pPr>
              <w:spacing w:after="150"/>
              <w:ind w:left="0"/>
              <w:jc w:val="left"/>
            </w:pPr>
            <w:r>
              <w:rPr>
                <w:rFonts w:ascii="Verdana"/>
                <w:b w:val="false"/>
                <w:i w:val="false"/>
                <w:color w:val="000000"/>
                <w:sz w:val="22"/>
              </w:rPr>
              <w:t>– Буџет инвеститора који улажу у реконструкцију зграде.</w:t>
            </w:r>
          </w:p>
          <w:p>
            <w:pPr>
              <w:spacing w:after="150"/>
              <w:ind w:left="0"/>
              <w:jc w:val="left"/>
            </w:pPr>
            <w:r>
              <w:rPr>
                <w:rFonts w:ascii="Verdana"/>
                <w:b w:val="false"/>
                <w:i w:val="false"/>
                <w:color w:val="000000"/>
                <w:sz w:val="22"/>
              </w:rPr>
              <w:t>– Билатералне донације и средства намењена за борбу против климатских промена.</w:t>
            </w:r>
          </w:p>
        </w:tc>
      </w:tr>
      <w:tr>
        <w:trPr>
          <w:trHeight w:val="45" w:hRule="atLeast"/>
        </w:trPr>
        <w:tc>
          <w:tcPr>
            <w:tcW w:w="46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9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МГСИ, релевантне институције у АП Војводина, ЈЛС</w:t>
            </w:r>
          </w:p>
        </w:tc>
      </w:tr>
      <w:tr>
        <w:trPr>
          <w:trHeight w:val="45" w:hRule="atLeast"/>
        </w:trPr>
        <w:tc>
          <w:tcPr>
            <w:tcW w:w="46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9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46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w:t>
            </w:r>
          </w:p>
        </w:tc>
        <w:tc>
          <w:tcPr>
            <w:tcW w:w="9713" w:type="dxa"/>
            <w:tcBorders>
              <w:top w:val="single" w:color="000000" w:sz="8"/>
              <w:left w:val="single" w:color="000000" w:sz="8"/>
              <w:bottom w:val="single" w:color="000000" w:sz="8"/>
              <w:right w:val="single" w:color="000000" w:sz="8"/>
            </w:tcBorders>
            <w:vAlign w:val="center"/>
          </w:tcPr>
          <w:p/>
        </w:tc>
      </w:tr>
      <w:tr>
        <w:trPr>
          <w:trHeight w:val="45" w:hRule="atLeast"/>
        </w:trPr>
        <w:tc>
          <w:tcPr>
            <w:tcW w:w="46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9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Методологија ОПГ (BU): ОПГ5, ОПГ6, ОПГ4, ОПГ8, ОПГ9, ОПГ11.</w:t>
            </w:r>
          </w:p>
          <w:p>
            <w:pPr>
              <w:spacing w:after="150"/>
              <w:ind w:left="0"/>
              <w:jc w:val="left"/>
            </w:pPr>
            <w:r>
              <w:rPr>
                <w:rFonts w:ascii="Verdana"/>
                <w:b w:val="false"/>
                <w:i w:val="false"/>
                <w:color w:val="000000"/>
                <w:sz w:val="22"/>
              </w:rPr>
              <w:t>Методологија ТД</w:t>
            </w:r>
          </w:p>
        </w:tc>
      </w:tr>
      <w:tr>
        <w:trPr>
          <w:trHeight w:val="45" w:hRule="atLeast"/>
        </w:trPr>
        <w:tc>
          <w:tcPr>
            <w:tcW w:w="46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9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4,78 ktoe</w:t>
            </w:r>
          </w:p>
        </w:tc>
      </w:tr>
      <w:tr>
        <w:trPr>
          <w:trHeight w:val="45" w:hRule="atLeast"/>
        </w:trPr>
        <w:tc>
          <w:tcPr>
            <w:tcW w:w="46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9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8,1 ktoe</w:t>
            </w:r>
          </w:p>
        </w:tc>
      </w:tr>
      <w:tr>
        <w:trPr>
          <w:trHeight w:val="45" w:hRule="atLeast"/>
        </w:trPr>
        <w:tc>
          <w:tcPr>
            <w:tcW w:w="46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97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159"/>
        <w:gridCol w:w="11241"/>
      </w:tblGrid>
      <w:tr>
        <w:trPr>
          <w:trHeight w:val="45" w:hRule="atLeast"/>
        </w:trPr>
        <w:tc>
          <w:tcPr>
            <w:tcW w:w="31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112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грађевинска регулатива и сертификати о енергетским својствима зграда</w:t>
            </w:r>
          </w:p>
        </w:tc>
      </w:tr>
      <w:tr>
        <w:trPr>
          <w:trHeight w:val="45" w:hRule="atLeast"/>
        </w:trPr>
        <w:tc>
          <w:tcPr>
            <w:tcW w:w="31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112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Д2</w:t>
            </w:r>
          </w:p>
        </w:tc>
      </w:tr>
      <w:tr>
        <w:trPr>
          <w:trHeight w:val="45" w:hRule="atLeast"/>
        </w:trPr>
        <w:tc>
          <w:tcPr>
            <w:tcW w:w="31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2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 (1.1. Правилници, стандарди и примена)</w:t>
            </w:r>
          </w:p>
          <w:p>
            <w:pPr>
              <w:spacing w:after="150"/>
              <w:ind w:left="0"/>
              <w:jc w:val="left"/>
            </w:pPr>
            <w:r>
              <w:rPr>
                <w:rFonts w:ascii="Verdana"/>
                <w:b w:val="false"/>
                <w:i w:val="false"/>
                <w:color w:val="000000"/>
                <w:sz w:val="22"/>
              </w:rPr>
              <w:t>2. Информације и мере обавезних информација</w:t>
            </w:r>
            <w:r>
              <w:br/>
            </w:r>
            <w:r>
              <w:rPr>
                <w:rFonts w:ascii="Verdana"/>
                <w:b w:val="false"/>
                <w:i w:val="false"/>
                <w:color w:val="000000"/>
                <w:sz w:val="22"/>
              </w:rPr>
              <w:t>2.2 Енергетски пасош зграде (Шеме обележавања ЕЕ)</w:t>
            </w:r>
          </w:p>
        </w:tc>
      </w:tr>
      <w:tr>
        <w:trPr>
          <w:trHeight w:val="45" w:hRule="atLeast"/>
        </w:trPr>
        <w:tc>
          <w:tcPr>
            <w:tcW w:w="31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2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2011, продужена до 2021. године</w:t>
            </w:r>
          </w:p>
          <w:p>
            <w:pPr>
              <w:spacing w:after="150"/>
              <w:ind w:left="0"/>
              <w:jc w:val="left"/>
            </w:pPr>
            <w:r>
              <w:rPr>
                <w:rFonts w:ascii="Verdana"/>
                <w:b w:val="false"/>
                <w:i w:val="false"/>
                <w:color w:val="000000"/>
                <w:sz w:val="22"/>
              </w:rPr>
              <w:t>Раних мера није било</w:t>
            </w:r>
          </w:p>
        </w:tc>
      </w:tr>
      <w:tr>
        <w:trPr>
          <w:trHeight w:val="45" w:hRule="atLeast"/>
        </w:trPr>
        <w:tc>
          <w:tcPr>
            <w:tcW w:w="31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12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Остваривање уштеда енергије код изградње нових зграда и реконструкције постојећих зграда у Сектору домаћинства:</w:t>
            </w:r>
          </w:p>
          <w:p>
            <w:pPr>
              <w:spacing w:after="150"/>
              <w:ind w:left="0"/>
              <w:jc w:val="left"/>
            </w:pPr>
            <w:r>
              <w:rPr>
                <w:rFonts w:ascii="Verdana"/>
                <w:b w:val="false"/>
                <w:i w:val="false"/>
                <w:color w:val="000000"/>
                <w:sz w:val="22"/>
              </w:rPr>
              <w:t>– применом нове грађевинске регулативе која дефинише обавезну употребу релевантних стандарда (у којима су дефинисани минимални критеријуми за енергетску ефикасност зграда)</w:t>
            </w:r>
          </w:p>
          <w:p>
            <w:pPr>
              <w:spacing w:after="150"/>
              <w:ind w:left="0"/>
              <w:jc w:val="left"/>
            </w:pPr>
            <w:r>
              <w:rPr>
                <w:rFonts w:ascii="Verdana"/>
                <w:b w:val="false"/>
                <w:i w:val="false"/>
                <w:color w:val="000000"/>
                <w:sz w:val="22"/>
              </w:rPr>
              <w:t>– израдом сертификата о енергетским својствима зграда.</w:t>
            </w:r>
          </w:p>
        </w:tc>
      </w:tr>
      <w:tr>
        <w:trPr>
          <w:trHeight w:val="45" w:hRule="atLeast"/>
        </w:trPr>
        <w:tc>
          <w:tcPr>
            <w:tcW w:w="31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12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Нове зграде и реконструисане постојеће зграде</w:t>
            </w:r>
          </w:p>
        </w:tc>
      </w:tr>
      <w:tr>
        <w:trPr>
          <w:trHeight w:val="45" w:hRule="atLeast"/>
        </w:trPr>
        <w:tc>
          <w:tcPr>
            <w:tcW w:w="31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2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домаћинства – стамбене зграде</w:t>
            </w:r>
          </w:p>
        </w:tc>
      </w:tr>
      <w:tr>
        <w:trPr>
          <w:trHeight w:val="45" w:hRule="atLeast"/>
        </w:trPr>
        <w:tc>
          <w:tcPr>
            <w:tcW w:w="31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12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регионална,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Информација о имплементацији</w:t>
            </w:r>
          </w:p>
        </w:tc>
      </w:tr>
      <w:tr>
        <w:trPr>
          <w:trHeight w:val="45" w:hRule="atLeast"/>
        </w:trPr>
        <w:tc>
          <w:tcPr>
            <w:tcW w:w="31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12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Прописи који прате Закон о планирању и изградњи који су везани за енергетску ефикасност су следећи:</w:t>
            </w:r>
          </w:p>
          <w:p>
            <w:pPr>
              <w:spacing w:after="150"/>
              <w:ind w:left="0"/>
              <w:jc w:val="left"/>
            </w:pPr>
            <w:r>
              <w:rPr>
                <w:rFonts w:ascii="Verdana"/>
                <w:b w:val="false"/>
                <w:i w:val="false"/>
                <w:color w:val="000000"/>
                <w:sz w:val="22"/>
              </w:rPr>
              <w:t>Правилник о енергетској ефикасности зграда, којим се прописују енергетске перформансе и методологија за израчунавање топлотних перформанси зграда као и потребе за енергијом нових и постојећих зграда.</w:t>
            </w:r>
          </w:p>
          <w:p>
            <w:pPr>
              <w:spacing w:after="150"/>
              <w:ind w:left="0"/>
              <w:jc w:val="left"/>
            </w:pPr>
            <w:r>
              <w:rPr>
                <w:rFonts w:ascii="Verdana"/>
                <w:b w:val="false"/>
                <w:i w:val="false"/>
                <w:color w:val="000000"/>
                <w:sz w:val="22"/>
              </w:rPr>
              <w:t>Правилник о условима, садржини и начину издавања сертификата о енергетским својствима зграда којим се прописују услови, садржај и начин издавања сертификата о енергетским својствима зграда.</w:t>
            </w:r>
          </w:p>
          <w:p>
            <w:pPr>
              <w:spacing w:after="150"/>
              <w:ind w:left="0"/>
              <w:jc w:val="left"/>
            </w:pPr>
            <w:r>
              <w:rPr>
                <w:rFonts w:ascii="Verdana"/>
                <w:b w:val="false"/>
                <w:i w:val="false"/>
                <w:color w:val="000000"/>
                <w:sz w:val="22"/>
              </w:rPr>
              <w:t>Правилник о полагању стручног испита у области просторног и урбанистичког планирања, израде техничке документације, грађења и енергетске ефикасности и о издавању и одузимању лиценце за одговорног урбанисту, пројектанта, извођача радова и одговорног планера („Службени гласник РС”, бр. 27/15 и 92/15) који је престао да важи 27. јула 2019. године.</w:t>
            </w:r>
          </w:p>
          <w:p>
            <w:pPr>
              <w:spacing w:after="150"/>
              <w:ind w:left="0"/>
              <w:jc w:val="left"/>
            </w:pPr>
            <w:r>
              <w:rPr>
                <w:rFonts w:ascii="Verdana"/>
                <w:b w:val="false"/>
                <w:i w:val="false"/>
                <w:color w:val="000000"/>
                <w:sz w:val="22"/>
              </w:rPr>
              <w:t>Овим правилницима извршена је транспозиција одредби EPBD директиве које се односе на енергетску ефикасност зграда у национално законодавство.</w:t>
            </w:r>
          </w:p>
          <w:p>
            <w:pPr>
              <w:spacing w:after="150"/>
              <w:ind w:left="0"/>
              <w:jc w:val="left"/>
            </w:pPr>
            <w:r>
              <w:rPr>
                <w:rFonts w:ascii="Verdana"/>
                <w:b w:val="false"/>
                <w:i w:val="false"/>
                <w:color w:val="000000"/>
                <w:sz w:val="22"/>
              </w:rPr>
              <w:t>Енергетски разред нове зграде, који се исказује енергетским пасошем зграде, мора бити најмање „Ц” или виши.</w:t>
            </w:r>
          </w:p>
          <w:p>
            <w:pPr>
              <w:spacing w:after="150"/>
              <w:ind w:left="0"/>
              <w:jc w:val="left"/>
            </w:pPr>
            <w:r>
              <w:rPr>
                <w:rFonts w:ascii="Verdana"/>
                <w:b w:val="false"/>
                <w:i w:val="false"/>
                <w:color w:val="000000"/>
                <w:sz w:val="22"/>
              </w:rPr>
              <w:t>Енергетски разред за постојеће зграде, након извођења радова на реконструкцији, доградњи, обнови, адаптацији, санацији и енергетској санацији, мора бити побољшан најмање за један разред.</w:t>
            </w:r>
          </w:p>
        </w:tc>
      </w:tr>
      <w:tr>
        <w:trPr>
          <w:trHeight w:val="45" w:hRule="atLeast"/>
        </w:trPr>
        <w:tc>
          <w:tcPr>
            <w:tcW w:w="31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112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Средства инвеститора који гради нову зграду, као и власници зграда</w:t>
            </w:r>
          </w:p>
        </w:tc>
      </w:tr>
      <w:tr>
        <w:trPr>
          <w:trHeight w:val="45" w:hRule="atLeast"/>
        </w:trPr>
        <w:tc>
          <w:tcPr>
            <w:tcW w:w="31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2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Инжењерска комора и овлашћене организације за издавање сертификата о енергетским својствима објеката, као и пројектантска предузећа.</w:t>
            </w:r>
          </w:p>
        </w:tc>
      </w:tr>
      <w:tr>
        <w:trPr>
          <w:trHeight w:val="45" w:hRule="atLeast"/>
        </w:trPr>
        <w:tc>
          <w:tcPr>
            <w:tcW w:w="31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12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МРЕ</w:t>
            </w:r>
          </w:p>
        </w:tc>
      </w:tr>
      <w:tr>
        <w:trPr>
          <w:trHeight w:val="45" w:hRule="atLeast"/>
        </w:trPr>
        <w:tc>
          <w:tcPr>
            <w:tcW w:w="31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w:t>
            </w:r>
          </w:p>
        </w:tc>
        <w:tc>
          <w:tcPr>
            <w:tcW w:w="11241" w:type="dxa"/>
            <w:tcBorders>
              <w:top w:val="single" w:color="000000" w:sz="8"/>
              <w:left w:val="single" w:color="000000" w:sz="8"/>
              <w:bottom w:val="single" w:color="000000" w:sz="8"/>
              <w:right w:val="single" w:color="000000" w:sz="8"/>
            </w:tcBorders>
            <w:vAlign w:val="center"/>
          </w:tcPr>
          <w:p/>
        </w:tc>
      </w:tr>
      <w:tr>
        <w:trPr>
          <w:trHeight w:val="45" w:hRule="atLeast"/>
        </w:trPr>
        <w:tc>
          <w:tcPr>
            <w:tcW w:w="31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12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Методологија ОПГ (BU): ОПГ7</w:t>
            </w:r>
          </w:p>
          <w:p>
            <w:pPr>
              <w:spacing w:after="150"/>
              <w:ind w:left="0"/>
              <w:jc w:val="left"/>
            </w:pPr>
            <w:r>
              <w:rPr>
                <w:rFonts w:ascii="Verdana"/>
                <w:b w:val="false"/>
                <w:i w:val="false"/>
                <w:color w:val="000000"/>
                <w:sz w:val="22"/>
              </w:rPr>
              <w:t>Методологија ТД</w:t>
            </w:r>
          </w:p>
        </w:tc>
      </w:tr>
      <w:tr>
        <w:trPr>
          <w:trHeight w:val="45" w:hRule="atLeast"/>
        </w:trPr>
        <w:tc>
          <w:tcPr>
            <w:tcW w:w="31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112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63 ktoe</w:t>
            </w:r>
          </w:p>
        </w:tc>
      </w:tr>
      <w:tr>
        <w:trPr>
          <w:trHeight w:val="45" w:hRule="atLeast"/>
        </w:trPr>
        <w:tc>
          <w:tcPr>
            <w:tcW w:w="31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112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 ktoe</w:t>
            </w:r>
          </w:p>
        </w:tc>
      </w:tr>
      <w:tr>
        <w:trPr>
          <w:trHeight w:val="45" w:hRule="atLeast"/>
        </w:trPr>
        <w:tc>
          <w:tcPr>
            <w:tcW w:w="31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12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 Реконструкција се узима у обзир само код Д1, а овде новоградња, доградња и адаптација нестамбеног простора у стамбени</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949"/>
        <w:gridCol w:w="10451"/>
      </w:tblGrid>
      <w:tr>
        <w:trPr>
          <w:trHeight w:val="45" w:hRule="atLeast"/>
        </w:trPr>
        <w:tc>
          <w:tcPr>
            <w:tcW w:w="39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104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Промовисање употребе енергетски ефикасних уређаја у домаћинству</w:t>
            </w:r>
          </w:p>
        </w:tc>
      </w:tr>
      <w:tr>
        <w:trPr>
          <w:trHeight w:val="45" w:hRule="atLeast"/>
        </w:trPr>
        <w:tc>
          <w:tcPr>
            <w:tcW w:w="39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104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Д3</w:t>
            </w:r>
          </w:p>
        </w:tc>
      </w:tr>
      <w:tr>
        <w:trPr>
          <w:trHeight w:val="45" w:hRule="atLeast"/>
        </w:trPr>
        <w:tc>
          <w:tcPr>
            <w:tcW w:w="39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04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 стандарди за минималне енергетске перформансе опреме</w:t>
            </w:r>
          </w:p>
          <w:p>
            <w:pPr>
              <w:spacing w:after="150"/>
              <w:ind w:left="0"/>
              <w:jc w:val="left"/>
            </w:pPr>
            <w:r>
              <w:rPr>
                <w:rFonts w:ascii="Verdana"/>
                <w:b w:val="false"/>
                <w:i w:val="false"/>
                <w:color w:val="000000"/>
                <w:sz w:val="22"/>
              </w:rPr>
              <w:t>2. Информације и мере обавезних информација</w:t>
            </w:r>
            <w:r>
              <w:br/>
            </w:r>
            <w:r>
              <w:rPr>
                <w:rFonts w:ascii="Verdana"/>
                <w:b w:val="false"/>
                <w:i w:val="false"/>
                <w:color w:val="000000"/>
                <w:sz w:val="22"/>
              </w:rPr>
              <w:t>2.1 Кампање са циљем промовисања енергетски ефикасних производа,</w:t>
            </w:r>
            <w:r>
              <w:br/>
            </w:r>
            <w:r>
              <w:rPr>
                <w:rFonts w:ascii="Verdana"/>
                <w:b w:val="false"/>
                <w:i w:val="false"/>
                <w:color w:val="000000"/>
                <w:sz w:val="22"/>
              </w:rPr>
              <w:t>2.2 Правилници о означавању енергетске ефикасности производа</w:t>
            </w:r>
          </w:p>
          <w:p>
            <w:pPr>
              <w:spacing w:after="150"/>
              <w:ind w:left="0"/>
              <w:jc w:val="left"/>
            </w:pPr>
            <w:r>
              <w:rPr>
                <w:rFonts w:ascii="Verdana"/>
                <w:b w:val="false"/>
                <w:i w:val="false"/>
                <w:color w:val="000000"/>
                <w:sz w:val="22"/>
              </w:rPr>
              <w:t>3. Финансијски инструменти (субвенције, кредитне линије)</w:t>
            </w:r>
          </w:p>
        </w:tc>
      </w:tr>
      <w:tr>
        <w:trPr>
          <w:trHeight w:val="45" w:hRule="atLeast"/>
        </w:trPr>
        <w:tc>
          <w:tcPr>
            <w:tcW w:w="39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04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2010, продужена до 2021. године</w:t>
            </w:r>
          </w:p>
          <w:p>
            <w:pPr>
              <w:spacing w:after="150"/>
              <w:ind w:left="0"/>
              <w:jc w:val="left"/>
            </w:pPr>
            <w:r>
              <w:rPr>
                <w:rFonts w:ascii="Verdana"/>
                <w:b w:val="false"/>
                <w:i w:val="false"/>
                <w:color w:val="000000"/>
                <w:sz w:val="22"/>
              </w:rPr>
              <w:t>Ране мере: ЕМ1, ЕМ2</w:t>
            </w:r>
          </w:p>
        </w:tc>
      </w:tr>
      <w:tr>
        <w:trPr>
          <w:trHeight w:val="45" w:hRule="atLeast"/>
        </w:trPr>
        <w:tc>
          <w:tcPr>
            <w:tcW w:w="39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04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Смањење потрошње електричне енергије коришћењем енергетски ефикасних производа: сијалица, светиљки и осталих уређаја за домаћинство (фрижидери, пећнице и напе, машине за прање веша, машине за сушење веша, машине за прање судове, телевизори, уређаји за климатизацију, усисивачи, уређаји за грејање простора, уређаји за грејање воде.)</w:t>
            </w:r>
          </w:p>
        </w:tc>
      </w:tr>
      <w:tr>
        <w:trPr>
          <w:trHeight w:val="45" w:hRule="atLeast"/>
        </w:trPr>
        <w:tc>
          <w:tcPr>
            <w:tcW w:w="39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04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Потрошачи електричне енергије у домаћинствима</w:t>
            </w:r>
          </w:p>
        </w:tc>
      </w:tr>
      <w:tr>
        <w:trPr>
          <w:trHeight w:val="45" w:hRule="atLeast"/>
        </w:trPr>
        <w:tc>
          <w:tcPr>
            <w:tcW w:w="39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04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домаћинства</w:t>
            </w:r>
          </w:p>
        </w:tc>
      </w:tr>
      <w:tr>
        <w:trPr>
          <w:trHeight w:val="45" w:hRule="atLeast"/>
        </w:trPr>
        <w:tc>
          <w:tcPr>
            <w:tcW w:w="39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04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регионална,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39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104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ЗЕЕРУЕ дефинише обавезу означавања енергетске ефикасности на уређајима који троше енергију што је даље уређено:</w:t>
            </w:r>
          </w:p>
          <w:p>
            <w:pPr>
              <w:spacing w:after="150"/>
              <w:ind w:left="0"/>
              <w:jc w:val="left"/>
            </w:pPr>
            <w:r>
              <w:rPr>
                <w:rFonts w:ascii="Verdana"/>
                <w:b w:val="false"/>
                <w:i w:val="false"/>
                <w:color w:val="000000"/>
                <w:sz w:val="22"/>
              </w:rPr>
              <w:t>– Уредбом о врстама производа који утичу на потрошњу енергије за које је неопходно означавање потрошње енергије и других ресурса („Службени гласник РС”, број 92/13),</w:t>
            </w:r>
          </w:p>
          <w:p>
            <w:pPr>
              <w:spacing w:after="150"/>
              <w:ind w:left="0"/>
              <w:jc w:val="left"/>
            </w:pPr>
            <w:r>
              <w:rPr>
                <w:rFonts w:ascii="Verdana"/>
                <w:b w:val="false"/>
                <w:i w:val="false"/>
                <w:color w:val="000000"/>
                <w:sz w:val="22"/>
              </w:rPr>
              <w:t>– Уредбом о изменама и допунама уредбе о врстама производа који утичу на потрошњу енергије за које је неопходно означавање потрошње енергије и других ресурса („Службени гласник РС”, број 80/16),</w:t>
            </w:r>
          </w:p>
          <w:p>
            <w:pPr>
              <w:spacing w:after="150"/>
              <w:ind w:left="0"/>
              <w:jc w:val="left"/>
            </w:pPr>
            <w:r>
              <w:rPr>
                <w:rFonts w:ascii="Verdana"/>
                <w:b w:val="false"/>
                <w:i w:val="false"/>
                <w:color w:val="000000"/>
                <w:sz w:val="22"/>
              </w:rPr>
              <w:t>Уредбом о изменама Уредбе о врстама производа који утичу на потрошњу енергије за које је неопходно означавање потрошње енергије и других ресурса („Службени гласник РС”, број 41/21),</w:t>
            </w:r>
          </w:p>
          <w:p>
            <w:pPr>
              <w:spacing w:after="150"/>
              <w:ind w:left="0"/>
              <w:jc w:val="left"/>
            </w:pPr>
            <w:r>
              <w:rPr>
                <w:rFonts w:ascii="Verdana"/>
                <w:b w:val="false"/>
                <w:i w:val="false"/>
                <w:color w:val="000000"/>
                <w:sz w:val="22"/>
              </w:rPr>
              <w:t>– правилницима о означавању енергетске ефикасности који су донети појединачно за више врста производа.</w:t>
            </w:r>
          </w:p>
          <w:p>
            <w:pPr>
              <w:spacing w:after="150"/>
              <w:ind w:left="0"/>
              <w:jc w:val="left"/>
            </w:pPr>
            <w:r>
              <w:rPr>
                <w:rFonts w:ascii="Verdana"/>
                <w:b w:val="false"/>
                <w:i w:val="false"/>
                <w:color w:val="000000"/>
                <w:sz w:val="22"/>
              </w:rPr>
              <w:t>Очекује се да означавање енергетске ефикасности производа промени тржиште као што је то био случај у многим државама чланицама ЕУ.</w:t>
            </w:r>
          </w:p>
          <w:p>
            <w:pPr>
              <w:spacing w:after="150"/>
              <w:ind w:left="0"/>
              <w:jc w:val="left"/>
            </w:pPr>
            <w:r>
              <w:rPr>
                <w:rFonts w:ascii="Verdana"/>
                <w:b w:val="false"/>
                <w:i w:val="false"/>
                <w:color w:val="000000"/>
                <w:sz w:val="22"/>
              </w:rPr>
              <w:t>За успешно спровођење мера потребна је организација кампање информисања и јавности (потрошача) и запослених у продаји. Прва кампања која је подразумевала расподелу око милион обавештења организована је 2006. године. Предвиђено је да МРЕ, органи АПВ и ЈЛС, удружења потрошача, невладине организације организују још сличних кампања.</w:t>
            </w:r>
          </w:p>
          <w:p>
            <w:pPr>
              <w:spacing w:after="150"/>
              <w:ind w:left="0"/>
              <w:jc w:val="left"/>
            </w:pPr>
            <w:r>
              <w:rPr>
                <w:rFonts w:ascii="Verdana"/>
                <w:b w:val="false"/>
                <w:i w:val="false"/>
                <w:color w:val="000000"/>
                <w:sz w:val="22"/>
              </w:rPr>
              <w:t>Да би се убрзао прелаз на ефикасније уређаје, треба размотрити неку меру финансијског подстицаја.</w:t>
            </w:r>
          </w:p>
        </w:tc>
      </w:tr>
      <w:tr>
        <w:trPr>
          <w:trHeight w:val="45" w:hRule="atLeast"/>
        </w:trPr>
        <w:tc>
          <w:tcPr>
            <w:tcW w:w="39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104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Кампање у вези са ефикасним осветљењем могу да добију подршку из буџетских средстава и других извора финансирања.</w:t>
            </w:r>
          </w:p>
        </w:tc>
      </w:tr>
      <w:tr>
        <w:trPr>
          <w:trHeight w:val="45" w:hRule="atLeast"/>
        </w:trPr>
        <w:tc>
          <w:tcPr>
            <w:tcW w:w="39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имплементацију активности под мером</w:t>
            </w:r>
          </w:p>
        </w:tc>
        <w:tc>
          <w:tcPr>
            <w:tcW w:w="104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АП Војводина, ЈЛС, ЕПС, Тржишна инспекција МТТТ, НВО, удружења потрошача</w:t>
            </w:r>
          </w:p>
        </w:tc>
      </w:tr>
      <w:tr>
        <w:trPr>
          <w:trHeight w:val="45" w:hRule="atLeast"/>
        </w:trPr>
        <w:tc>
          <w:tcPr>
            <w:tcW w:w="39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w:t>
            </w:r>
          </w:p>
        </w:tc>
        <w:tc>
          <w:tcPr>
            <w:tcW w:w="10451" w:type="dxa"/>
            <w:tcBorders>
              <w:top w:val="single" w:color="000000" w:sz="8"/>
              <w:left w:val="single" w:color="000000" w:sz="8"/>
              <w:bottom w:val="single" w:color="000000" w:sz="8"/>
              <w:right w:val="single" w:color="000000" w:sz="8"/>
            </w:tcBorders>
            <w:vAlign w:val="center"/>
          </w:tcPr>
          <w:p/>
        </w:tc>
      </w:tr>
      <w:tr>
        <w:trPr>
          <w:trHeight w:val="45" w:hRule="atLeast"/>
        </w:trPr>
        <w:tc>
          <w:tcPr>
            <w:tcW w:w="39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04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Методологија ОПГ метод ОПГ2</w:t>
            </w:r>
          </w:p>
          <w:p>
            <w:pPr>
              <w:spacing w:after="150"/>
              <w:ind w:left="0"/>
              <w:jc w:val="left"/>
            </w:pPr>
            <w:r>
              <w:rPr>
                <w:rFonts w:ascii="Verdana"/>
                <w:b w:val="false"/>
                <w:i w:val="false"/>
                <w:color w:val="000000"/>
                <w:sz w:val="22"/>
              </w:rPr>
              <w:t>Методологија ОПД показатељ П4 за уређаје у домаћинствима</w:t>
            </w:r>
          </w:p>
          <w:p>
            <w:pPr>
              <w:spacing w:after="150"/>
              <w:ind w:left="0"/>
              <w:jc w:val="left"/>
            </w:pPr>
            <w:r>
              <w:rPr>
                <w:rFonts w:ascii="Verdana"/>
                <w:b w:val="false"/>
                <w:i w:val="false"/>
                <w:color w:val="000000"/>
                <w:sz w:val="22"/>
              </w:rPr>
              <w:t>Ову меру је релативно тешко надзирати. С једне стране, мера ће бити надзирана ОПД тако што ће се надзирати раст продаје ефикасних уређаја у домаћинствима и/или истраживањем потрошње у домаћинствима. С друге стране, надзираће се ОПГ тако што ће се сакупљати подаци о промотивним активностима и кампањама које спроводе јавни сектор и јавна предузећа, али ка крајњем кориснику што омогућава процену уштеде.</w:t>
            </w:r>
          </w:p>
        </w:tc>
      </w:tr>
      <w:tr>
        <w:trPr>
          <w:trHeight w:val="45" w:hRule="atLeast"/>
        </w:trPr>
        <w:tc>
          <w:tcPr>
            <w:tcW w:w="39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104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23,6 ktoe</w:t>
            </w:r>
          </w:p>
        </w:tc>
      </w:tr>
      <w:tr>
        <w:trPr>
          <w:trHeight w:val="45" w:hRule="atLeast"/>
        </w:trPr>
        <w:tc>
          <w:tcPr>
            <w:tcW w:w="39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104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28 ktoe</w:t>
            </w:r>
          </w:p>
        </w:tc>
      </w:tr>
      <w:tr>
        <w:trPr>
          <w:trHeight w:val="45" w:hRule="atLeast"/>
        </w:trPr>
        <w:tc>
          <w:tcPr>
            <w:tcW w:w="39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ефекти умножавања, синергија</w:t>
            </w:r>
          </w:p>
        </w:tc>
        <w:tc>
          <w:tcPr>
            <w:tcW w:w="104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p>
      <w:pPr>
        <w:spacing w:after="120"/>
        <w:ind w:left="0"/>
        <w:jc w:val="center"/>
      </w:pPr>
      <w:r>
        <w:rPr>
          <w:rFonts w:ascii="Verdana"/>
          <w:b w:val="false"/>
          <w:i w:val="false"/>
          <w:color w:val="000000"/>
          <w:sz w:val="22"/>
        </w:rPr>
        <w:t>ЈАВНИ И КОМЕРЦИЈАЛНИ СЕКТОР</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128"/>
        <w:gridCol w:w="11272"/>
      </w:tblGrid>
      <w:tr>
        <w:trPr>
          <w:trHeight w:val="45" w:hRule="atLeast"/>
        </w:trPr>
        <w:tc>
          <w:tcPr>
            <w:tcW w:w="31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11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зграда у јавном и комерцијалном сектору</w:t>
            </w:r>
          </w:p>
        </w:tc>
      </w:tr>
      <w:tr>
        <w:trPr>
          <w:trHeight w:val="45" w:hRule="atLeast"/>
        </w:trPr>
        <w:tc>
          <w:tcPr>
            <w:tcW w:w="31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11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ЈК1</w:t>
            </w:r>
          </w:p>
        </w:tc>
      </w:tr>
      <w:tr>
        <w:trPr>
          <w:trHeight w:val="45" w:hRule="atLeast"/>
        </w:trPr>
        <w:tc>
          <w:tcPr>
            <w:tcW w:w="31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Информације и мере обавезних информација (2.7 Јавни сектор има улогу да да пример )</w:t>
            </w:r>
          </w:p>
          <w:p>
            <w:pPr>
              <w:spacing w:after="150"/>
              <w:ind w:left="0"/>
              <w:jc w:val="left"/>
            </w:pPr>
            <w:r>
              <w:rPr>
                <w:rFonts w:ascii="Verdana"/>
                <w:b w:val="false"/>
                <w:i w:val="false"/>
                <w:color w:val="000000"/>
                <w:sz w:val="22"/>
              </w:rPr>
              <w:t>3. Финансијски инструменти (кредитна линија, субвенција, зајам)</w:t>
            </w:r>
          </w:p>
        </w:tc>
      </w:tr>
      <w:tr>
        <w:trPr>
          <w:trHeight w:val="45" w:hRule="atLeast"/>
        </w:trPr>
        <w:tc>
          <w:tcPr>
            <w:tcW w:w="31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2010, продужена до 2021. година</w:t>
            </w:r>
          </w:p>
          <w:p>
            <w:pPr>
              <w:spacing w:after="150"/>
              <w:ind w:left="0"/>
              <w:jc w:val="left"/>
            </w:pPr>
            <w:r>
              <w:rPr>
                <w:rFonts w:ascii="Verdana"/>
                <w:b w:val="false"/>
                <w:i w:val="false"/>
                <w:color w:val="000000"/>
                <w:sz w:val="22"/>
              </w:rPr>
              <w:t>Ране мере:ЕМ4, ЕМ6, ЕМ7, ЕМ8.</w:t>
            </w:r>
          </w:p>
        </w:tc>
      </w:tr>
      <w:tr>
        <w:trPr>
          <w:trHeight w:val="45" w:hRule="atLeast"/>
        </w:trPr>
        <w:tc>
          <w:tcPr>
            <w:tcW w:w="31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1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зграда: смањење потребне енергија за грејања и хлађења применом мера на термичком омотачу зграде и унапређењем термотехничког система зграде</w:t>
            </w:r>
          </w:p>
        </w:tc>
      </w:tr>
      <w:tr>
        <w:trPr>
          <w:trHeight w:val="45" w:hRule="atLeast"/>
        </w:trPr>
        <w:tc>
          <w:tcPr>
            <w:tcW w:w="31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1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Постојеће зграде (термички омотач зграде, термотехнички системи у зградама, осветљење у зградама)</w:t>
            </w:r>
          </w:p>
        </w:tc>
      </w:tr>
      <w:tr>
        <w:trPr>
          <w:trHeight w:val="45" w:hRule="atLeast"/>
        </w:trPr>
        <w:tc>
          <w:tcPr>
            <w:tcW w:w="31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и комерцијални сектор</w:t>
            </w:r>
          </w:p>
        </w:tc>
      </w:tr>
      <w:tr>
        <w:trPr>
          <w:trHeight w:val="45" w:hRule="atLeast"/>
        </w:trPr>
        <w:tc>
          <w:tcPr>
            <w:tcW w:w="31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1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регионална,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31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11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 ће се постићи смањењем потребне енергија за грејања и хлађења кроз активности:</w:t>
            </w:r>
          </w:p>
          <w:p>
            <w:pPr>
              <w:spacing w:after="150"/>
              <w:ind w:left="0"/>
              <w:jc w:val="left"/>
            </w:pPr>
            <w:r>
              <w:rPr>
                <w:rFonts w:ascii="Verdana"/>
                <w:b w:val="false"/>
                <w:i w:val="false"/>
                <w:color w:val="000000"/>
                <w:sz w:val="22"/>
              </w:rPr>
              <w:t>– Заменом спољних прозора и врата;</w:t>
            </w:r>
          </w:p>
          <w:p>
            <w:pPr>
              <w:spacing w:after="150"/>
              <w:ind w:left="0"/>
              <w:jc w:val="left"/>
            </w:pPr>
            <w:r>
              <w:rPr>
                <w:rFonts w:ascii="Verdana"/>
                <w:b w:val="false"/>
                <w:i w:val="false"/>
                <w:color w:val="000000"/>
                <w:sz w:val="22"/>
              </w:rPr>
              <w:t>– Унапређењем осталих елемената термичког омотача зграде (додавање топлотне изолације)</w:t>
            </w:r>
          </w:p>
          <w:p>
            <w:pPr>
              <w:spacing w:after="150"/>
              <w:ind w:left="0"/>
              <w:jc w:val="left"/>
            </w:pPr>
            <w:r>
              <w:rPr>
                <w:rFonts w:ascii="Verdana"/>
                <w:b w:val="false"/>
                <w:i w:val="false"/>
                <w:color w:val="000000"/>
                <w:sz w:val="22"/>
              </w:rPr>
              <w:t>– Смањењем потрошње енергије у термотехничком систему зграде коришћењем:</w:t>
            </w:r>
          </w:p>
          <w:p>
            <w:pPr>
              <w:spacing w:after="150"/>
              <w:ind w:left="0"/>
              <w:jc w:val="left"/>
            </w:pPr>
            <w:r>
              <w:rPr>
                <w:rFonts w:ascii="Verdana"/>
                <w:b w:val="false"/>
                <w:i w:val="false"/>
                <w:color w:val="000000"/>
                <w:sz w:val="22"/>
              </w:rPr>
              <w:t>● Опреме за КГХ више класе енергетске ефикасности са електронском контролом рада;</w:t>
            </w:r>
          </w:p>
          <w:p>
            <w:pPr>
              <w:spacing w:after="150"/>
              <w:ind w:left="0"/>
              <w:jc w:val="left"/>
            </w:pPr>
            <w:r>
              <w:rPr>
                <w:rFonts w:ascii="Verdana"/>
                <w:b w:val="false"/>
                <w:i w:val="false"/>
                <w:color w:val="000000"/>
                <w:sz w:val="22"/>
              </w:rPr>
              <w:t>● Котлова за сагоревање биомасе високог степена корисности;</w:t>
            </w:r>
          </w:p>
          <w:p>
            <w:pPr>
              <w:spacing w:after="150"/>
              <w:ind w:left="0"/>
              <w:jc w:val="left"/>
            </w:pPr>
            <w:r>
              <w:rPr>
                <w:rFonts w:ascii="Verdana"/>
                <w:b w:val="false"/>
                <w:i w:val="false"/>
                <w:color w:val="000000"/>
                <w:sz w:val="22"/>
              </w:rPr>
              <w:t>● Соларних колектора;</w:t>
            </w:r>
          </w:p>
          <w:p>
            <w:pPr>
              <w:spacing w:after="150"/>
              <w:ind w:left="0"/>
              <w:jc w:val="left"/>
            </w:pPr>
            <w:r>
              <w:rPr>
                <w:rFonts w:ascii="Verdana"/>
                <w:b w:val="false"/>
                <w:i w:val="false"/>
                <w:color w:val="000000"/>
                <w:sz w:val="22"/>
              </w:rPr>
              <w:t>● Топлотних пумпи;</w:t>
            </w:r>
          </w:p>
          <w:p>
            <w:pPr>
              <w:spacing w:after="150"/>
              <w:ind w:left="0"/>
              <w:jc w:val="left"/>
            </w:pPr>
            <w:r>
              <w:rPr>
                <w:rFonts w:ascii="Verdana"/>
                <w:b w:val="false"/>
                <w:i w:val="false"/>
                <w:color w:val="000000"/>
                <w:sz w:val="22"/>
              </w:rPr>
              <w:t>Смањењем потрошње електричне енергије за унутрашње осветљења:</w:t>
            </w:r>
          </w:p>
          <w:p>
            <w:pPr>
              <w:spacing w:after="150"/>
              <w:ind w:left="0"/>
              <w:jc w:val="left"/>
            </w:pPr>
            <w:r>
              <w:rPr>
                <w:rFonts w:ascii="Verdana"/>
                <w:b w:val="false"/>
                <w:i w:val="false"/>
                <w:color w:val="000000"/>
                <w:sz w:val="22"/>
              </w:rPr>
              <w:t>замена класичних сијалица (incadescent</w:t>
            </w:r>
            <w:r>
              <w:rPr>
                <w:rFonts w:ascii="Verdana"/>
                <w:b w:val="false"/>
                <w:i/>
                <w:color w:val="000000"/>
                <w:sz w:val="22"/>
              </w:rPr>
              <w:t>)</w:t>
            </w:r>
            <w:r>
              <w:rPr>
                <w:rFonts w:ascii="Verdana"/>
                <w:b w:val="false"/>
                <w:i w:val="false"/>
                <w:color w:val="000000"/>
                <w:sz w:val="22"/>
              </w:rPr>
              <w:t xml:space="preserve"> енергетски ефикасним сијалицама (CFL и LED) и друге мере којима се унапређује систем осветљења (напредни план осветљења, сензори покрет итд.).</w:t>
            </w:r>
          </w:p>
          <w:p>
            <w:pPr>
              <w:spacing w:after="150"/>
              <w:ind w:left="0"/>
              <w:jc w:val="left"/>
            </w:pPr>
            <w:r>
              <w:rPr>
                <w:rFonts w:ascii="Verdana"/>
                <w:b w:val="false"/>
                <w:i w:val="false"/>
                <w:color w:val="000000"/>
                <w:sz w:val="22"/>
              </w:rPr>
              <w:t>Имплементацију ће водити МРЕ, уз пратећу јавну кампању и промоције.</w:t>
            </w:r>
          </w:p>
          <w:p>
            <w:pPr>
              <w:spacing w:after="150"/>
              <w:ind w:left="0"/>
              <w:jc w:val="left"/>
            </w:pPr>
            <w:r>
              <w:rPr>
                <w:rFonts w:ascii="Verdana"/>
                <w:b w:val="false"/>
                <w:i w:val="false"/>
                <w:color w:val="000000"/>
                <w:sz w:val="22"/>
              </w:rPr>
              <w:t>Основа за спровођење су: Закон о планирању и изградњи, Закон о енергетици, ЗЕЕРУЕ, Правилник о енергетској ефикасности зграда, Правилник о условима, садржини и начину издавања сертификата о енергетским својствима зграда и други одговарајући подзаконски акти.</w:t>
            </w:r>
          </w:p>
        </w:tc>
      </w:tr>
      <w:tr>
        <w:trPr>
          <w:trHeight w:val="45" w:hRule="atLeast"/>
        </w:trPr>
        <w:tc>
          <w:tcPr>
            <w:tcW w:w="31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11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Буџет ЈЛС</w:t>
            </w:r>
          </w:p>
          <w:p>
            <w:pPr>
              <w:spacing w:after="150"/>
              <w:ind w:left="0"/>
              <w:jc w:val="left"/>
            </w:pPr>
            <w:r>
              <w:rPr>
                <w:rFonts w:ascii="Verdana"/>
                <w:b w:val="false"/>
                <w:i w:val="false"/>
                <w:color w:val="000000"/>
                <w:sz w:val="22"/>
              </w:rPr>
              <w:t>– Буџет АП Војводина – Управа за капитална улагања, Покрајински секретаријат за енергетику, грађевинарство и саобраћај</w:t>
            </w:r>
          </w:p>
          <w:p>
            <w:pPr>
              <w:spacing w:after="150"/>
              <w:ind w:left="0"/>
              <w:jc w:val="left"/>
            </w:pPr>
            <w:r>
              <w:rPr>
                <w:rFonts w:ascii="Verdana"/>
                <w:b w:val="false"/>
                <w:i w:val="false"/>
                <w:color w:val="000000"/>
                <w:sz w:val="22"/>
              </w:rPr>
              <w:t>– Буџетски фонд за енергетску ефикасност РС, односно Упрaва за финансирање и подстицање енергетске ефикасности, или други одрживи механизам финансирања енергетске ефикасности, од којих се очекује да обезбеде средства за субвенционирање камата или средства за гаранције или неку другу врсту субвенција, које ће омогућити да средства буду доступна под повољнијим условом у складу са годишњим програмом финансирања, а може финансирати и израду енергетских прегледа за веће пројекте. Захтев за доделу средстава из програма је урађен енергетски преглед зграде и елебората о енергетској ефикасности.</w:t>
            </w:r>
          </w:p>
          <w:p>
            <w:pPr>
              <w:spacing w:after="150"/>
              <w:ind w:left="0"/>
              <w:jc w:val="left"/>
            </w:pPr>
            <w:r>
              <w:rPr>
                <w:rFonts w:ascii="Verdana"/>
                <w:b w:val="false"/>
                <w:i w:val="false"/>
                <w:color w:val="000000"/>
                <w:sz w:val="22"/>
              </w:rPr>
              <w:t>– Кредитне линије са повољним условима отплате уз подршку МФИ (KfW, WB, EBRD итд.)</w:t>
            </w:r>
          </w:p>
          <w:p>
            <w:pPr>
              <w:spacing w:after="150"/>
              <w:ind w:left="0"/>
              <w:jc w:val="left"/>
            </w:pPr>
            <w:r>
              <w:rPr>
                <w:rFonts w:ascii="Verdana"/>
                <w:b w:val="false"/>
                <w:i w:val="false"/>
                <w:color w:val="000000"/>
                <w:sz w:val="22"/>
              </w:rPr>
              <w:t>– комерцијалне банке (наменски кредити са повољним условима отплате).</w:t>
            </w:r>
          </w:p>
          <w:p>
            <w:pPr>
              <w:spacing w:after="150"/>
              <w:ind w:left="0"/>
              <w:jc w:val="left"/>
            </w:pPr>
            <w:r>
              <w:rPr>
                <w:rFonts w:ascii="Verdana"/>
                <w:b w:val="false"/>
                <w:i w:val="false"/>
                <w:color w:val="000000"/>
                <w:sz w:val="22"/>
              </w:rPr>
              <w:t>– буџет инвеститора који улажу у реконструкцију зграде.</w:t>
            </w:r>
          </w:p>
          <w:p>
            <w:pPr>
              <w:spacing w:after="150"/>
              <w:ind w:left="0"/>
              <w:jc w:val="left"/>
            </w:pPr>
            <w:r>
              <w:rPr>
                <w:rFonts w:ascii="Verdana"/>
                <w:b w:val="false"/>
                <w:i w:val="false"/>
                <w:color w:val="000000"/>
                <w:sz w:val="22"/>
              </w:rPr>
              <w:t>– билатералне донације и средства намењена за борбу против климатских промена.</w:t>
            </w:r>
          </w:p>
        </w:tc>
      </w:tr>
      <w:tr>
        <w:trPr>
          <w:trHeight w:val="45" w:hRule="atLeast"/>
        </w:trPr>
        <w:tc>
          <w:tcPr>
            <w:tcW w:w="31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МГСИ, СКГО</w:t>
            </w:r>
          </w:p>
          <w:p>
            <w:pPr>
              <w:spacing w:after="150"/>
              <w:ind w:left="0"/>
              <w:jc w:val="left"/>
            </w:pPr>
            <w:r>
              <w:rPr>
                <w:rFonts w:ascii="Verdana"/>
                <w:b w:val="false"/>
                <w:i w:val="false"/>
                <w:color w:val="000000"/>
                <w:sz w:val="22"/>
              </w:rPr>
              <w:t>Релевантне институције у АП Војводина и ЈЛС</w:t>
            </w:r>
          </w:p>
        </w:tc>
      </w:tr>
      <w:tr>
        <w:trPr>
          <w:trHeight w:val="45" w:hRule="atLeast"/>
        </w:trPr>
        <w:tc>
          <w:tcPr>
            <w:tcW w:w="31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Институција надлежне за надзор</w:t>
            </w:r>
          </w:p>
        </w:tc>
        <w:tc>
          <w:tcPr>
            <w:tcW w:w="11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31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енергије</w:t>
            </w:r>
          </w:p>
        </w:tc>
        <w:tc>
          <w:tcPr>
            <w:tcW w:w="11272" w:type="dxa"/>
            <w:tcBorders>
              <w:top w:val="single" w:color="000000" w:sz="8"/>
              <w:left w:val="single" w:color="000000" w:sz="8"/>
              <w:bottom w:val="single" w:color="000000" w:sz="8"/>
              <w:right w:val="single" w:color="000000" w:sz="8"/>
            </w:tcBorders>
            <w:vAlign w:val="center"/>
          </w:tcPr>
          <w:p/>
        </w:tc>
      </w:tr>
      <w:tr>
        <w:trPr>
          <w:trHeight w:val="45" w:hRule="atLeast"/>
        </w:trPr>
        <w:tc>
          <w:tcPr>
            <w:tcW w:w="31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надзора/мерење остварених уштеда</w:t>
            </w:r>
          </w:p>
        </w:tc>
        <w:tc>
          <w:tcPr>
            <w:tcW w:w="11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Методологија ОПГ (BU): ОПГ3, ОПГ4, ОПГ5, ОПГ6, ОПГ8, ОПГ9, ОПГ11.</w:t>
            </w:r>
          </w:p>
        </w:tc>
      </w:tr>
      <w:tr>
        <w:trPr>
          <w:trHeight w:val="45" w:hRule="atLeast"/>
        </w:trPr>
        <w:tc>
          <w:tcPr>
            <w:tcW w:w="31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11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2,48 ktoe</w:t>
            </w:r>
          </w:p>
        </w:tc>
      </w:tr>
      <w:tr>
        <w:trPr>
          <w:trHeight w:val="45" w:hRule="atLeast"/>
        </w:trPr>
        <w:tc>
          <w:tcPr>
            <w:tcW w:w="31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11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 ktoe</w:t>
            </w:r>
          </w:p>
        </w:tc>
      </w:tr>
      <w:tr>
        <w:trPr>
          <w:trHeight w:val="45" w:hRule="atLeast"/>
        </w:trPr>
        <w:tc>
          <w:tcPr>
            <w:tcW w:w="31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ефекти умножавања, синергија</w:t>
            </w:r>
          </w:p>
        </w:tc>
        <w:tc>
          <w:tcPr>
            <w:tcW w:w="11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 Мера је искључиво везана за пројекте о којима се извештава по ОПГ обрасцима</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306"/>
        <w:gridCol w:w="8094"/>
      </w:tblGrid>
      <w:tr>
        <w:trPr>
          <w:trHeight w:val="45" w:hRule="atLeast"/>
        </w:trPr>
        <w:tc>
          <w:tcPr>
            <w:tcW w:w="6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8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грађевинска регулатива и сертификати о енергетским својствима зграда</w:t>
            </w:r>
          </w:p>
        </w:tc>
      </w:tr>
      <w:tr>
        <w:trPr>
          <w:trHeight w:val="45" w:hRule="atLeast"/>
        </w:trPr>
        <w:tc>
          <w:tcPr>
            <w:tcW w:w="6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8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ЈК2</w:t>
            </w:r>
          </w:p>
        </w:tc>
      </w:tr>
      <w:tr>
        <w:trPr>
          <w:trHeight w:val="45" w:hRule="atLeast"/>
        </w:trPr>
        <w:tc>
          <w:tcPr>
            <w:tcW w:w="6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8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 (1.1. Правилници, стандарди и примена)</w:t>
            </w:r>
          </w:p>
          <w:p>
            <w:pPr>
              <w:spacing w:after="150"/>
              <w:ind w:left="0"/>
              <w:jc w:val="left"/>
            </w:pPr>
            <w:r>
              <w:rPr>
                <w:rFonts w:ascii="Verdana"/>
                <w:b w:val="false"/>
                <w:i w:val="false"/>
                <w:color w:val="000000"/>
                <w:sz w:val="22"/>
              </w:rPr>
              <w:t>2. Информације и мере обавезних информација</w:t>
            </w:r>
          </w:p>
          <w:p>
            <w:pPr>
              <w:spacing w:after="150"/>
              <w:ind w:left="0"/>
              <w:jc w:val="left"/>
            </w:pPr>
            <w:r>
              <w:rPr>
                <w:rFonts w:ascii="Verdana"/>
                <w:b w:val="false"/>
                <w:i w:val="false"/>
                <w:color w:val="000000"/>
                <w:sz w:val="22"/>
              </w:rPr>
              <w:t>2.2 Енергетски пасош зграде (Шеме обележавања ЕЕ)</w:t>
            </w:r>
          </w:p>
        </w:tc>
      </w:tr>
      <w:tr>
        <w:trPr>
          <w:trHeight w:val="45" w:hRule="atLeast"/>
        </w:trPr>
        <w:tc>
          <w:tcPr>
            <w:tcW w:w="6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8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2011, продужена до 2021. године</w:t>
            </w:r>
          </w:p>
          <w:p>
            <w:pPr>
              <w:spacing w:after="150"/>
              <w:ind w:left="0"/>
              <w:jc w:val="left"/>
            </w:pPr>
            <w:r>
              <w:rPr>
                <w:rFonts w:ascii="Verdana"/>
                <w:b w:val="false"/>
                <w:i w:val="false"/>
                <w:color w:val="000000"/>
                <w:sz w:val="22"/>
              </w:rPr>
              <w:t>Раних мера није било</w:t>
            </w:r>
          </w:p>
        </w:tc>
      </w:tr>
      <w:tr>
        <w:trPr>
          <w:trHeight w:val="45" w:hRule="atLeast"/>
        </w:trPr>
        <w:tc>
          <w:tcPr>
            <w:tcW w:w="6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8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Остваривање уштеда енергије код изградње нових зграда и реконструкције постојећих зграда у јавном и комерцијалном сектору:</w:t>
            </w:r>
          </w:p>
          <w:p>
            <w:pPr>
              <w:spacing w:after="150"/>
              <w:ind w:left="0"/>
              <w:jc w:val="left"/>
            </w:pPr>
            <w:r>
              <w:rPr>
                <w:rFonts w:ascii="Verdana"/>
                <w:b w:val="false"/>
                <w:i w:val="false"/>
                <w:color w:val="000000"/>
                <w:sz w:val="22"/>
              </w:rPr>
              <w:t>– применом нове грађевинске регулативе која дефинише обавезну употребу релевантних стандарда (у којима су дефинисани минимални критеријуми за енергетску ефикасност зграда)</w:t>
            </w:r>
          </w:p>
          <w:p>
            <w:pPr>
              <w:spacing w:after="150"/>
              <w:ind w:left="0"/>
              <w:jc w:val="left"/>
            </w:pPr>
            <w:r>
              <w:rPr>
                <w:rFonts w:ascii="Verdana"/>
                <w:b w:val="false"/>
                <w:i w:val="false"/>
                <w:color w:val="000000"/>
                <w:sz w:val="22"/>
              </w:rPr>
              <w:t>– израдом сертификата о енергетским својствима зграда.</w:t>
            </w:r>
          </w:p>
        </w:tc>
      </w:tr>
      <w:tr>
        <w:trPr>
          <w:trHeight w:val="45" w:hRule="atLeast"/>
        </w:trPr>
        <w:tc>
          <w:tcPr>
            <w:tcW w:w="6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8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Постојеће зграде у реконструкцији и нове зграде</w:t>
            </w:r>
          </w:p>
        </w:tc>
      </w:tr>
      <w:tr>
        <w:trPr>
          <w:trHeight w:val="45" w:hRule="atLeast"/>
        </w:trPr>
        <w:tc>
          <w:tcPr>
            <w:tcW w:w="6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8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и комерцијални сектор</w:t>
            </w:r>
          </w:p>
        </w:tc>
      </w:tr>
      <w:tr>
        <w:trPr>
          <w:trHeight w:val="45" w:hRule="atLeast"/>
        </w:trPr>
        <w:tc>
          <w:tcPr>
            <w:tcW w:w="6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8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регионална,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6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8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Прописи који прате Закон о планирању и изградњи који су у вези са енергетском ефикасношћу су следећи:</w:t>
            </w:r>
          </w:p>
          <w:p>
            <w:pPr>
              <w:spacing w:after="150"/>
              <w:ind w:left="0"/>
              <w:jc w:val="left"/>
            </w:pPr>
            <w:r>
              <w:rPr>
                <w:rFonts w:ascii="Verdana"/>
                <w:b w:val="false"/>
                <w:i w:val="false"/>
                <w:color w:val="000000"/>
                <w:sz w:val="22"/>
              </w:rPr>
              <w:t>• Правилник о енергетској ефикасности у зградама, који прописује енергетске перформансе и методологију за израчунавање топлотних перформанси зграде као и потребу за енергијом у новим и постојећим зградама,</w:t>
            </w:r>
          </w:p>
          <w:p>
            <w:pPr>
              <w:spacing w:after="150"/>
              <w:ind w:left="0"/>
              <w:jc w:val="left"/>
            </w:pPr>
            <w:r>
              <w:rPr>
                <w:rFonts w:ascii="Verdana"/>
                <w:b w:val="false"/>
                <w:i w:val="false"/>
                <w:color w:val="000000"/>
                <w:sz w:val="22"/>
              </w:rPr>
              <w:t>• Правилник о енергетској сертификацији зграда који прописује услове, садржај и начин обављања енергетске сертификације зграда.</w:t>
            </w:r>
          </w:p>
          <w:p>
            <w:pPr>
              <w:spacing w:after="150"/>
              <w:ind w:left="0"/>
              <w:jc w:val="left"/>
            </w:pPr>
            <w:r>
              <w:rPr>
                <w:rFonts w:ascii="Verdana"/>
                <w:b w:val="false"/>
                <w:i w:val="false"/>
                <w:color w:val="000000"/>
                <w:sz w:val="22"/>
              </w:rPr>
              <w:t>Ови правилници су омогућили транспозицију одредби ЕПБД везаних за енергетску ефикасност у зградама у национално законодавство.</w:t>
            </w:r>
          </w:p>
          <w:p>
            <w:pPr>
              <w:spacing w:after="150"/>
              <w:ind w:left="0"/>
              <w:jc w:val="left"/>
            </w:pPr>
            <w:r>
              <w:rPr>
                <w:rFonts w:ascii="Verdana"/>
                <w:b w:val="false"/>
                <w:i w:val="false"/>
                <w:color w:val="000000"/>
                <w:sz w:val="22"/>
              </w:rPr>
              <w:t>У складу са захтевима дефинисаним у овим прописима, све нове зграде и зграде које се реновирају морају да имају енергетске пасоше и да испуњавају минимум захтеве „Ц” класе зграда.</w:t>
            </w:r>
          </w:p>
        </w:tc>
      </w:tr>
      <w:tr>
        <w:trPr>
          <w:trHeight w:val="45" w:hRule="atLeast"/>
        </w:trPr>
        <w:tc>
          <w:tcPr>
            <w:tcW w:w="6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8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Републике Србије.</w:t>
            </w:r>
          </w:p>
          <w:p>
            <w:pPr>
              <w:spacing w:after="150"/>
              <w:ind w:left="0"/>
              <w:jc w:val="left"/>
            </w:pPr>
            <w:r>
              <w:rPr>
                <w:rFonts w:ascii="Verdana"/>
                <w:b w:val="false"/>
                <w:i w:val="false"/>
                <w:color w:val="000000"/>
                <w:sz w:val="22"/>
              </w:rPr>
              <w:t>Средства инвеститора који гради нови објекат или реконструише стари.</w:t>
            </w:r>
          </w:p>
        </w:tc>
      </w:tr>
      <w:tr>
        <w:trPr>
          <w:trHeight w:val="45" w:hRule="atLeast"/>
        </w:trPr>
        <w:tc>
          <w:tcPr>
            <w:tcW w:w="6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8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w:t>
            </w:r>
          </w:p>
          <w:p>
            <w:pPr>
              <w:spacing w:after="150"/>
              <w:ind w:left="0"/>
              <w:jc w:val="left"/>
            </w:pPr>
            <w:r>
              <w:rPr>
                <w:rFonts w:ascii="Verdana"/>
                <w:b w:val="false"/>
                <w:i w:val="false"/>
                <w:color w:val="000000"/>
                <w:sz w:val="22"/>
              </w:rPr>
              <w:t>Инжењерска комора Србије и друге релевантне институције</w:t>
            </w:r>
          </w:p>
        </w:tc>
      </w:tr>
      <w:tr>
        <w:trPr>
          <w:trHeight w:val="45" w:hRule="atLeast"/>
        </w:trPr>
        <w:tc>
          <w:tcPr>
            <w:tcW w:w="6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8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МРЕ</w:t>
            </w:r>
          </w:p>
        </w:tc>
      </w:tr>
      <w:tr>
        <w:trPr>
          <w:trHeight w:val="45" w:hRule="atLeast"/>
        </w:trPr>
        <w:tc>
          <w:tcPr>
            <w:tcW w:w="6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w:t>
            </w:r>
          </w:p>
        </w:tc>
        <w:tc>
          <w:tcPr>
            <w:tcW w:w="8094" w:type="dxa"/>
            <w:tcBorders>
              <w:top w:val="single" w:color="000000" w:sz="8"/>
              <w:left w:val="single" w:color="000000" w:sz="8"/>
              <w:bottom w:val="single" w:color="000000" w:sz="8"/>
              <w:right w:val="single" w:color="000000" w:sz="8"/>
            </w:tcBorders>
            <w:vAlign w:val="center"/>
          </w:tcPr>
          <w:p/>
        </w:tc>
      </w:tr>
      <w:tr>
        <w:trPr>
          <w:trHeight w:val="45" w:hRule="atLeast"/>
        </w:trPr>
        <w:tc>
          <w:tcPr>
            <w:tcW w:w="6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8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Методологија ОПД</w:t>
            </w:r>
          </w:p>
          <w:p>
            <w:pPr>
              <w:spacing w:after="150"/>
              <w:ind w:left="0"/>
              <w:jc w:val="left"/>
            </w:pPr>
            <w:r>
              <w:rPr>
                <w:rFonts w:ascii="Verdana"/>
                <w:b w:val="false"/>
                <w:i w:val="false"/>
                <w:color w:val="000000"/>
                <w:sz w:val="22"/>
              </w:rPr>
              <w:t>Методологија ОПГ (метода ОПГ7)</w:t>
            </w:r>
          </w:p>
        </w:tc>
      </w:tr>
      <w:tr>
        <w:trPr>
          <w:trHeight w:val="45" w:hRule="atLeast"/>
        </w:trPr>
        <w:tc>
          <w:tcPr>
            <w:tcW w:w="6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8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33,6 ktoe</w:t>
            </w:r>
          </w:p>
        </w:tc>
      </w:tr>
      <w:tr>
        <w:trPr>
          <w:trHeight w:val="45" w:hRule="atLeast"/>
        </w:trPr>
        <w:tc>
          <w:tcPr>
            <w:tcW w:w="6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8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30,3 ktoe</w:t>
            </w:r>
          </w:p>
        </w:tc>
      </w:tr>
      <w:tr>
        <w:trPr>
          <w:trHeight w:val="45" w:hRule="atLeast"/>
        </w:trPr>
        <w:tc>
          <w:tcPr>
            <w:tcW w:w="6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8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Све уштеде енергије приликом изградње нових и надоградње постојећих објеката приписују се мери ЈК2.</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747"/>
        <w:gridCol w:w="9653"/>
      </w:tblGrid>
      <w:tr>
        <w:trPr>
          <w:trHeight w:val="45" w:hRule="atLeast"/>
        </w:trPr>
        <w:tc>
          <w:tcPr>
            <w:tcW w:w="4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9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Модернизација система јавног осветљења у ЈЛС</w:t>
            </w:r>
          </w:p>
        </w:tc>
      </w:tr>
      <w:tr>
        <w:trPr>
          <w:trHeight w:val="45" w:hRule="atLeast"/>
        </w:trPr>
        <w:tc>
          <w:tcPr>
            <w:tcW w:w="4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9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ЈК3</w:t>
            </w:r>
          </w:p>
        </w:tc>
      </w:tr>
      <w:tr>
        <w:trPr>
          <w:trHeight w:val="45" w:hRule="atLeast"/>
        </w:trPr>
        <w:tc>
          <w:tcPr>
            <w:tcW w:w="4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9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Информације и обавезне мере информисања (2.7 Угледни пример јавног сектора)</w:t>
            </w:r>
          </w:p>
          <w:p>
            <w:pPr>
              <w:spacing w:after="150"/>
              <w:ind w:left="0"/>
              <w:jc w:val="left"/>
            </w:pPr>
            <w:r>
              <w:rPr>
                <w:rFonts w:ascii="Verdana"/>
                <w:b w:val="false"/>
                <w:i w:val="false"/>
                <w:color w:val="000000"/>
                <w:sz w:val="22"/>
              </w:rPr>
              <w:t>3. Финансијски инструменти (Управа)</w:t>
            </w:r>
          </w:p>
          <w:p>
            <w:pPr>
              <w:spacing w:after="150"/>
              <w:ind w:left="0"/>
              <w:jc w:val="left"/>
            </w:pPr>
            <w:r>
              <w:rPr>
                <w:rFonts w:ascii="Verdana"/>
                <w:b w:val="false"/>
                <w:i w:val="false"/>
                <w:color w:val="000000"/>
                <w:sz w:val="22"/>
              </w:rPr>
              <w:t>4. Добровољни споразуми кооперативни инструменти (4.3 енергетски ефикасне јавне набавке)</w:t>
            </w:r>
          </w:p>
        </w:tc>
      </w:tr>
      <w:tr>
        <w:trPr>
          <w:trHeight w:val="45" w:hRule="atLeast"/>
        </w:trPr>
        <w:tc>
          <w:tcPr>
            <w:tcW w:w="4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9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2010, продужено до 2021. године</w:t>
            </w:r>
          </w:p>
          <w:p>
            <w:pPr>
              <w:spacing w:after="150"/>
              <w:ind w:left="0"/>
              <w:jc w:val="left"/>
            </w:pPr>
            <w:r>
              <w:rPr>
                <w:rFonts w:ascii="Verdana"/>
                <w:b w:val="false"/>
                <w:i w:val="false"/>
                <w:color w:val="000000"/>
                <w:sz w:val="22"/>
              </w:rPr>
              <w:t>Ране мере: ЕМ5.</w:t>
            </w:r>
          </w:p>
        </w:tc>
      </w:tr>
      <w:tr>
        <w:trPr>
          <w:trHeight w:val="45" w:hRule="atLeast"/>
        </w:trPr>
        <w:tc>
          <w:tcPr>
            <w:tcW w:w="4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9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 постигнуте следећим активностима:</w:t>
            </w:r>
          </w:p>
          <w:p>
            <w:pPr>
              <w:spacing w:after="150"/>
              <w:ind w:left="0"/>
              <w:jc w:val="left"/>
            </w:pPr>
            <w:r>
              <w:rPr>
                <w:rFonts w:ascii="Verdana"/>
                <w:b w:val="false"/>
                <w:i w:val="false"/>
                <w:color w:val="000000"/>
                <w:sz w:val="22"/>
              </w:rPr>
              <w:t>1) Замена постојећих уличних светиљки у систему јавног осветљења модерним светиљкама са енергетски-ефикасним изворима светлости и боље оптичке карактеристике које омогућавају већу ефикасност светиљки.</w:t>
            </w:r>
          </w:p>
          <w:p>
            <w:pPr>
              <w:spacing w:after="150"/>
              <w:ind w:left="0"/>
              <w:jc w:val="left"/>
            </w:pPr>
            <w:r>
              <w:rPr>
                <w:rFonts w:ascii="Verdana"/>
                <w:b w:val="false"/>
                <w:i w:val="false"/>
                <w:color w:val="000000"/>
                <w:sz w:val="22"/>
              </w:rPr>
              <w:t>2) Увођење механизма регулације у систем јавног осветљења.</w:t>
            </w:r>
          </w:p>
          <w:p>
            <w:pPr>
              <w:spacing w:after="150"/>
              <w:ind w:left="0"/>
              <w:jc w:val="left"/>
            </w:pPr>
            <w:r>
              <w:rPr>
                <w:rFonts w:ascii="Verdana"/>
                <w:b w:val="false"/>
                <w:i w:val="false"/>
                <w:color w:val="000000"/>
                <w:sz w:val="22"/>
              </w:rPr>
              <w:t>Убудуће, унапређење енергетске ефикасности у јавном осветљењу може бити снажно подстакнуто и хоризонталном мером Х3 о захтевима еколошког дизајна (eco-design) од којих се очекује да промене тржиште извора светлости.</w:t>
            </w:r>
          </w:p>
        </w:tc>
      </w:tr>
      <w:tr>
        <w:trPr>
          <w:trHeight w:val="45" w:hRule="atLeast"/>
        </w:trPr>
        <w:tc>
          <w:tcPr>
            <w:tcW w:w="4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9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Системи јавног осветљења у општинама/градовима</w:t>
            </w:r>
          </w:p>
        </w:tc>
      </w:tr>
      <w:tr>
        <w:trPr>
          <w:trHeight w:val="45" w:hRule="atLeast"/>
        </w:trPr>
        <w:tc>
          <w:tcPr>
            <w:tcW w:w="4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9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Предузећа надлежна за јавно осветљење на нивоу локалне самоуправе</w:t>
            </w:r>
          </w:p>
        </w:tc>
      </w:tr>
      <w:tr>
        <w:trPr>
          <w:trHeight w:val="45" w:hRule="atLeast"/>
        </w:trPr>
        <w:tc>
          <w:tcPr>
            <w:tcW w:w="4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9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регионална,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4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9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Трошкове утрошене електричне енергије и одржавања система јавног осветљења сносиће локалне самоуправе. Оне ће такође одлучивати о инвестицијама у проширење и реконструкцију система. Процењене уштеде енергије након модернизације су веома високе, просечно око 30%.</w:t>
            </w:r>
          </w:p>
          <w:p>
            <w:pPr>
              <w:spacing w:after="150"/>
              <w:ind w:left="0"/>
              <w:jc w:val="left"/>
            </w:pPr>
            <w:r>
              <w:rPr>
                <w:rFonts w:ascii="Verdana"/>
                <w:b w:val="false"/>
                <w:i w:val="false"/>
                <w:color w:val="000000"/>
                <w:sz w:val="22"/>
              </w:rPr>
              <w:t>На основу Закона о ЕКЕ 2015. године донет је Правилник о минималним критеријумима у погледу енергетске ефикасности у поступку јавне набавке добара, у коме се дефинишу критеријуми за енергетску ефикасност приликом јавне набавке ефикаснијих система јавног осветљења.</w:t>
            </w:r>
          </w:p>
        </w:tc>
      </w:tr>
      <w:tr>
        <w:trPr>
          <w:trHeight w:val="45" w:hRule="atLeast"/>
        </w:trPr>
        <w:tc>
          <w:tcPr>
            <w:tcW w:w="4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9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локалних самоуправа и аутономне покрајине (донације од 2007. године), ESCO</w:t>
            </w:r>
          </w:p>
          <w:p>
            <w:pPr>
              <w:spacing w:after="150"/>
              <w:ind w:left="0"/>
              <w:jc w:val="left"/>
            </w:pPr>
            <w:r>
              <w:rPr>
                <w:rFonts w:ascii="Verdana"/>
                <w:b w:val="false"/>
                <w:i w:val="false"/>
                <w:color w:val="000000"/>
                <w:sz w:val="22"/>
              </w:rPr>
              <w:t>Субвенције, зајмови или кредитне линије по повољним условима отплате омогућени су кроз Буџетски фонд за енергетску ефикасност/Управу за финансирање и подстицање енергетске ефикасности и друге повољне кредитне линије</w:t>
            </w:r>
          </w:p>
        </w:tc>
      </w:tr>
      <w:tr>
        <w:trPr>
          <w:trHeight w:val="45" w:hRule="atLeast"/>
        </w:trPr>
        <w:tc>
          <w:tcPr>
            <w:tcW w:w="4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9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Јавна предузећа задужена за јавно осветљење; ЈЛС; МРЕ, СКГО</w:t>
            </w:r>
          </w:p>
        </w:tc>
      </w:tr>
      <w:tr>
        <w:trPr>
          <w:trHeight w:val="45" w:hRule="atLeast"/>
        </w:trPr>
        <w:tc>
          <w:tcPr>
            <w:tcW w:w="4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9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4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енергије</w:t>
            </w:r>
          </w:p>
        </w:tc>
        <w:tc>
          <w:tcPr>
            <w:tcW w:w="9653" w:type="dxa"/>
            <w:tcBorders>
              <w:top w:val="single" w:color="000000" w:sz="8"/>
              <w:left w:val="single" w:color="000000" w:sz="8"/>
              <w:bottom w:val="single" w:color="000000" w:sz="8"/>
              <w:right w:val="single" w:color="000000" w:sz="8"/>
            </w:tcBorders>
            <w:vAlign w:val="center"/>
          </w:tcPr>
          <w:p/>
        </w:tc>
      </w:tr>
      <w:tr>
        <w:trPr>
          <w:trHeight w:val="45" w:hRule="atLeast"/>
        </w:trPr>
        <w:tc>
          <w:tcPr>
            <w:tcW w:w="4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9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Методологија ОПГ (метода ОПГ1)</w:t>
            </w:r>
          </w:p>
          <w:p>
            <w:pPr>
              <w:spacing w:after="150"/>
              <w:ind w:left="0"/>
              <w:jc w:val="left"/>
            </w:pPr>
            <w:r>
              <w:rPr>
                <w:rFonts w:ascii="Verdana"/>
                <w:b w:val="false"/>
                <w:i w:val="false"/>
                <w:color w:val="000000"/>
                <w:sz w:val="22"/>
              </w:rPr>
              <w:t>Ова мера је показала резултате слабије од предвиђања с обзиром на недовољно извештавање по ОПГ обрасцима</w:t>
            </w:r>
          </w:p>
        </w:tc>
      </w:tr>
      <w:tr>
        <w:trPr>
          <w:trHeight w:val="45" w:hRule="atLeast"/>
        </w:trPr>
        <w:tc>
          <w:tcPr>
            <w:tcW w:w="4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9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0,72 ktoe</w:t>
            </w:r>
          </w:p>
        </w:tc>
      </w:tr>
      <w:tr>
        <w:trPr>
          <w:trHeight w:val="45" w:hRule="atLeast"/>
        </w:trPr>
        <w:tc>
          <w:tcPr>
            <w:tcW w:w="4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9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 ktoe</w:t>
            </w:r>
          </w:p>
        </w:tc>
      </w:tr>
      <w:tr>
        <w:trPr>
          <w:trHeight w:val="45" w:hRule="atLeast"/>
        </w:trPr>
        <w:tc>
          <w:tcPr>
            <w:tcW w:w="4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9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 преклапа се</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888"/>
        <w:gridCol w:w="12512"/>
      </w:tblGrid>
      <w:tr>
        <w:trPr>
          <w:trHeight w:val="45" w:hRule="atLeast"/>
        </w:trPr>
        <w:tc>
          <w:tcPr>
            <w:tcW w:w="18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1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енергетског менаџмента (СЕМ)</w:t>
            </w:r>
            <w:r>
              <w:br/>
            </w:r>
            <w:r>
              <w:rPr>
                <w:rFonts w:ascii="Verdana"/>
                <w:b w:val="false"/>
                <w:i w:val="false"/>
                <w:color w:val="000000"/>
                <w:sz w:val="22"/>
              </w:rPr>
              <w:t>у јавни и комерцијални сектор</w:t>
            </w:r>
          </w:p>
        </w:tc>
      </w:tr>
      <w:tr>
        <w:trPr>
          <w:trHeight w:val="45" w:hRule="atLeast"/>
        </w:trPr>
        <w:tc>
          <w:tcPr>
            <w:tcW w:w="18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1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ЈК4</w:t>
            </w:r>
          </w:p>
        </w:tc>
      </w:tr>
      <w:tr>
        <w:trPr>
          <w:trHeight w:val="45" w:hRule="atLeast"/>
        </w:trPr>
        <w:tc>
          <w:tcPr>
            <w:tcW w:w="18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 (Уредба о утврђивању граничних вредности годишње потрошње енергије на основу којих се одређује која привредна друштва су обвезници система енергетског менаџмента, годишњих циљева уштеде енергије и обрасца пријаве о оствареној потрошњи енергије и правилници којима се успоставља систем енергетског менаџмента)</w:t>
            </w:r>
          </w:p>
          <w:p>
            <w:pPr>
              <w:spacing w:after="150"/>
              <w:ind w:left="0"/>
              <w:jc w:val="left"/>
            </w:pPr>
            <w:r>
              <w:rPr>
                <w:rFonts w:ascii="Verdana"/>
                <w:b w:val="false"/>
                <w:i w:val="false"/>
                <w:color w:val="000000"/>
                <w:sz w:val="22"/>
              </w:rPr>
              <w:t>2. Информације и обавезне мере информисања</w:t>
            </w:r>
            <w:r>
              <w:br/>
            </w:r>
            <w:r>
              <w:rPr>
                <w:rFonts w:ascii="Verdana"/>
                <w:b w:val="false"/>
                <w:i w:val="false"/>
                <w:color w:val="000000"/>
                <w:sz w:val="22"/>
              </w:rPr>
              <w:t>(2.7 Угледни пример јавног сектора)</w:t>
            </w:r>
          </w:p>
        </w:tc>
      </w:tr>
      <w:tr>
        <w:trPr>
          <w:trHeight w:val="45" w:hRule="atLeast"/>
        </w:trPr>
        <w:tc>
          <w:tcPr>
            <w:tcW w:w="18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2017. година – Трајна активност</w:t>
            </w:r>
          </w:p>
          <w:p>
            <w:pPr>
              <w:spacing w:after="150"/>
              <w:ind w:left="0"/>
              <w:jc w:val="left"/>
            </w:pPr>
            <w:r>
              <w:rPr>
                <w:rFonts w:ascii="Verdana"/>
                <w:b w:val="false"/>
                <w:i w:val="false"/>
                <w:color w:val="000000"/>
                <w:sz w:val="22"/>
              </w:rPr>
              <w:t>Раних мера није било</w:t>
            </w:r>
          </w:p>
        </w:tc>
      </w:tr>
      <w:tr>
        <w:trPr>
          <w:trHeight w:val="45" w:hRule="atLeast"/>
        </w:trPr>
        <w:tc>
          <w:tcPr>
            <w:tcW w:w="18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се примењивала у складу са Законом о ЕКЕ, а у будуће ће се примењивати у складу са ЗЕЕРУЕ:</w:t>
            </w:r>
          </w:p>
          <w:p>
            <w:pPr>
              <w:spacing w:after="150"/>
              <w:ind w:left="0"/>
              <w:jc w:val="left"/>
            </w:pPr>
            <w:r>
              <w:rPr>
                <w:rFonts w:ascii="Verdana"/>
                <w:b w:val="false"/>
                <w:i w:val="false"/>
                <w:color w:val="000000"/>
                <w:sz w:val="22"/>
              </w:rPr>
              <w:t>1) Прикупљањем и анализом података о потрошњи енергије, предлозима мера и активности са циљем повећања ЕЕ,</w:t>
            </w:r>
          </w:p>
          <w:p>
            <w:pPr>
              <w:spacing w:after="150"/>
              <w:ind w:left="0"/>
              <w:jc w:val="left"/>
            </w:pPr>
            <w:r>
              <w:rPr>
                <w:rFonts w:ascii="Verdana"/>
                <w:b w:val="false"/>
                <w:i w:val="false"/>
                <w:color w:val="000000"/>
                <w:sz w:val="22"/>
              </w:rPr>
              <w:t>2) развојем програма и планова за ефикасну употребу енергије и информише МРЕ,</w:t>
            </w:r>
          </w:p>
          <w:p>
            <w:pPr>
              <w:spacing w:after="150"/>
              <w:ind w:left="0"/>
              <w:jc w:val="left"/>
            </w:pPr>
            <w:r>
              <w:rPr>
                <w:rFonts w:ascii="Verdana"/>
                <w:b w:val="false"/>
                <w:i w:val="false"/>
                <w:color w:val="000000"/>
                <w:sz w:val="22"/>
              </w:rPr>
              <w:t>3) Применом предложених мера и активности,</w:t>
            </w:r>
          </w:p>
          <w:p>
            <w:pPr>
              <w:spacing w:after="150"/>
              <w:ind w:left="0"/>
              <w:jc w:val="left"/>
            </w:pPr>
            <w:r>
              <w:rPr>
                <w:rFonts w:ascii="Verdana"/>
                <w:b w:val="false"/>
                <w:i w:val="false"/>
                <w:color w:val="000000"/>
                <w:sz w:val="22"/>
              </w:rPr>
              <w:t>4) Израдом и подношењем периодичних извештаја МРЕ-у (о потрошњи енергије и оствареним уштедама),</w:t>
            </w:r>
          </w:p>
          <w:p>
            <w:pPr>
              <w:spacing w:after="150"/>
              <w:ind w:left="0"/>
              <w:jc w:val="left"/>
            </w:pPr>
            <w:r>
              <w:rPr>
                <w:rFonts w:ascii="Verdana"/>
                <w:b w:val="false"/>
                <w:i w:val="false"/>
                <w:color w:val="000000"/>
                <w:sz w:val="22"/>
              </w:rPr>
              <w:t>5) Спровођењем периодичних енергетских ревизија.</w:t>
            </w:r>
          </w:p>
          <w:p>
            <w:pPr>
              <w:spacing w:after="150"/>
              <w:ind w:left="0"/>
              <w:jc w:val="left"/>
            </w:pPr>
            <w:r>
              <w:rPr>
                <w:rFonts w:ascii="Verdana"/>
                <w:b w:val="false"/>
                <w:i w:val="false"/>
                <w:color w:val="000000"/>
                <w:sz w:val="22"/>
              </w:rPr>
              <w:t>Активност обавља енергетски менаџер који поседује одговарајућу лиценцу у складу са Законом о ЕКЕ, односно ЗЕЕРУЕ.</w:t>
            </w:r>
          </w:p>
        </w:tc>
      </w:tr>
      <w:tr>
        <w:trPr>
          <w:trHeight w:val="45" w:hRule="atLeast"/>
        </w:trPr>
        <w:tc>
          <w:tcPr>
            <w:tcW w:w="18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Обвезници система су јединице локалне самоуправе са преко 20.000 становника, органи државне управа и други органи РС и органи аутономне покрајине које користе зграде преко 2.000 m</w:t>
            </w:r>
            <w:r>
              <w:rPr>
                <w:rFonts w:ascii="Verdana"/>
                <w:b w:val="false"/>
                <w:i w:val="false"/>
                <w:color w:val="000000"/>
                <w:sz w:val="22"/>
                <w:vertAlign w:val="superscript"/>
              </w:rPr>
              <w:t>2</w:t>
            </w:r>
            <w:r>
              <w:rPr>
                <w:rFonts w:ascii="Verdana"/>
                <w:b w:val="false"/>
                <w:i w:val="false"/>
                <w:color w:val="000000"/>
                <w:sz w:val="22"/>
              </w:rPr>
              <w:t>, јавне службе (јавна предузећа, школе, болнице…), привредна друштва чија је претежна делатност у сектору трговине и услуга са годишњом потрошњом енергије већом од 1000 toe</w:t>
            </w:r>
          </w:p>
        </w:tc>
      </w:tr>
      <w:tr>
        <w:trPr>
          <w:trHeight w:val="45" w:hRule="atLeast"/>
        </w:trPr>
        <w:tc>
          <w:tcPr>
            <w:tcW w:w="18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услуга</w:t>
            </w:r>
          </w:p>
        </w:tc>
      </w:tr>
      <w:tr>
        <w:trPr>
          <w:trHeight w:val="45" w:hRule="atLeast"/>
        </w:trPr>
        <w:tc>
          <w:tcPr>
            <w:tcW w:w="18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локална: ЈЛС са више од 20.000 становника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18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Влада је уредбом утврдила граничне вредности годишње потрошње енергије на основу којих се одређују обвезници система енергетског менаџмента у јавно комерцијалном сектору, годишње циљеве уштеде енергије и обрасце пријаве о оствареној потрошњи енергије.</w:t>
            </w:r>
          </w:p>
          <w:p>
            <w:pPr>
              <w:spacing w:after="150"/>
              <w:ind w:left="0"/>
              <w:jc w:val="left"/>
            </w:pPr>
            <w:r>
              <w:rPr>
                <w:rFonts w:ascii="Verdana"/>
                <w:b w:val="false"/>
                <w:i w:val="false"/>
                <w:color w:val="000000"/>
                <w:sz w:val="22"/>
              </w:rPr>
              <w:t>Обвезници СЕМ су у обавези да именују енергетског менаџера (ЕМ), са одговарајућом лиценцом који је одговоран да прати и анализира податке о потрошњи енергије, планира и спроводи мере УЕЕ. Обвезник СЕМ припрема планове и програме енергетске ефикасности и информише МРЕ о резултатима њиховог спровођења на годишњем нивоу. Обавеза обвезника из ова два сектора је да обаве енергетски преглед бар једном у десет година.</w:t>
            </w:r>
          </w:p>
          <w:p>
            <w:pPr>
              <w:spacing w:after="150"/>
              <w:ind w:left="0"/>
              <w:jc w:val="left"/>
            </w:pPr>
            <w:r>
              <w:rPr>
                <w:rFonts w:ascii="Verdana"/>
                <w:b w:val="false"/>
                <w:i w:val="false"/>
                <w:color w:val="000000"/>
                <w:sz w:val="22"/>
              </w:rPr>
              <w:t>Систем има за циљ да се за СЕМ пропишу обавезе смањења потрошње енергије али да СЕМ има слободу да своје обавезе испуни на начин који је за њега најпогоднији. Своје циљеве СЕМ може да оствари организационим и инвестиционим мерама.</w:t>
            </w:r>
          </w:p>
          <w:p>
            <w:pPr>
              <w:spacing w:after="150"/>
              <w:ind w:left="0"/>
              <w:jc w:val="left"/>
            </w:pPr>
            <w:r>
              <w:rPr>
                <w:rFonts w:ascii="Verdana"/>
                <w:b w:val="false"/>
                <w:i w:val="false"/>
                <w:color w:val="000000"/>
                <w:sz w:val="22"/>
              </w:rPr>
              <w:t>У оквиру мере предвиђено је и подстицање развоја система енергетског менаџмента код субјеката који нису обвезници система.</w:t>
            </w:r>
          </w:p>
          <w:p>
            <w:pPr>
              <w:spacing w:after="150"/>
              <w:ind w:left="0"/>
              <w:jc w:val="left"/>
            </w:pPr>
            <w:r>
              <w:rPr>
                <w:rFonts w:ascii="Verdana"/>
                <w:b w:val="false"/>
                <w:i w:val="false"/>
                <w:color w:val="000000"/>
                <w:sz w:val="22"/>
              </w:rPr>
              <w:t>Успостављање СЕМ, МРЕ је обезбедило из донација Јапана, Норвешке и UNDP. Јапанским пројектом успостављена су три програм обуке за енергетске менаџере , припреме подзаконских аката, основан је центар за обуку енергетских менаџера и енергетских саветника, као и база података и интегрисана платформа за прикупљање и анализу података које доставе изабране организације. Норвешка донација је помогла да се финансира стварање СЕМИС базе података и интегрисане платформе за прикупљање података о обављеним енергетским ревизијама. UNDP је донирао ИСЕМ базу података за енергетски менаџмент на локалном нивоу, којом се прати потрошња различитих врста енергије по објектима.</w:t>
            </w:r>
          </w:p>
          <w:p>
            <w:pPr>
              <w:spacing w:after="150"/>
              <w:ind w:left="0"/>
              <w:jc w:val="left"/>
            </w:pPr>
            <w:r>
              <w:rPr>
                <w:rFonts w:ascii="Verdana"/>
                <w:b w:val="false"/>
                <w:i w:val="false"/>
                <w:color w:val="000000"/>
                <w:sz w:val="22"/>
              </w:rPr>
              <w:t>Прве уштеде преко ове мере могу се пратити на основу достављених годишњих извештаја обвезника ЈЛС за 2017. и 2018. годину. 24 ЈЛС су поднеле годишњи извештај о остваривању циљева уштеда енергија за 2018. годину, од којих 12 није ушло у разматрање уштеда енергије из разлога што је дошло до повећања потрошње из оправданих разлога или су одбачени зато што није било података за 2017. годину. Посматрајући 12 годишњих извештаја код којих је дошло до смањења потрошње примарне енергије израчуната је укупно смањење потрошње примарне енергије од 2,894.03 тое а финалне енергије 1,495.75 тое</w:t>
            </w:r>
            <w:r>
              <w:rPr>
                <w:rFonts w:ascii="Verdana"/>
                <w:b/>
                <w:i w:val="false"/>
                <w:color w:val="000000"/>
                <w:sz w:val="22"/>
              </w:rPr>
              <w:t>.</w:t>
            </w:r>
          </w:p>
        </w:tc>
      </w:tr>
      <w:tr>
        <w:trPr>
          <w:trHeight w:val="45" w:hRule="atLeast"/>
        </w:trPr>
        <w:tc>
          <w:tcPr>
            <w:tcW w:w="18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1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Средства именованих организација,</w:t>
            </w:r>
          </w:p>
          <w:p>
            <w:pPr>
              <w:spacing w:after="150"/>
              <w:ind w:left="0"/>
              <w:jc w:val="left"/>
            </w:pPr>
            <w:r>
              <w:rPr>
                <w:rFonts w:ascii="Verdana"/>
                <w:b w:val="false"/>
                <w:i w:val="false"/>
                <w:color w:val="000000"/>
                <w:sz w:val="22"/>
              </w:rPr>
              <w:t>Буџетски фонд за енергетску ефикасност/Управа за финансирање и подстицање енергетске ефикасности,</w:t>
            </w:r>
          </w:p>
          <w:p>
            <w:pPr>
              <w:spacing w:after="150"/>
              <w:ind w:left="0"/>
              <w:jc w:val="left"/>
            </w:pPr>
            <w:r>
              <w:rPr>
                <w:rFonts w:ascii="Verdana"/>
                <w:b w:val="false"/>
                <w:i w:val="false"/>
                <w:color w:val="000000"/>
                <w:sz w:val="22"/>
              </w:rPr>
              <w:t>ESCO,</w:t>
            </w:r>
          </w:p>
          <w:p>
            <w:pPr>
              <w:spacing w:after="150"/>
              <w:ind w:left="0"/>
              <w:jc w:val="left"/>
            </w:pPr>
            <w:r>
              <w:rPr>
                <w:rFonts w:ascii="Verdana"/>
                <w:b w:val="false"/>
                <w:i w:val="false"/>
                <w:color w:val="000000"/>
                <w:sz w:val="22"/>
              </w:rPr>
              <w:t>Зајмови и повољне кредитне линије које одобре ИФИ,</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18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обвезници система енергетског менаџмента</w:t>
            </w:r>
          </w:p>
        </w:tc>
      </w:tr>
      <w:tr>
        <w:trPr>
          <w:trHeight w:val="45" w:hRule="atLeast"/>
        </w:trPr>
        <w:tc>
          <w:tcPr>
            <w:tcW w:w="18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18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енергије</w:t>
            </w:r>
          </w:p>
        </w:tc>
        <w:tc>
          <w:tcPr>
            <w:tcW w:w="12512" w:type="dxa"/>
            <w:tcBorders>
              <w:top w:val="single" w:color="000000" w:sz="8"/>
              <w:left w:val="single" w:color="000000" w:sz="8"/>
              <w:bottom w:val="single" w:color="000000" w:sz="8"/>
              <w:right w:val="single" w:color="000000" w:sz="8"/>
            </w:tcBorders>
            <w:vAlign w:val="center"/>
          </w:tcPr>
          <w:p/>
        </w:tc>
      </w:tr>
      <w:tr>
        <w:trPr>
          <w:trHeight w:val="45" w:hRule="atLeast"/>
        </w:trPr>
        <w:tc>
          <w:tcPr>
            <w:tcW w:w="18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Именоване организације шаљу извештаје</w:t>
            </w:r>
          </w:p>
        </w:tc>
      </w:tr>
      <w:tr>
        <w:trPr>
          <w:trHeight w:val="45" w:hRule="atLeast"/>
        </w:trPr>
        <w:tc>
          <w:tcPr>
            <w:tcW w:w="18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1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1,63 ktoe</w:t>
            </w:r>
          </w:p>
        </w:tc>
      </w:tr>
      <w:tr>
        <w:trPr>
          <w:trHeight w:val="45" w:hRule="atLeast"/>
        </w:trPr>
        <w:tc>
          <w:tcPr>
            <w:tcW w:w="18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1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 ktoe</w:t>
            </w:r>
          </w:p>
        </w:tc>
      </w:tr>
      <w:tr>
        <w:trPr>
          <w:trHeight w:val="45" w:hRule="atLeast"/>
        </w:trPr>
        <w:tc>
          <w:tcPr>
            <w:tcW w:w="18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2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279"/>
        <w:gridCol w:w="9121"/>
      </w:tblGrid>
      <w:tr>
        <w:trPr>
          <w:trHeight w:val="45" w:hRule="atLeast"/>
        </w:trPr>
        <w:tc>
          <w:tcPr>
            <w:tcW w:w="52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91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Минимални критеријуми у погледу енергетске ефикасности у поступку јавне набавке добара</w:t>
            </w:r>
          </w:p>
        </w:tc>
      </w:tr>
      <w:tr>
        <w:trPr>
          <w:trHeight w:val="45" w:hRule="atLeast"/>
        </w:trPr>
        <w:tc>
          <w:tcPr>
            <w:tcW w:w="52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91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ЈК5</w:t>
            </w:r>
          </w:p>
        </w:tc>
      </w:tr>
      <w:tr>
        <w:trPr>
          <w:trHeight w:val="45" w:hRule="atLeast"/>
        </w:trPr>
        <w:tc>
          <w:tcPr>
            <w:tcW w:w="52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91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w:t>
            </w:r>
          </w:p>
          <w:p>
            <w:pPr>
              <w:spacing w:after="150"/>
              <w:ind w:left="0"/>
              <w:jc w:val="left"/>
            </w:pPr>
            <w:r>
              <w:rPr>
                <w:rFonts w:ascii="Verdana"/>
                <w:b w:val="false"/>
                <w:i w:val="false"/>
                <w:color w:val="000000"/>
                <w:sz w:val="22"/>
              </w:rPr>
              <w:t>2. Информације и обавезне мере информисања 2.7 Угледни пример јавног сектора</w:t>
            </w:r>
          </w:p>
        </w:tc>
      </w:tr>
      <w:tr>
        <w:trPr>
          <w:trHeight w:val="45" w:hRule="atLeast"/>
        </w:trPr>
        <w:tc>
          <w:tcPr>
            <w:tcW w:w="52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91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продужено до 2021. године</w:t>
            </w:r>
          </w:p>
          <w:p>
            <w:pPr>
              <w:spacing w:after="150"/>
              <w:ind w:left="0"/>
              <w:jc w:val="left"/>
            </w:pPr>
            <w:r>
              <w:rPr>
                <w:rFonts w:ascii="Verdana"/>
                <w:b w:val="false"/>
                <w:i w:val="false"/>
                <w:color w:val="000000"/>
                <w:sz w:val="22"/>
              </w:rPr>
              <w:t>Раних мера није било</w:t>
            </w:r>
          </w:p>
        </w:tc>
      </w:tr>
      <w:tr>
        <w:trPr>
          <w:trHeight w:val="45" w:hRule="atLeast"/>
        </w:trPr>
        <w:tc>
          <w:tcPr>
            <w:tcW w:w="52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91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Ова мера укључује минималне критеријуме у погледу енергетске ефикасности у поступак јавне набавке у складу са Законом о ЕКЕ/ЗЕЕРУЕ и подзаконским актом .</w:t>
            </w:r>
          </w:p>
          <w:p>
            <w:pPr>
              <w:spacing w:after="150"/>
              <w:ind w:left="0"/>
              <w:jc w:val="left"/>
            </w:pPr>
            <w:r>
              <w:rPr>
                <w:rFonts w:ascii="Verdana"/>
                <w:b w:val="false"/>
                <w:i w:val="false"/>
                <w:color w:val="000000"/>
                <w:sz w:val="22"/>
              </w:rPr>
              <w:t>Минимални критеријуми у погледу енергетске ефикасности прописани овим правилником примењују се на набавку:</w:t>
            </w:r>
          </w:p>
          <w:p>
            <w:pPr>
              <w:spacing w:after="150"/>
              <w:ind w:left="0"/>
              <w:jc w:val="left"/>
            </w:pPr>
            <w:r>
              <w:rPr>
                <w:rFonts w:ascii="Verdana"/>
                <w:b w:val="false"/>
                <w:i w:val="false"/>
                <w:color w:val="000000"/>
                <w:sz w:val="22"/>
              </w:rPr>
              <w:t>1) канцеларијске информатичке опреме;</w:t>
            </w:r>
          </w:p>
          <w:p>
            <w:pPr>
              <w:spacing w:after="150"/>
              <w:ind w:left="0"/>
              <w:jc w:val="left"/>
            </w:pPr>
            <w:r>
              <w:rPr>
                <w:rFonts w:ascii="Verdana"/>
                <w:b w:val="false"/>
                <w:i w:val="false"/>
                <w:color w:val="000000"/>
                <w:sz w:val="22"/>
              </w:rPr>
              <w:t>2) фрижидера и фрижидера са одељком за замрзавање хране;</w:t>
            </w:r>
          </w:p>
          <w:p>
            <w:pPr>
              <w:spacing w:after="150"/>
              <w:ind w:left="0"/>
              <w:jc w:val="left"/>
            </w:pPr>
            <w:r>
              <w:rPr>
                <w:rFonts w:ascii="Verdana"/>
                <w:b w:val="false"/>
                <w:i w:val="false"/>
                <w:color w:val="000000"/>
                <w:sz w:val="22"/>
              </w:rPr>
              <w:t>3) уређаја за климатизацију;</w:t>
            </w:r>
          </w:p>
          <w:p>
            <w:pPr>
              <w:spacing w:after="150"/>
              <w:ind w:left="0"/>
              <w:jc w:val="left"/>
            </w:pPr>
            <w:r>
              <w:rPr>
                <w:rFonts w:ascii="Verdana"/>
                <w:b w:val="false"/>
                <w:i w:val="false"/>
                <w:color w:val="000000"/>
                <w:sz w:val="22"/>
              </w:rPr>
              <w:t>4) унутрашњег и спољног осветљења.</w:t>
            </w:r>
          </w:p>
          <w:p>
            <w:pPr>
              <w:spacing w:after="150"/>
              <w:ind w:left="0"/>
              <w:jc w:val="left"/>
            </w:pPr>
            <w:r>
              <w:rPr>
                <w:rFonts w:ascii="Verdana"/>
                <w:b w:val="false"/>
                <w:i w:val="false"/>
                <w:color w:val="000000"/>
                <w:sz w:val="22"/>
              </w:rPr>
              <w:t>Минимални критеријуми у погледу енергетске ефикасности прописани правилником се примењују без обзира на то да ли је за оцењивање понуда и доделу уговора (у смислу закона којим се уређују јавне набавке) одређен критеријум економски најповољније понуде или најниже понуђене цене.</w:t>
            </w:r>
          </w:p>
          <w:p>
            <w:pPr>
              <w:spacing w:after="150"/>
              <w:ind w:left="0"/>
              <w:jc w:val="left"/>
            </w:pPr>
            <w:r>
              <w:rPr>
                <w:rFonts w:ascii="Verdana"/>
                <w:b w:val="false"/>
                <w:i w:val="false"/>
                <w:color w:val="000000"/>
                <w:sz w:val="22"/>
              </w:rPr>
              <w:t>Јавни сектор као велики купац услуга и добара може деловати да се на тржишту нађу енергетски ефикаснији уређаји</w:t>
            </w:r>
          </w:p>
          <w:p>
            <w:pPr>
              <w:spacing w:after="150"/>
              <w:ind w:left="0"/>
              <w:jc w:val="left"/>
            </w:pPr>
            <w:r>
              <w:rPr>
                <w:rFonts w:ascii="Verdana"/>
                <w:b w:val="false"/>
                <w:i w:val="false"/>
                <w:color w:val="000000"/>
                <w:sz w:val="22"/>
              </w:rPr>
              <w:t>Уштеде енергије резултирају из обезбеђивања енергетски ефикасне опреме, апарата и возила, зграда, изнајмљивања простора и услуга</w:t>
            </w:r>
          </w:p>
        </w:tc>
      </w:tr>
      <w:tr>
        <w:trPr>
          <w:trHeight w:val="45" w:hRule="atLeast"/>
        </w:trPr>
        <w:tc>
          <w:tcPr>
            <w:tcW w:w="52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91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Објекти и уређаји који су својина јавног сектора</w:t>
            </w:r>
          </w:p>
        </w:tc>
      </w:tr>
      <w:tr>
        <w:trPr>
          <w:trHeight w:val="45" w:hRule="atLeast"/>
        </w:trPr>
        <w:tc>
          <w:tcPr>
            <w:tcW w:w="52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91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сектор</w:t>
            </w:r>
          </w:p>
        </w:tc>
      </w:tr>
      <w:tr>
        <w:trPr>
          <w:trHeight w:val="45" w:hRule="atLeast"/>
        </w:trPr>
        <w:tc>
          <w:tcPr>
            <w:tcW w:w="52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91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регионална,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52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91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складу са Законом о ЕКЕ/ЗЕЕРУЕ и ЕЕД, од јавног сектора се тражи да обезбеди примерену имплементацију политике енергетске ефикасности коришћењем критеријума енергетске ефикасности у поступцима јавних набавки.</w:t>
            </w:r>
          </w:p>
          <w:p>
            <w:pPr>
              <w:spacing w:after="150"/>
              <w:ind w:left="0"/>
              <w:jc w:val="left"/>
            </w:pPr>
            <w:r>
              <w:rPr>
                <w:rFonts w:ascii="Verdana"/>
                <w:b w:val="false"/>
                <w:i w:val="false"/>
                <w:color w:val="000000"/>
                <w:sz w:val="22"/>
              </w:rPr>
              <w:t>Током спровођења поступка јавне набавке, када се бирају понуђачи, јавне институције треба да узму у обзир енергетску ефикасност производа и услуга који се купују. Препоручује се куповина само оних производа који задовољавају критеријуме највиших перформанси и који припадају највишој класи енергетске ефикасности</w:t>
            </w:r>
          </w:p>
          <w:p>
            <w:pPr>
              <w:spacing w:after="150"/>
              <w:ind w:left="0"/>
              <w:jc w:val="left"/>
            </w:pPr>
            <w:r>
              <w:rPr>
                <w:rFonts w:ascii="Verdana"/>
                <w:b w:val="false"/>
                <w:i w:val="false"/>
                <w:color w:val="000000"/>
                <w:sz w:val="22"/>
              </w:rPr>
              <w:t>Имплементација ове мере почела је доношењем Правилника о минималним критеријумима у погледу енергетске ефикасности у поступку јавне набавке добара („Службени гласник РС”, број 111/15) од стране МРЕ.</w:t>
            </w:r>
          </w:p>
        </w:tc>
      </w:tr>
      <w:tr>
        <w:trPr>
          <w:trHeight w:val="45" w:hRule="atLeast"/>
        </w:trPr>
        <w:tc>
          <w:tcPr>
            <w:tcW w:w="52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91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Средства организација које спроводе јавне набавке</w:t>
            </w:r>
          </w:p>
        </w:tc>
      </w:tr>
      <w:tr>
        <w:trPr>
          <w:trHeight w:val="45" w:hRule="atLeast"/>
        </w:trPr>
        <w:tc>
          <w:tcPr>
            <w:tcW w:w="52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91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КЈН, ЈЛС, јавна предузећа</w:t>
            </w:r>
          </w:p>
        </w:tc>
      </w:tr>
      <w:tr>
        <w:trPr>
          <w:trHeight w:val="45" w:hRule="atLeast"/>
        </w:trPr>
        <w:tc>
          <w:tcPr>
            <w:tcW w:w="52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91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КЈН</w:t>
            </w:r>
          </w:p>
        </w:tc>
      </w:tr>
      <w:tr>
        <w:trPr>
          <w:trHeight w:val="45" w:hRule="atLeast"/>
        </w:trPr>
        <w:tc>
          <w:tcPr>
            <w:tcW w:w="52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9121" w:type="dxa"/>
            <w:tcBorders>
              <w:top w:val="single" w:color="000000" w:sz="8"/>
              <w:left w:val="single" w:color="000000" w:sz="8"/>
              <w:bottom w:val="single" w:color="000000" w:sz="8"/>
              <w:right w:val="single" w:color="000000" w:sz="8"/>
            </w:tcBorders>
            <w:vAlign w:val="center"/>
          </w:tcPr>
          <w:p/>
        </w:tc>
      </w:tr>
      <w:tr>
        <w:trPr>
          <w:trHeight w:val="45" w:hRule="atLeast"/>
        </w:trPr>
        <w:tc>
          <w:tcPr>
            <w:tcW w:w="52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9121" w:type="dxa"/>
            <w:tcBorders>
              <w:top w:val="single" w:color="000000" w:sz="8"/>
              <w:left w:val="single" w:color="000000" w:sz="8"/>
              <w:bottom w:val="single" w:color="000000" w:sz="8"/>
              <w:right w:val="single" w:color="000000" w:sz="8"/>
            </w:tcBorders>
            <w:vAlign w:val="center"/>
          </w:tcPr>
          <w:p/>
        </w:tc>
      </w:tr>
      <w:tr>
        <w:trPr>
          <w:trHeight w:val="45" w:hRule="atLeast"/>
        </w:trPr>
        <w:tc>
          <w:tcPr>
            <w:tcW w:w="52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91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52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91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52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9121" w:type="dxa"/>
            <w:tcBorders>
              <w:top w:val="single" w:color="000000" w:sz="8"/>
              <w:left w:val="single" w:color="000000" w:sz="8"/>
              <w:bottom w:val="single" w:color="000000" w:sz="8"/>
              <w:right w:val="single" w:color="000000" w:sz="8"/>
            </w:tcBorders>
            <w:vAlign w:val="center"/>
          </w:tcP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017"/>
        <w:gridCol w:w="11383"/>
      </w:tblGrid>
      <w:tr>
        <w:trPr>
          <w:trHeight w:val="45" w:hRule="atLeast"/>
        </w:trPr>
        <w:tc>
          <w:tcPr>
            <w:tcW w:w="3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113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Подстицајне мере за високо ефикасна постројења за комбиновану производњу топлотне и електричне енергије на природни гас (</w:t>
            </w:r>
            <w:r>
              <w:rPr>
                <w:rFonts w:ascii="Verdana"/>
                <w:b w:val="false"/>
                <w:i/>
                <w:color w:val="000000"/>
                <w:sz w:val="22"/>
              </w:rPr>
              <w:t>CHP</w:t>
            </w:r>
            <w:r>
              <w:rPr>
                <w:rFonts w:ascii="Verdana"/>
                <w:b w:val="false"/>
                <w:i w:val="false"/>
                <w:color w:val="000000"/>
                <w:sz w:val="22"/>
              </w:rPr>
              <w:t>)</w:t>
            </w:r>
          </w:p>
        </w:tc>
      </w:tr>
      <w:tr>
        <w:trPr>
          <w:trHeight w:val="45" w:hRule="atLeast"/>
        </w:trPr>
        <w:tc>
          <w:tcPr>
            <w:tcW w:w="3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113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ЈК6</w:t>
            </w:r>
          </w:p>
        </w:tc>
      </w:tr>
      <w:tr>
        <w:trPr>
          <w:trHeight w:val="45" w:hRule="atLeast"/>
        </w:trPr>
        <w:tc>
          <w:tcPr>
            <w:tcW w:w="3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3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w:t>
            </w:r>
          </w:p>
          <w:p>
            <w:pPr>
              <w:spacing w:after="150"/>
              <w:ind w:left="0"/>
              <w:jc w:val="left"/>
            </w:pPr>
            <w:r>
              <w:rPr>
                <w:rFonts w:ascii="Verdana"/>
                <w:b w:val="false"/>
                <w:i w:val="false"/>
                <w:color w:val="000000"/>
                <w:sz w:val="22"/>
              </w:rPr>
              <w:t>3. Финансијски инструменти</w:t>
            </w:r>
          </w:p>
        </w:tc>
      </w:tr>
      <w:tr>
        <w:trPr>
          <w:trHeight w:val="45" w:hRule="atLeast"/>
        </w:trPr>
        <w:tc>
          <w:tcPr>
            <w:tcW w:w="3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3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2013, продужена до 2021. године</w:t>
            </w:r>
          </w:p>
          <w:p>
            <w:pPr>
              <w:spacing w:after="150"/>
              <w:ind w:left="0"/>
              <w:jc w:val="left"/>
            </w:pPr>
            <w:r>
              <w:rPr>
                <w:rFonts w:ascii="Verdana"/>
                <w:b w:val="false"/>
                <w:i w:val="false"/>
                <w:color w:val="000000"/>
                <w:sz w:val="22"/>
              </w:rPr>
              <w:t>Раних мера није било</w:t>
            </w:r>
          </w:p>
        </w:tc>
      </w:tr>
      <w:tr>
        <w:trPr>
          <w:trHeight w:val="45" w:hRule="atLeast"/>
        </w:trPr>
        <w:tc>
          <w:tcPr>
            <w:tcW w:w="3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13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Повећање енергетске ефикасности у јавним и комерцијалним зградама имплементацијом пројеката производње комбиноване топлотне и електричне енергије</w:t>
            </w:r>
          </w:p>
        </w:tc>
      </w:tr>
      <w:tr>
        <w:trPr>
          <w:trHeight w:val="45" w:hRule="atLeast"/>
        </w:trPr>
        <w:tc>
          <w:tcPr>
            <w:tcW w:w="3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Циљно крајње коришћење</w:t>
            </w:r>
          </w:p>
        </w:tc>
        <w:tc>
          <w:tcPr>
            <w:tcW w:w="113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Објекти у власништву јавног и комерцијалног сектора</w:t>
            </w:r>
          </w:p>
        </w:tc>
      </w:tr>
      <w:tr>
        <w:trPr>
          <w:trHeight w:val="45" w:hRule="atLeast"/>
        </w:trPr>
        <w:tc>
          <w:tcPr>
            <w:tcW w:w="3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3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 сектор</w:t>
            </w:r>
          </w:p>
        </w:tc>
      </w:tr>
      <w:tr>
        <w:trPr>
          <w:trHeight w:val="45" w:hRule="atLeast"/>
        </w:trPr>
        <w:tc>
          <w:tcPr>
            <w:tcW w:w="3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имплементација</w:t>
            </w:r>
          </w:p>
        </w:tc>
        <w:tc>
          <w:tcPr>
            <w:tcW w:w="113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регионална,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3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имплементацију мере</w:t>
            </w:r>
          </w:p>
        </w:tc>
        <w:tc>
          <w:tcPr>
            <w:tcW w:w="113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Уредба о условима и поступку стицања статуса повлашћеног произвођача електричне енергије, привременог повлашћеног произвођача и произвођача електричне енергије из обновљивих извора енергије („Службени гласник РС”, број 56/16)</w:t>
            </w:r>
          </w:p>
          <w:p>
            <w:pPr>
              <w:spacing w:after="150"/>
              <w:ind w:left="0"/>
              <w:jc w:val="left"/>
            </w:pPr>
            <w:r>
              <w:rPr>
                <w:rFonts w:ascii="Verdana"/>
                <w:b w:val="false"/>
                <w:i w:val="false"/>
                <w:color w:val="000000"/>
                <w:sz w:val="22"/>
              </w:rPr>
              <w:t>Уредба о уговору о откупу електричне енергије („Службени гласник РС”, бр. 56/16, 61/17 и 106/20)</w:t>
            </w:r>
          </w:p>
          <w:p>
            <w:pPr>
              <w:spacing w:after="150"/>
              <w:ind w:left="0"/>
              <w:jc w:val="left"/>
            </w:pPr>
            <w:r>
              <w:rPr>
                <w:rFonts w:ascii="Verdana"/>
                <w:b w:val="false"/>
                <w:i w:val="false"/>
                <w:color w:val="000000"/>
                <w:sz w:val="22"/>
              </w:rPr>
              <w:t>Уредба о накнади за подстицај повлашћених произвођача електричне енергије („Службени гласник РС”, број 8/19)</w:t>
            </w:r>
          </w:p>
          <w:p>
            <w:pPr>
              <w:spacing w:after="150"/>
              <w:ind w:left="0"/>
              <w:jc w:val="left"/>
            </w:pPr>
            <w:r>
              <w:rPr>
                <w:rFonts w:ascii="Verdana"/>
                <w:b w:val="false"/>
                <w:i w:val="false"/>
                <w:color w:val="000000"/>
                <w:sz w:val="22"/>
              </w:rPr>
              <w:t>Подстицајне мере, односно подстицајне откупне цене електричне енергије доноси Влада кроз Уредбу о подстицајним мерама за производњу електричне енергије из обновљивих извора и из високо ефикасне комбиноване производње електричне и топлотне енергије.</w:t>
            </w:r>
          </w:p>
          <w:p>
            <w:pPr>
              <w:spacing w:after="150"/>
              <w:ind w:left="0"/>
              <w:jc w:val="left"/>
            </w:pPr>
            <w:r>
              <w:rPr>
                <w:rFonts w:ascii="Verdana"/>
                <w:b w:val="false"/>
                <w:i w:val="false"/>
                <w:color w:val="000000"/>
                <w:sz w:val="22"/>
              </w:rPr>
              <w:t>Институције и компаније у сектору услуга који се баве спрегнутом/комбинованом производњом топлотне и ел. енергије имају право на статус повлашћеног произвођача електричне енергије и стичу право на откуп електричне енергије по подстицајним ценама. Зграде у сектору услуга које имају значајну и континуирану потражњу за топлотном енергијом (обично у облику топле воде) имају технички потенцијал за примену CHP. Такве зграде обухватају клиничке центре, главне болнице, зграде социјалне заштите (старачке домове, специјалне болнице итд.), спортске центре, итд.</w:t>
            </w:r>
          </w:p>
        </w:tc>
      </w:tr>
      <w:tr>
        <w:trPr>
          <w:trHeight w:val="45" w:hRule="atLeast"/>
        </w:trPr>
        <w:tc>
          <w:tcPr>
            <w:tcW w:w="3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113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ЕПС кроз наплату рачуна за утрошену електричну енергију.</w:t>
            </w:r>
          </w:p>
          <w:p>
            <w:pPr>
              <w:spacing w:after="150"/>
              <w:ind w:left="0"/>
              <w:jc w:val="left"/>
            </w:pPr>
            <w:r>
              <w:rPr>
                <w:rFonts w:ascii="Verdana"/>
                <w:b w:val="false"/>
                <w:i w:val="false"/>
                <w:color w:val="000000"/>
                <w:sz w:val="22"/>
              </w:rPr>
              <w:t>Уредба о висини посебне накнаде за подстицај у 2016. години</w:t>
            </w:r>
          </w:p>
          <w:p>
            <w:pPr>
              <w:spacing w:after="150"/>
              <w:ind w:left="0"/>
              <w:jc w:val="left"/>
            </w:pPr>
            <w:r>
              <w:rPr>
                <w:rFonts w:ascii="Verdana"/>
                <w:b w:val="false"/>
                <w:i w:val="false"/>
                <w:color w:val="000000"/>
                <w:sz w:val="22"/>
              </w:rPr>
              <w:t>Уредба о накнади за подстицај повлашћених произвођача електричне енергије</w:t>
            </w:r>
          </w:p>
        </w:tc>
      </w:tr>
      <w:tr>
        <w:trPr>
          <w:trHeight w:val="45" w:hRule="atLeast"/>
        </w:trPr>
        <w:tc>
          <w:tcPr>
            <w:tcW w:w="3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3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3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Институција задужена за мониторинг</w:t>
            </w:r>
          </w:p>
        </w:tc>
        <w:tc>
          <w:tcPr>
            <w:tcW w:w="113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3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11383" w:type="dxa"/>
            <w:tcBorders>
              <w:top w:val="single" w:color="000000" w:sz="8"/>
              <w:left w:val="single" w:color="000000" w:sz="8"/>
              <w:bottom w:val="single" w:color="000000" w:sz="8"/>
              <w:right w:val="single" w:color="000000" w:sz="8"/>
            </w:tcBorders>
            <w:vAlign w:val="center"/>
          </w:tcPr>
          <w:p/>
        </w:tc>
      </w:tr>
      <w:tr>
        <w:trPr>
          <w:trHeight w:val="45" w:hRule="atLeast"/>
        </w:trPr>
        <w:tc>
          <w:tcPr>
            <w:tcW w:w="3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113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 методологија (метода ОПГ12)</w:t>
            </w:r>
          </w:p>
        </w:tc>
      </w:tr>
      <w:tr>
        <w:trPr>
          <w:trHeight w:val="45" w:hRule="atLeast"/>
        </w:trPr>
        <w:tc>
          <w:tcPr>
            <w:tcW w:w="3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113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3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113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3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1383" w:type="dxa"/>
            <w:tcBorders>
              <w:top w:val="single" w:color="000000" w:sz="8"/>
              <w:left w:val="single" w:color="000000" w:sz="8"/>
              <w:bottom w:val="single" w:color="000000" w:sz="8"/>
              <w:right w:val="single" w:color="000000" w:sz="8"/>
            </w:tcBorders>
            <w:vAlign w:val="center"/>
          </w:tcP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264"/>
        <w:gridCol w:w="9136"/>
      </w:tblGrid>
      <w:tr>
        <w:trPr>
          <w:trHeight w:val="45" w:hRule="atLeast"/>
        </w:trPr>
        <w:tc>
          <w:tcPr>
            <w:tcW w:w="5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91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система за грејање и система за климатизацију зграда и примена алтернативних мера</w:t>
            </w:r>
          </w:p>
        </w:tc>
      </w:tr>
      <w:tr>
        <w:trPr>
          <w:trHeight w:val="45" w:hRule="atLeast"/>
        </w:trPr>
        <w:tc>
          <w:tcPr>
            <w:tcW w:w="5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91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ЈК7</w:t>
            </w:r>
          </w:p>
        </w:tc>
      </w:tr>
      <w:tr>
        <w:trPr>
          <w:trHeight w:val="45" w:hRule="atLeast"/>
        </w:trPr>
        <w:tc>
          <w:tcPr>
            <w:tcW w:w="5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91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w:t>
            </w:r>
          </w:p>
          <w:p>
            <w:pPr>
              <w:spacing w:after="150"/>
              <w:ind w:left="0"/>
              <w:jc w:val="left"/>
            </w:pPr>
            <w:r>
              <w:rPr>
                <w:rFonts w:ascii="Verdana"/>
                <w:b w:val="false"/>
                <w:i w:val="false"/>
                <w:color w:val="000000"/>
                <w:sz w:val="22"/>
              </w:rPr>
              <w:t>2. Информације и мере обавезних информација</w:t>
            </w:r>
          </w:p>
        </w:tc>
      </w:tr>
      <w:tr>
        <w:trPr>
          <w:trHeight w:val="45" w:hRule="atLeast"/>
        </w:trPr>
        <w:tc>
          <w:tcPr>
            <w:tcW w:w="5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91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година – Трајна активност</w:t>
            </w:r>
          </w:p>
          <w:p>
            <w:pPr>
              <w:spacing w:after="150"/>
              <w:ind w:left="0"/>
              <w:jc w:val="left"/>
            </w:pPr>
            <w:r>
              <w:rPr>
                <w:rFonts w:ascii="Verdana"/>
                <w:b w:val="false"/>
                <w:i w:val="false"/>
                <w:color w:val="000000"/>
                <w:sz w:val="22"/>
              </w:rPr>
              <w:t>Раних мера није било</w:t>
            </w:r>
          </w:p>
        </w:tc>
      </w:tr>
      <w:tr>
        <w:trPr>
          <w:trHeight w:val="45" w:hRule="atLeast"/>
        </w:trPr>
        <w:tc>
          <w:tcPr>
            <w:tcW w:w="5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91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енергије се постиже периодичном контролом система за грејање и система за и климатизацију. и реализацијом предложених мера ЕЕ.</w:t>
            </w:r>
          </w:p>
        </w:tc>
      </w:tr>
      <w:tr>
        <w:trPr>
          <w:trHeight w:val="45" w:hRule="atLeast"/>
        </w:trPr>
        <w:tc>
          <w:tcPr>
            <w:tcW w:w="5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91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Власници система за грејање снаге преко 50 kW, као и власници система за климатизацију снаге преко 12 kW.</w:t>
            </w:r>
          </w:p>
        </w:tc>
      </w:tr>
      <w:tr>
        <w:trPr>
          <w:trHeight w:val="45" w:hRule="atLeast"/>
        </w:trPr>
        <w:tc>
          <w:tcPr>
            <w:tcW w:w="5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91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Јавна и комерцијална предузећа, власници система за грејање и система за климатизацију.</w:t>
            </w:r>
          </w:p>
        </w:tc>
      </w:tr>
      <w:tr>
        <w:trPr>
          <w:trHeight w:val="45" w:hRule="atLeast"/>
        </w:trPr>
        <w:tc>
          <w:tcPr>
            <w:tcW w:w="5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имплементација</w:t>
            </w:r>
          </w:p>
        </w:tc>
        <w:tc>
          <w:tcPr>
            <w:tcW w:w="91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5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имплементацију мере</w:t>
            </w:r>
          </w:p>
        </w:tc>
        <w:tc>
          <w:tcPr>
            <w:tcW w:w="91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Правилник о контроли система за грејање и о ближим условима које морају да испуњавају овлашћена правна лица за контролу система за грејање („Службени гласник РС”, број 58/16)</w:t>
            </w:r>
          </w:p>
          <w:p>
            <w:pPr>
              <w:spacing w:after="150"/>
              <w:ind w:left="0"/>
              <w:jc w:val="left"/>
            </w:pPr>
            <w:r>
              <w:rPr>
                <w:rFonts w:ascii="Verdana"/>
                <w:b w:val="false"/>
                <w:i w:val="false"/>
                <w:color w:val="000000"/>
                <w:sz w:val="22"/>
              </w:rPr>
              <w:t>Правилник о контроли система за климатизацију („Службени гласник РС”, број 82/16)</w:t>
            </w:r>
          </w:p>
          <w:p>
            <w:pPr>
              <w:spacing w:after="150"/>
              <w:ind w:left="0"/>
              <w:jc w:val="left"/>
            </w:pPr>
            <w:r>
              <w:rPr>
                <w:rFonts w:ascii="Verdana"/>
                <w:b w:val="false"/>
                <w:i w:val="false"/>
                <w:color w:val="000000"/>
                <w:sz w:val="22"/>
              </w:rPr>
              <w:t>Закон ЕКЕ је прописивао обавезу власника котлова и других постројења за сагоревање са инсталираним капацитетом преко 50 kW да периодично врше контроле процеса сагоревања уз истовремену контролу система за грејање у складу са захтевима ЕПБД.</w:t>
            </w:r>
          </w:p>
          <w:p>
            <w:pPr>
              <w:spacing w:after="150"/>
              <w:ind w:left="0"/>
              <w:jc w:val="left"/>
            </w:pPr>
            <w:r>
              <w:rPr>
                <w:rFonts w:ascii="Verdana"/>
                <w:b w:val="false"/>
                <w:i w:val="false"/>
                <w:color w:val="000000"/>
                <w:sz w:val="22"/>
              </w:rPr>
              <w:t>Овај праг је подигнут у ЗЕЕРУЕ на 70 kW.</w:t>
            </w:r>
          </w:p>
          <w:p>
            <w:pPr>
              <w:spacing w:after="150"/>
              <w:ind w:left="0"/>
              <w:jc w:val="left"/>
            </w:pPr>
            <w:r>
              <w:rPr>
                <w:rFonts w:ascii="Verdana"/>
                <w:b w:val="false"/>
                <w:i w:val="false"/>
                <w:color w:val="000000"/>
                <w:sz w:val="22"/>
              </w:rPr>
              <w:t>Закон ЕКЕ је прописивао обавезу власника система за климатизацију снаге преко 12 kW да врше регуларне периодичне контроле.</w:t>
            </w:r>
          </w:p>
          <w:p>
            <w:pPr>
              <w:spacing w:after="150"/>
              <w:ind w:left="0"/>
              <w:jc w:val="left"/>
            </w:pPr>
            <w:r>
              <w:rPr>
                <w:rFonts w:ascii="Verdana"/>
                <w:b w:val="false"/>
                <w:i w:val="false"/>
                <w:color w:val="000000"/>
                <w:sz w:val="22"/>
              </w:rPr>
              <w:t>Овај праг је подигнут у ЗЕЕРУЕ на 70 kW.</w:t>
            </w:r>
          </w:p>
          <w:p>
            <w:pPr>
              <w:spacing w:after="150"/>
              <w:ind w:left="0"/>
              <w:jc w:val="left"/>
            </w:pPr>
            <w:r>
              <w:rPr>
                <w:rFonts w:ascii="Verdana"/>
                <w:b w:val="false"/>
                <w:i w:val="false"/>
                <w:color w:val="000000"/>
                <w:sz w:val="22"/>
              </w:rPr>
              <w:t>У циљу спровођења мере, ЗЕЕРУЕ прописује да ће МРЕ успоставити процедуру овлашћивања правних лица/предузетника који могу да врше контролу.</w:t>
            </w:r>
          </w:p>
          <w:p>
            <w:pPr>
              <w:spacing w:after="150"/>
              <w:ind w:left="0"/>
              <w:jc w:val="left"/>
            </w:pPr>
            <w:r>
              <w:rPr>
                <w:rFonts w:ascii="Verdana"/>
                <w:b w:val="false"/>
                <w:i w:val="false"/>
                <w:color w:val="000000"/>
                <w:sz w:val="22"/>
              </w:rPr>
              <w:t>Контролу имплементације ће обављати инспекцијске службе МРЕ.</w:t>
            </w:r>
          </w:p>
        </w:tc>
      </w:tr>
      <w:tr>
        <w:trPr>
          <w:trHeight w:val="45" w:hRule="atLeast"/>
        </w:trPr>
        <w:tc>
          <w:tcPr>
            <w:tcW w:w="5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91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Власници система за грејање и система за климатизацију, снаге преко 70 kW, у оквиру средстава додељених за редовне поправке и одржавање ових система.</w:t>
            </w:r>
          </w:p>
        </w:tc>
      </w:tr>
      <w:tr>
        <w:trPr>
          <w:trHeight w:val="45" w:hRule="atLeast"/>
        </w:trPr>
        <w:tc>
          <w:tcPr>
            <w:tcW w:w="5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91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5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Институција задужена за мониторинг</w:t>
            </w:r>
          </w:p>
        </w:tc>
        <w:tc>
          <w:tcPr>
            <w:tcW w:w="91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5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9136" w:type="dxa"/>
            <w:tcBorders>
              <w:top w:val="single" w:color="000000" w:sz="8"/>
              <w:left w:val="single" w:color="000000" w:sz="8"/>
              <w:bottom w:val="single" w:color="000000" w:sz="8"/>
              <w:right w:val="single" w:color="000000" w:sz="8"/>
            </w:tcBorders>
            <w:vAlign w:val="center"/>
          </w:tcPr>
          <w:p/>
        </w:tc>
      </w:tr>
      <w:tr>
        <w:trPr>
          <w:trHeight w:val="45" w:hRule="atLeast"/>
        </w:trPr>
        <w:tc>
          <w:tcPr>
            <w:tcW w:w="5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91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Ревизорски извештаји које припремају овлашћена лица</w:t>
            </w:r>
          </w:p>
        </w:tc>
      </w:tr>
      <w:tr>
        <w:trPr>
          <w:trHeight w:val="45" w:hRule="atLeast"/>
        </w:trPr>
        <w:tc>
          <w:tcPr>
            <w:tcW w:w="5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91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5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91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5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9136" w:type="dxa"/>
            <w:tcBorders>
              <w:top w:val="single" w:color="000000" w:sz="8"/>
              <w:left w:val="single" w:color="000000" w:sz="8"/>
              <w:bottom w:val="single" w:color="000000" w:sz="8"/>
              <w:right w:val="single" w:color="000000" w:sz="8"/>
            </w:tcBorders>
            <w:vAlign w:val="center"/>
          </w:tcPr>
          <w:p/>
        </w:tc>
      </w:tr>
    </w:tbl>
    <w:p>
      <w:pPr>
        <w:spacing w:after="120"/>
        <w:ind w:left="0"/>
        <w:jc w:val="center"/>
      </w:pPr>
      <w:r>
        <w:rPr>
          <w:rFonts w:ascii="Verdana"/>
          <w:b w:val="false"/>
          <w:i w:val="false"/>
          <w:color w:val="000000"/>
          <w:sz w:val="22"/>
        </w:rPr>
        <w:t>СЕКТОР ИНДУСТРИЈА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604"/>
        <w:gridCol w:w="11796"/>
      </w:tblGrid>
      <w:tr>
        <w:trPr>
          <w:trHeight w:val="45" w:hRule="atLeast"/>
        </w:trPr>
        <w:tc>
          <w:tcPr>
            <w:tcW w:w="26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11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енергетског менаџмента у великим индустријским потрошачима</w:t>
            </w:r>
          </w:p>
        </w:tc>
      </w:tr>
      <w:tr>
        <w:trPr>
          <w:trHeight w:val="45" w:hRule="atLeast"/>
        </w:trPr>
        <w:tc>
          <w:tcPr>
            <w:tcW w:w="26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11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И1</w:t>
            </w:r>
          </w:p>
        </w:tc>
      </w:tr>
      <w:tr>
        <w:trPr>
          <w:trHeight w:val="45" w:hRule="atLeast"/>
        </w:trPr>
        <w:tc>
          <w:tcPr>
            <w:tcW w:w="26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w:t>
            </w:r>
          </w:p>
          <w:p>
            <w:pPr>
              <w:spacing w:after="150"/>
              <w:ind w:left="0"/>
              <w:jc w:val="left"/>
            </w:pPr>
            <w:r>
              <w:rPr>
                <w:rFonts w:ascii="Verdana"/>
                <w:b w:val="false"/>
                <w:i w:val="false"/>
                <w:color w:val="000000"/>
                <w:sz w:val="22"/>
              </w:rPr>
              <w:t>2. Информације и обавезне информационе мере.</w:t>
            </w:r>
          </w:p>
          <w:p>
            <w:pPr>
              <w:spacing w:after="150"/>
              <w:ind w:left="0"/>
              <w:jc w:val="left"/>
            </w:pPr>
            <w:r>
              <w:rPr>
                <w:rFonts w:ascii="Verdana"/>
                <w:b w:val="false"/>
                <w:i w:val="false"/>
                <w:color w:val="000000"/>
                <w:sz w:val="22"/>
              </w:rPr>
              <w:t>3. Финансијски инструменти</w:t>
            </w:r>
          </w:p>
        </w:tc>
      </w:tr>
      <w:tr>
        <w:trPr>
          <w:trHeight w:val="45" w:hRule="atLeast"/>
        </w:trPr>
        <w:tc>
          <w:tcPr>
            <w:tcW w:w="26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2017. година – Трајна активност –</w:t>
            </w:r>
          </w:p>
          <w:p>
            <w:pPr>
              <w:spacing w:after="150"/>
              <w:ind w:left="0"/>
              <w:jc w:val="left"/>
            </w:pPr>
            <w:r>
              <w:rPr>
                <w:rFonts w:ascii="Verdana"/>
                <w:b w:val="false"/>
                <w:i w:val="false"/>
                <w:color w:val="000000"/>
                <w:sz w:val="22"/>
              </w:rPr>
              <w:t>Раних мера није било</w:t>
            </w:r>
          </w:p>
        </w:tc>
      </w:tr>
      <w:tr>
        <w:trPr>
          <w:trHeight w:val="45" w:hRule="atLeast"/>
        </w:trPr>
        <w:tc>
          <w:tcPr>
            <w:tcW w:w="26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1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се примењује у складу са Законом о ЕКЕ/ЗЕЕРУЕ и укључује остварење уштеда енергије путем мера за УЕЕ, у складу са циљним уштедама постављеним од стране државних органа.</w:t>
            </w:r>
          </w:p>
          <w:p>
            <w:pPr>
              <w:spacing w:after="150"/>
              <w:ind w:left="0"/>
              <w:jc w:val="left"/>
            </w:pPr>
            <w:r>
              <w:rPr>
                <w:rFonts w:ascii="Verdana"/>
                <w:b w:val="false"/>
                <w:i w:val="false"/>
                <w:color w:val="000000"/>
                <w:sz w:val="22"/>
              </w:rPr>
              <w:t>1) Сакупљање и анализа података о потрошњи енергије, предлагање мера и активности које имају за циљ повећање ЕЕ,</w:t>
            </w:r>
          </w:p>
          <w:p>
            <w:pPr>
              <w:spacing w:after="150"/>
              <w:ind w:left="0"/>
              <w:jc w:val="left"/>
            </w:pPr>
            <w:r>
              <w:rPr>
                <w:rFonts w:ascii="Verdana"/>
                <w:b w:val="false"/>
                <w:i w:val="false"/>
                <w:color w:val="000000"/>
                <w:sz w:val="22"/>
              </w:rPr>
              <w:t>2) Израда и достављање програма и планова за ефикасно коришћење енергије МРЕ,</w:t>
            </w:r>
          </w:p>
          <w:p>
            <w:pPr>
              <w:spacing w:after="150"/>
              <w:ind w:left="0"/>
              <w:jc w:val="left"/>
            </w:pPr>
            <w:r>
              <w:rPr>
                <w:rFonts w:ascii="Verdana"/>
                <w:b w:val="false"/>
                <w:i w:val="false"/>
                <w:color w:val="000000"/>
                <w:sz w:val="22"/>
              </w:rPr>
              <w:t>3) Имплементирање предложених мера и активности,</w:t>
            </w:r>
          </w:p>
          <w:p>
            <w:pPr>
              <w:spacing w:after="150"/>
              <w:ind w:left="0"/>
              <w:jc w:val="left"/>
            </w:pPr>
            <w:r>
              <w:rPr>
                <w:rFonts w:ascii="Verdana"/>
                <w:b w:val="false"/>
                <w:i w:val="false"/>
                <w:color w:val="000000"/>
                <w:sz w:val="22"/>
              </w:rPr>
              <w:t>4) Припремање и подношење периодичних извештаја МРЕ (о потрошњи енергије и постигнутим уштедама),</w:t>
            </w:r>
          </w:p>
          <w:p>
            <w:pPr>
              <w:spacing w:after="150"/>
              <w:ind w:left="0"/>
              <w:jc w:val="left"/>
            </w:pPr>
            <w:r>
              <w:rPr>
                <w:rFonts w:ascii="Verdana"/>
                <w:b w:val="false"/>
                <w:i w:val="false"/>
                <w:color w:val="000000"/>
                <w:sz w:val="22"/>
              </w:rPr>
              <w:t>5) Спровођење обавезних енергетских прегледа – ревизија.</w:t>
            </w:r>
          </w:p>
          <w:p>
            <w:pPr>
              <w:spacing w:after="150"/>
              <w:ind w:left="0"/>
              <w:jc w:val="left"/>
            </w:pPr>
            <w:r>
              <w:rPr>
                <w:rFonts w:ascii="Verdana"/>
                <w:b w:val="false"/>
                <w:i w:val="false"/>
                <w:color w:val="000000"/>
                <w:sz w:val="22"/>
              </w:rPr>
              <w:t>Ову активност врши енергетски менаџер који поседује одговарајућу лиценцу у складу за законом.</w:t>
            </w:r>
          </w:p>
        </w:tc>
      </w:tr>
      <w:tr>
        <w:trPr>
          <w:trHeight w:val="45" w:hRule="atLeast"/>
        </w:trPr>
        <w:tc>
          <w:tcPr>
            <w:tcW w:w="26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1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складу са Уредбом о утврђивању граничних вредности годишње потрошње енергије на основу којих се одређује која привредна друштва су обвезници система енергетског менаџмента, годишњих циљева уштеде енергије и обрасца пријаве о оствареној потрошњи енергије („Службени гласник РС”, број 18/16) привредна друштва су Обвезници система уколико на најмање једној локацији, која се води на посебној адреси, имају објекте за обављање делатности чија је остварена годишња потрошња примарне енергије већа од следећих граничних вредности потрошње енергије:</w:t>
            </w:r>
          </w:p>
          <w:p>
            <w:pPr>
              <w:spacing w:after="150"/>
              <w:ind w:left="0"/>
              <w:jc w:val="left"/>
            </w:pPr>
            <w:r>
              <w:rPr>
                <w:rFonts w:ascii="Verdana"/>
                <w:b w:val="false"/>
                <w:i w:val="false"/>
                <w:color w:val="000000"/>
                <w:sz w:val="22"/>
              </w:rPr>
              <w:t>1) 2.500 toe (104,67 ТЈ или 29,08 GWh) годишње за привредна друштва чија је претежна делатност у производном сектору и која обављају делатности наведене у Сектору А-Ф Уредбе о класификацији делатности („Службени гласник РС”, број 54/10);</w:t>
            </w:r>
          </w:p>
          <w:p>
            <w:pPr>
              <w:spacing w:after="150"/>
              <w:ind w:left="0"/>
              <w:jc w:val="left"/>
            </w:pPr>
            <w:r>
              <w:rPr>
                <w:rFonts w:ascii="Verdana"/>
                <w:b w:val="false"/>
                <w:i w:val="false"/>
                <w:color w:val="000000"/>
                <w:sz w:val="22"/>
              </w:rPr>
              <w:t>2) 1.000 toe (41,87 ТЈ или 11,63 GWh) годишње за привредна друштва чија је претежна делатност у сектору трговине и услуга и која обављају делатности наведене у Сектору Г-Н и П-С Уредбе о класификацији делатности.</w:t>
            </w:r>
          </w:p>
          <w:p>
            <w:pPr>
              <w:spacing w:after="150"/>
              <w:ind w:left="0"/>
              <w:jc w:val="left"/>
            </w:pPr>
            <w:r>
              <w:rPr>
                <w:rFonts w:ascii="Verdana"/>
                <w:b w:val="false"/>
                <w:i w:val="false"/>
                <w:color w:val="000000"/>
                <w:sz w:val="22"/>
              </w:rPr>
              <w:t>Привредна друштва чија је претежна делатност у производном сектору, која не спадају у Обвезнике система из става 1. тачка 1) овог члана су Обвезници система уколико им је годишња потрошња примарне енергије у свим објектима које поседују у збиру већа од 1.000 toe (41,87 ТЈ или 11,63 GWh).</w:t>
            </w:r>
          </w:p>
          <w:p>
            <w:pPr>
              <w:spacing w:after="150"/>
              <w:ind w:left="0"/>
              <w:jc w:val="left"/>
            </w:pPr>
            <w:r>
              <w:rPr>
                <w:rFonts w:ascii="Verdana"/>
                <w:b w:val="false"/>
                <w:i w:val="false"/>
                <w:color w:val="000000"/>
                <w:sz w:val="22"/>
              </w:rPr>
              <w:t>У смислу ове уредбе локацију чине сви објекти за обављање делатности Обвезника система који се налазе на истој адреси, а чија годишња потрошња примарне енергије у збиру прелази граничне вредности прописане потрошње енергије.</w:t>
            </w:r>
          </w:p>
          <w:p>
            <w:pPr>
              <w:spacing w:after="150"/>
              <w:ind w:left="0"/>
              <w:jc w:val="left"/>
            </w:pPr>
            <w:r>
              <w:rPr>
                <w:rFonts w:ascii="Verdana"/>
                <w:b w:val="false"/>
                <w:i w:val="false"/>
                <w:color w:val="000000"/>
                <w:sz w:val="22"/>
              </w:rPr>
              <w:t>Годишњи циљ уштеде енергије за Обвезнике система за текућу календарску годину износи 1% од остварене потрошње примарне енергије у претходној календарској години.</w:t>
            </w:r>
          </w:p>
        </w:tc>
      </w:tr>
      <w:tr>
        <w:trPr>
          <w:trHeight w:val="45" w:hRule="atLeast"/>
        </w:trPr>
        <w:tc>
          <w:tcPr>
            <w:tcW w:w="26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Привредна друштва у Сектору индустрија</w:t>
            </w:r>
          </w:p>
        </w:tc>
      </w:tr>
      <w:tr>
        <w:trPr>
          <w:trHeight w:val="45" w:hRule="atLeast"/>
        </w:trPr>
        <w:tc>
          <w:tcPr>
            <w:tcW w:w="26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1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26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1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Влада је уредбом утврдила граничне вредности годишње потрошње енергије на основу којих се одређују обвезници система енергетског менаџмента у сектору, индустрије, годишње циљеве уштеде енергије и обрасце пријаве о оствареној потрошњи енергије.</w:t>
            </w:r>
          </w:p>
          <w:p>
            <w:pPr>
              <w:spacing w:after="150"/>
              <w:ind w:left="0"/>
              <w:jc w:val="left"/>
            </w:pPr>
            <w:r>
              <w:rPr>
                <w:rFonts w:ascii="Verdana"/>
                <w:b w:val="false"/>
                <w:i w:val="false"/>
                <w:color w:val="000000"/>
                <w:sz w:val="22"/>
              </w:rPr>
              <w:t>Активности спроводе Обвезници система ЕМС у складу са законом:</w:t>
            </w:r>
          </w:p>
          <w:p>
            <w:pPr>
              <w:spacing w:after="150"/>
              <w:ind w:left="0"/>
              <w:jc w:val="left"/>
            </w:pPr>
            <w:r>
              <w:rPr>
                <w:rFonts w:ascii="Verdana"/>
                <w:b w:val="false"/>
                <w:i w:val="false"/>
                <w:color w:val="000000"/>
                <w:sz w:val="22"/>
              </w:rPr>
              <w:t>– реализују планирани циљ уштеде енергије који прописује Влада:</w:t>
            </w:r>
          </w:p>
          <w:p>
            <w:pPr>
              <w:spacing w:after="150"/>
              <w:ind w:left="0"/>
              <w:jc w:val="left"/>
            </w:pPr>
            <w:r>
              <w:rPr>
                <w:rFonts w:ascii="Verdana"/>
                <w:b w:val="false"/>
                <w:i w:val="false"/>
                <w:color w:val="000000"/>
                <w:sz w:val="22"/>
              </w:rPr>
              <w:t>годишњи циљ уштеде енергије за Обвезнике система за текућу календарску годину износи 1% од остварене потрошње примарне енергије у претходној календарској години</w:t>
            </w:r>
          </w:p>
          <w:p>
            <w:pPr>
              <w:spacing w:after="150"/>
              <w:ind w:left="0"/>
              <w:jc w:val="left"/>
            </w:pPr>
            <w:r>
              <w:rPr>
                <w:rFonts w:ascii="Verdana"/>
                <w:b w:val="false"/>
                <w:i w:val="false"/>
                <w:color w:val="000000"/>
                <w:sz w:val="22"/>
              </w:rPr>
              <w:t>– доносе програм и план за унапређење ЕЕ у привредном друштву, са мерама ЕЕ које треба спровести</w:t>
            </w:r>
          </w:p>
          <w:p>
            <w:pPr>
              <w:spacing w:after="150"/>
              <w:ind w:left="0"/>
              <w:jc w:val="left"/>
            </w:pPr>
            <w:r>
              <w:rPr>
                <w:rFonts w:ascii="Verdana"/>
                <w:b w:val="false"/>
                <w:i w:val="false"/>
                <w:color w:val="000000"/>
                <w:sz w:val="22"/>
              </w:rPr>
              <w:t>– именују енергетске менаџере (ЕМ)</w:t>
            </w:r>
          </w:p>
          <w:p>
            <w:pPr>
              <w:spacing w:after="150"/>
              <w:ind w:left="0"/>
              <w:jc w:val="left"/>
            </w:pPr>
            <w:r>
              <w:rPr>
                <w:rFonts w:ascii="Verdana"/>
                <w:b w:val="false"/>
                <w:i w:val="false"/>
                <w:color w:val="000000"/>
                <w:sz w:val="22"/>
              </w:rPr>
              <w:t>– спроводе донесене мере ЕЕ,</w:t>
            </w:r>
          </w:p>
          <w:p>
            <w:pPr>
              <w:spacing w:after="150"/>
              <w:ind w:left="0"/>
              <w:jc w:val="left"/>
            </w:pPr>
            <w:r>
              <w:rPr>
                <w:rFonts w:ascii="Verdana"/>
                <w:b w:val="false"/>
                <w:i w:val="false"/>
                <w:color w:val="000000"/>
                <w:sz w:val="22"/>
              </w:rPr>
              <w:t>– прикупљање и анализа података о потрошњи енергије,</w:t>
            </w:r>
          </w:p>
          <w:p>
            <w:pPr>
              <w:spacing w:after="150"/>
              <w:ind w:left="0"/>
              <w:jc w:val="left"/>
            </w:pPr>
            <w:r>
              <w:rPr>
                <w:rFonts w:ascii="Verdana"/>
                <w:b w:val="false"/>
                <w:i w:val="false"/>
                <w:color w:val="000000"/>
                <w:sz w:val="22"/>
              </w:rPr>
              <w:t>– израда годишњих извештаја, Достављање МРЕ:</w:t>
            </w:r>
          </w:p>
          <w:p>
            <w:pPr>
              <w:spacing w:after="150"/>
              <w:ind w:left="0"/>
              <w:jc w:val="left"/>
            </w:pPr>
            <w:r>
              <w:rPr>
                <w:rFonts w:ascii="Verdana"/>
                <w:b w:val="false"/>
                <w:i w:val="false"/>
                <w:color w:val="000000"/>
                <w:sz w:val="22"/>
              </w:rPr>
              <w:t>– планова за унапређење ЕЕ</w:t>
            </w:r>
          </w:p>
          <w:p>
            <w:pPr>
              <w:spacing w:after="150"/>
              <w:ind w:left="0"/>
              <w:jc w:val="left"/>
            </w:pPr>
            <w:r>
              <w:rPr>
                <w:rFonts w:ascii="Verdana"/>
                <w:b w:val="false"/>
                <w:i w:val="false"/>
                <w:color w:val="000000"/>
                <w:sz w:val="22"/>
              </w:rPr>
              <w:t>– периодичне (годишње) извештаје: пријава о годишњој потрошњи примарне енергије и прорачун о годишњој потрошњи примарне енергије</w:t>
            </w:r>
          </w:p>
          <w:p>
            <w:pPr>
              <w:spacing w:after="150"/>
              <w:ind w:left="0"/>
              <w:jc w:val="left"/>
            </w:pPr>
            <w:r>
              <w:rPr>
                <w:rFonts w:ascii="Verdana"/>
                <w:b w:val="false"/>
                <w:i w:val="false"/>
                <w:color w:val="000000"/>
                <w:sz w:val="22"/>
              </w:rPr>
              <w:t>– спроводе енергетски преглед у предвиђеном року.</w:t>
            </w:r>
          </w:p>
          <w:p>
            <w:pPr>
              <w:spacing w:after="150"/>
              <w:ind w:left="0"/>
              <w:jc w:val="left"/>
            </w:pPr>
            <w:r>
              <w:rPr>
                <w:rFonts w:ascii="Verdana"/>
                <w:b w:val="false"/>
                <w:i w:val="false"/>
                <w:color w:val="000000"/>
                <w:sz w:val="22"/>
              </w:rPr>
              <w:t>Активност обавља енергетски менаџер који поседује одговарајућу лиценцу у складу са законом..</w:t>
            </w:r>
          </w:p>
          <w:p>
            <w:pPr>
              <w:spacing w:after="150"/>
              <w:ind w:left="0"/>
              <w:jc w:val="left"/>
            </w:pPr>
            <w:r>
              <w:rPr>
                <w:rFonts w:ascii="Verdana"/>
                <w:b w:val="false"/>
                <w:i w:val="false"/>
                <w:color w:val="000000"/>
                <w:sz w:val="22"/>
              </w:rPr>
              <w:t>Министарство је прикупило 76 годишњих извештаја за 2018. годину од обвезника из индустрије у које спадају ЕПС и топлане. Анализирано је 41 годишњи извештај обвезника СЕМ из индустрије у којима је приказано смањење потрошње примарне енергије од 1% до 23%, Код 35 годишњих извештаја је дошло до пораста потрошње примарне енергије.</w:t>
            </w:r>
          </w:p>
          <w:p>
            <w:pPr>
              <w:spacing w:after="150"/>
              <w:ind w:left="0"/>
              <w:jc w:val="left"/>
            </w:pPr>
            <w:r>
              <w:rPr>
                <w:rFonts w:ascii="Verdana"/>
                <w:b w:val="false"/>
                <w:i w:val="false"/>
                <w:color w:val="000000"/>
                <w:sz w:val="22"/>
              </w:rPr>
              <w:t>Индустрија без ЕПС-а и топлана има смањење потрошње енергије на 22 локације. На три локације поред смањења потрошње примарне енергије дошло је до повећања енергетских индикатора и годишњи извештаји нису узете у разматрање уштеда. Шест годишњих извештаја није ушло у разматрање уштеда због проблема са параметрима и енергетским индикаторима. Код тринаест годишњих извештаја је дошло до смањења потрошње примарне енергије и смањења индикатора. Израчунато смањење потрошње примарне енергије је 23,452.59 тое а финалне енергије 18,173.39 тое.</w:t>
            </w:r>
          </w:p>
        </w:tc>
      </w:tr>
      <w:tr>
        <w:trPr>
          <w:trHeight w:val="45" w:hRule="atLeast"/>
        </w:trPr>
        <w:tc>
          <w:tcPr>
            <w:tcW w:w="26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1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Средства за имплементацију инвестиционих мера обезбеђују обвезници из сопствених средстава, путем повољних кредита које додељују МФИ-е, из Буџетског фонда за ЕЕ/из средстава Управе, кредита додељених од стране комерцијалних банака и других извора. Имплементација мера такође може укључивати ESCO модел финансирања.</w:t>
            </w:r>
          </w:p>
        </w:tc>
      </w:tr>
      <w:tr>
        <w:trPr>
          <w:trHeight w:val="45" w:hRule="atLeast"/>
        </w:trPr>
        <w:tc>
          <w:tcPr>
            <w:tcW w:w="26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Обвезници СЕМ</w:t>
            </w:r>
          </w:p>
          <w:p>
            <w:pPr>
              <w:spacing w:after="150"/>
              <w:ind w:left="0"/>
              <w:jc w:val="left"/>
            </w:pPr>
            <w:r>
              <w:rPr>
                <w:rFonts w:ascii="Verdana"/>
                <w:b w:val="false"/>
                <w:i w:val="false"/>
                <w:color w:val="000000"/>
                <w:sz w:val="22"/>
              </w:rPr>
              <w:t>МРЕ</w:t>
            </w:r>
          </w:p>
        </w:tc>
      </w:tr>
      <w:tr>
        <w:trPr>
          <w:trHeight w:val="45" w:hRule="atLeast"/>
        </w:trPr>
        <w:tc>
          <w:tcPr>
            <w:tcW w:w="26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1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26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11796" w:type="dxa"/>
            <w:tcBorders>
              <w:top w:val="single" w:color="000000" w:sz="8"/>
              <w:left w:val="single" w:color="000000" w:sz="8"/>
              <w:bottom w:val="single" w:color="000000" w:sz="8"/>
              <w:right w:val="single" w:color="000000" w:sz="8"/>
            </w:tcBorders>
            <w:vAlign w:val="center"/>
          </w:tcPr>
          <w:p/>
        </w:tc>
      </w:tr>
      <w:tr>
        <w:trPr>
          <w:trHeight w:val="45" w:hRule="atLeast"/>
        </w:trPr>
        <w:tc>
          <w:tcPr>
            <w:tcW w:w="26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1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Редовни годишњи извештаји обвезника СЕМ</w:t>
            </w:r>
          </w:p>
          <w:p>
            <w:pPr>
              <w:spacing w:after="150"/>
              <w:ind w:left="0"/>
              <w:jc w:val="left"/>
            </w:pPr>
            <w:r>
              <w:rPr>
                <w:rFonts w:ascii="Verdana"/>
                <w:b w:val="false"/>
                <w:i w:val="false"/>
                <w:color w:val="000000"/>
                <w:sz w:val="22"/>
              </w:rPr>
              <w:t>Извештаји о енергетском прегледу које је урадио енергетски саветник по методологији прописаној од стране МРЕ у складу са законом.</w:t>
            </w:r>
          </w:p>
        </w:tc>
      </w:tr>
      <w:tr>
        <w:trPr>
          <w:trHeight w:val="45" w:hRule="atLeast"/>
        </w:trPr>
        <w:tc>
          <w:tcPr>
            <w:tcW w:w="26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11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18,2 ktoe</w:t>
            </w:r>
          </w:p>
        </w:tc>
      </w:tr>
      <w:tr>
        <w:trPr>
          <w:trHeight w:val="45" w:hRule="atLeast"/>
        </w:trPr>
        <w:tc>
          <w:tcPr>
            <w:tcW w:w="26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11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54,6 ktoe</w:t>
            </w:r>
          </w:p>
        </w:tc>
      </w:tr>
      <w:tr>
        <w:trPr>
          <w:trHeight w:val="45" w:hRule="atLeast"/>
        </w:trPr>
        <w:tc>
          <w:tcPr>
            <w:tcW w:w="26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17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Све уштеде које су добијене кроз мере ЕЕ, које су спровели обвезници СЕМ, без обзира на изворе финансирања биће приказани кроз ову меру.</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355"/>
        <w:gridCol w:w="9045"/>
      </w:tblGrid>
      <w:tr>
        <w:trPr>
          <w:trHeight w:val="45" w:hRule="atLeast"/>
        </w:trPr>
        <w:tc>
          <w:tcPr>
            <w:tcW w:w="5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90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Програм побољшања енергетске ефикасности у индустрији</w:t>
            </w:r>
          </w:p>
        </w:tc>
      </w:tr>
      <w:tr>
        <w:trPr>
          <w:trHeight w:val="45" w:hRule="atLeast"/>
        </w:trPr>
        <w:tc>
          <w:tcPr>
            <w:tcW w:w="5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90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И2</w:t>
            </w:r>
          </w:p>
        </w:tc>
      </w:tr>
      <w:tr>
        <w:trPr>
          <w:trHeight w:val="45" w:hRule="atLeast"/>
        </w:trPr>
        <w:tc>
          <w:tcPr>
            <w:tcW w:w="5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90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Информације и обавезне информационе мере.</w:t>
            </w:r>
          </w:p>
          <w:p>
            <w:pPr>
              <w:spacing w:after="150"/>
              <w:ind w:left="0"/>
              <w:jc w:val="left"/>
            </w:pPr>
            <w:r>
              <w:rPr>
                <w:rFonts w:ascii="Verdana"/>
                <w:b w:val="false"/>
                <w:i w:val="false"/>
                <w:color w:val="000000"/>
                <w:sz w:val="22"/>
              </w:rPr>
              <w:t>3. Финансијски инструменти</w:t>
            </w:r>
          </w:p>
        </w:tc>
      </w:tr>
      <w:tr>
        <w:trPr>
          <w:trHeight w:val="45" w:hRule="atLeast"/>
        </w:trPr>
        <w:tc>
          <w:tcPr>
            <w:tcW w:w="5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90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2010, продужено до 2021. године</w:t>
            </w:r>
          </w:p>
          <w:p>
            <w:pPr>
              <w:spacing w:after="150"/>
              <w:ind w:left="0"/>
              <w:jc w:val="left"/>
            </w:pPr>
            <w:r>
              <w:rPr>
                <w:rFonts w:ascii="Verdana"/>
                <w:b w:val="false"/>
                <w:i w:val="false"/>
                <w:color w:val="000000"/>
                <w:sz w:val="22"/>
              </w:rPr>
              <w:t>Раних мера није било.</w:t>
            </w:r>
          </w:p>
        </w:tc>
      </w:tr>
      <w:tr>
        <w:trPr>
          <w:trHeight w:val="45" w:hRule="atLeast"/>
        </w:trPr>
        <w:tc>
          <w:tcPr>
            <w:tcW w:w="5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90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енергије се постиже применом мера ЕЕ у складу са препорукама енергетског прегледа:</w:t>
            </w:r>
          </w:p>
          <w:p>
            <w:pPr>
              <w:spacing w:after="150"/>
              <w:ind w:left="0"/>
              <w:jc w:val="left"/>
            </w:pPr>
            <w:r>
              <w:rPr>
                <w:rFonts w:ascii="Verdana"/>
                <w:b w:val="false"/>
                <w:i w:val="false"/>
                <w:color w:val="000000"/>
                <w:sz w:val="22"/>
              </w:rPr>
              <w:t>1) Сакупљање и анализа података о потрошњи енергије,</w:t>
            </w:r>
          </w:p>
          <w:p>
            <w:pPr>
              <w:spacing w:after="150"/>
              <w:ind w:left="0"/>
              <w:jc w:val="left"/>
            </w:pPr>
            <w:r>
              <w:rPr>
                <w:rFonts w:ascii="Verdana"/>
                <w:b w:val="false"/>
                <w:i w:val="false"/>
                <w:color w:val="000000"/>
                <w:sz w:val="22"/>
              </w:rPr>
              <w:t>2) Израда енергетских прегледа</w:t>
            </w:r>
          </w:p>
          <w:p>
            <w:pPr>
              <w:spacing w:after="150"/>
              <w:ind w:left="0"/>
              <w:jc w:val="left"/>
            </w:pPr>
            <w:r>
              <w:rPr>
                <w:rFonts w:ascii="Verdana"/>
                <w:b w:val="false"/>
                <w:i w:val="false"/>
                <w:color w:val="000000"/>
                <w:sz w:val="22"/>
              </w:rPr>
              <w:t>3) Израда предлога мера и активности са циљем унапређења ЕЕ</w:t>
            </w:r>
          </w:p>
          <w:p>
            <w:pPr>
              <w:spacing w:after="150"/>
              <w:ind w:left="0"/>
              <w:jc w:val="left"/>
            </w:pPr>
            <w:r>
              <w:rPr>
                <w:rFonts w:ascii="Verdana"/>
                <w:b w:val="false"/>
                <w:i w:val="false"/>
                <w:color w:val="000000"/>
                <w:sz w:val="22"/>
              </w:rPr>
              <w:t>4) Спроводе предложене мере ЕЕ и активности.</w:t>
            </w:r>
          </w:p>
        </w:tc>
      </w:tr>
      <w:tr>
        <w:trPr>
          <w:trHeight w:val="45" w:hRule="atLeast"/>
        </w:trPr>
        <w:tc>
          <w:tcPr>
            <w:tcW w:w="5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90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Индустријска предузећа</w:t>
            </w:r>
          </w:p>
        </w:tc>
      </w:tr>
      <w:tr>
        <w:trPr>
          <w:trHeight w:val="45" w:hRule="atLeast"/>
        </w:trPr>
        <w:tc>
          <w:tcPr>
            <w:tcW w:w="5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90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Индустријска предузећа која нису обвезници СЕМ</w:t>
            </w:r>
          </w:p>
        </w:tc>
      </w:tr>
      <w:tr>
        <w:trPr>
          <w:trHeight w:val="45" w:hRule="atLeast"/>
        </w:trPr>
        <w:tc>
          <w:tcPr>
            <w:tcW w:w="5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90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5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90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ЗЕЕРУЕ прописује услове за вршење енергетских прегледа, а методологија ће бити регулисана Правилником.</w:t>
            </w:r>
          </w:p>
          <w:p>
            <w:pPr>
              <w:spacing w:after="150"/>
              <w:ind w:left="0"/>
              <w:jc w:val="left"/>
            </w:pPr>
            <w:r>
              <w:rPr>
                <w:rFonts w:ascii="Verdana"/>
                <w:b w:val="false"/>
                <w:i w:val="false"/>
                <w:color w:val="000000"/>
                <w:sz w:val="22"/>
              </w:rPr>
              <w:t>Управа за финансирање и подстицање ЕЕ обезбедиће подстицаје за вршење енергетских прегледа, што ће имати за циљ подизање свести о могућностима уштеде енергије и стимулисање индустрије да инвестира у мере УЕЕ.</w:t>
            </w:r>
          </w:p>
          <w:p>
            <w:pPr>
              <w:spacing w:after="150"/>
              <w:ind w:left="0"/>
              <w:jc w:val="left"/>
            </w:pPr>
            <w:r>
              <w:rPr>
                <w:rFonts w:ascii="Verdana"/>
                <w:b w:val="false"/>
                <w:i w:val="false"/>
                <w:color w:val="000000"/>
                <w:sz w:val="22"/>
              </w:rPr>
              <w:t>Управа ће може обезбедити подстицаје за реализацију мера УЕЕ које су предложене енергетским прегледом.</w:t>
            </w:r>
          </w:p>
          <w:p>
            <w:pPr>
              <w:spacing w:after="150"/>
              <w:ind w:left="0"/>
              <w:jc w:val="left"/>
            </w:pPr>
            <w:r>
              <w:rPr>
                <w:rFonts w:ascii="Verdana"/>
                <w:b w:val="false"/>
                <w:i w:val="false"/>
                <w:color w:val="000000"/>
                <w:sz w:val="22"/>
              </w:rPr>
              <w:t>МФИ-е и/или комерцијалне банке ће обезбедити повољне услове кредитирања мера УЕЕ и у оквиру њих биће примењене њихове процедуре за процењивање уштеде енергије</w:t>
            </w:r>
          </w:p>
          <w:p>
            <w:pPr>
              <w:spacing w:after="150"/>
              <w:ind w:left="0"/>
              <w:jc w:val="left"/>
            </w:pPr>
            <w:r>
              <w:rPr>
                <w:rFonts w:ascii="Verdana"/>
                <w:b w:val="false"/>
                <w:i w:val="false"/>
                <w:color w:val="000000"/>
                <w:sz w:val="22"/>
              </w:rPr>
              <w:t>Мере у складу са спроведеним прегледима могу се финансирати и из других извора финансирања и применом ESCO принципа Могу се користити и други извори финансирања.</w:t>
            </w:r>
          </w:p>
          <w:p>
            <w:pPr>
              <w:spacing w:after="150"/>
              <w:ind w:left="0"/>
              <w:jc w:val="left"/>
            </w:pPr>
            <w:r>
              <w:rPr>
                <w:rFonts w:ascii="Verdana"/>
                <w:b w:val="false"/>
                <w:i w:val="false"/>
                <w:color w:val="000000"/>
                <w:sz w:val="22"/>
              </w:rPr>
              <w:t>Управа ће подстицати примену индивидуалних мера ЕЕ које не захтевају енергетски преглед (нпр. замена електричних мотора итд.).</w:t>
            </w:r>
          </w:p>
          <w:p>
            <w:pPr>
              <w:spacing w:after="150"/>
              <w:ind w:left="0"/>
              <w:jc w:val="left"/>
            </w:pPr>
            <w:r>
              <w:rPr>
                <w:rFonts w:ascii="Verdana"/>
                <w:b w:val="false"/>
                <w:i w:val="false"/>
                <w:color w:val="000000"/>
                <w:sz w:val="22"/>
              </w:rPr>
              <w:t>Кључне техничке мере за УЕЕ су:</w:t>
            </w:r>
          </w:p>
          <w:p>
            <w:pPr>
              <w:spacing w:after="150"/>
              <w:ind w:left="0"/>
              <w:jc w:val="left"/>
            </w:pPr>
            <w:r>
              <w:rPr>
                <w:rFonts w:ascii="Verdana"/>
                <w:b w:val="false"/>
                <w:i w:val="false"/>
                <w:color w:val="000000"/>
                <w:sz w:val="22"/>
              </w:rPr>
              <w:t>– Мере УЕЕ у котловима, пећима и ложиштима (оптимизација процеса сагоревања, искоришћавање отпадне топлоте, унапређење изолације),</w:t>
            </w:r>
          </w:p>
          <w:p>
            <w:pPr>
              <w:spacing w:after="150"/>
              <w:ind w:left="0"/>
              <w:jc w:val="left"/>
            </w:pPr>
            <w:r>
              <w:rPr>
                <w:rFonts w:ascii="Verdana"/>
                <w:b w:val="false"/>
                <w:i w:val="false"/>
                <w:color w:val="000000"/>
                <w:sz w:val="22"/>
              </w:rPr>
              <w:t>– Мере УЕЕ у систему за дистрибуцију паре и повраћај кондензата</w:t>
            </w:r>
          </w:p>
          <w:p>
            <w:pPr>
              <w:spacing w:after="150"/>
              <w:ind w:left="0"/>
              <w:jc w:val="left"/>
            </w:pPr>
            <w:r>
              <w:rPr>
                <w:rFonts w:ascii="Verdana"/>
                <w:b w:val="false"/>
                <w:i w:val="false"/>
                <w:color w:val="000000"/>
                <w:sz w:val="22"/>
              </w:rPr>
              <w:t>– Мере УЕЕ у електроенергетским погонима,</w:t>
            </w:r>
          </w:p>
          <w:p>
            <w:pPr>
              <w:spacing w:after="150"/>
              <w:ind w:left="0"/>
              <w:jc w:val="left"/>
            </w:pPr>
            <w:r>
              <w:rPr>
                <w:rFonts w:ascii="Verdana"/>
                <w:b w:val="false"/>
                <w:i w:val="false"/>
                <w:color w:val="000000"/>
                <w:sz w:val="22"/>
              </w:rPr>
              <w:t>– Мере УЕЕ у рекуперацијом отпадне топлотне енергије,</w:t>
            </w:r>
          </w:p>
          <w:p>
            <w:pPr>
              <w:spacing w:after="150"/>
              <w:ind w:left="0"/>
              <w:jc w:val="left"/>
            </w:pPr>
            <w:r>
              <w:rPr>
                <w:rFonts w:ascii="Verdana"/>
                <w:b w:val="false"/>
                <w:i w:val="false"/>
                <w:color w:val="000000"/>
                <w:sz w:val="22"/>
              </w:rPr>
              <w:t>– Мере УЕЕ у грејању простора,</w:t>
            </w:r>
          </w:p>
          <w:p>
            <w:pPr>
              <w:spacing w:after="150"/>
              <w:ind w:left="0"/>
              <w:jc w:val="left"/>
            </w:pPr>
            <w:r>
              <w:rPr>
                <w:rFonts w:ascii="Verdana"/>
                <w:b w:val="false"/>
                <w:i w:val="false"/>
                <w:color w:val="000000"/>
                <w:sz w:val="22"/>
              </w:rPr>
              <w:t>– Увођење интегрисаног система управљања за потрошњу енергије</w:t>
            </w:r>
          </w:p>
        </w:tc>
      </w:tr>
      <w:tr>
        <w:trPr>
          <w:trHeight w:val="45" w:hRule="atLeast"/>
        </w:trPr>
        <w:tc>
          <w:tcPr>
            <w:tcW w:w="5355" w:type="dxa"/>
            <w:tcBorders>
              <w:top w:val="single" w:color="000000" w:sz="8"/>
              <w:left w:val="single" w:color="000000" w:sz="8"/>
              <w:bottom w:val="single" w:color="000000" w:sz="8"/>
              <w:right w:val="single" w:color="000000" w:sz="8"/>
            </w:tcBorders>
            <w:vAlign w:val="center"/>
          </w:tcPr>
          <w:p/>
        </w:tc>
        <w:tc>
          <w:tcPr>
            <w:tcW w:w="90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Спровођење горе поменутих мера у индустријским компанијама могло би да у индустријском сектору смањи ФПЕ за 8% у просеку.</w:t>
            </w:r>
          </w:p>
          <w:p>
            <w:pPr>
              <w:spacing w:after="150"/>
              <w:ind w:left="0"/>
              <w:jc w:val="left"/>
            </w:pPr>
            <w:r>
              <w:rPr>
                <w:rFonts w:ascii="Verdana"/>
                <w:b w:val="false"/>
                <w:i w:val="false"/>
                <w:color w:val="000000"/>
                <w:sz w:val="22"/>
              </w:rPr>
              <w:t>МФИ ће обезбедити повољне кредитне линије за унапређење енергетске ефикасности у оквиру којих ће применити своје процедуре за оцену уштеда енергије.</w:t>
            </w:r>
          </w:p>
          <w:p>
            <w:pPr>
              <w:spacing w:after="150"/>
              <w:ind w:left="0"/>
              <w:jc w:val="left"/>
            </w:pPr>
            <w:r>
              <w:rPr>
                <w:rFonts w:ascii="Verdana"/>
                <w:b w:val="false"/>
                <w:i w:val="false"/>
                <w:color w:val="000000"/>
                <w:sz w:val="22"/>
              </w:rPr>
              <w:t>Уштеде су у периоду 2010–2012. године у великој мери остварене из EBRD кредитне линије.</w:t>
            </w:r>
          </w:p>
        </w:tc>
      </w:tr>
      <w:tr>
        <w:trPr>
          <w:trHeight w:val="45" w:hRule="atLeast"/>
        </w:trPr>
        <w:tc>
          <w:tcPr>
            <w:tcW w:w="5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90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Управа; Начин и износ подстицаја које даје Управа за сваку годину одређује Влада путем програма финансирања</w:t>
            </w:r>
          </w:p>
          <w:p>
            <w:pPr>
              <w:spacing w:after="150"/>
              <w:ind w:left="0"/>
              <w:jc w:val="left"/>
            </w:pPr>
            <w:r>
              <w:rPr>
                <w:rFonts w:ascii="Verdana"/>
                <w:b w:val="false"/>
                <w:i w:val="false"/>
                <w:color w:val="000000"/>
                <w:sz w:val="22"/>
              </w:rPr>
              <w:t>– Кредити МФИ-а; Регионална кредитна линија EBRD која надгледа имплементацију пројекта EBRD-РЕПП</w:t>
            </w:r>
          </w:p>
          <w:p>
            <w:pPr>
              <w:spacing w:after="150"/>
              <w:ind w:left="0"/>
              <w:jc w:val="left"/>
            </w:pPr>
            <w:r>
              <w:rPr>
                <w:rFonts w:ascii="Verdana"/>
                <w:b w:val="false"/>
                <w:i w:val="false"/>
                <w:color w:val="000000"/>
                <w:sz w:val="22"/>
              </w:rPr>
              <w:t>– Кредити комерцијалних банака;</w:t>
            </w:r>
          </w:p>
          <w:p>
            <w:pPr>
              <w:spacing w:after="150"/>
              <w:ind w:left="0"/>
              <w:jc w:val="left"/>
            </w:pPr>
            <w:r>
              <w:rPr>
                <w:rFonts w:ascii="Verdana"/>
                <w:b w:val="false"/>
                <w:i w:val="false"/>
                <w:color w:val="000000"/>
                <w:sz w:val="22"/>
              </w:rPr>
              <w:t>– ESCO;</w:t>
            </w:r>
          </w:p>
          <w:p>
            <w:pPr>
              <w:spacing w:after="150"/>
              <w:ind w:left="0"/>
              <w:jc w:val="left"/>
            </w:pPr>
            <w:r>
              <w:rPr>
                <w:rFonts w:ascii="Verdana"/>
                <w:b w:val="false"/>
                <w:i w:val="false"/>
                <w:color w:val="000000"/>
                <w:sz w:val="22"/>
              </w:rPr>
              <w:t>– Индустријска предузећа из сопствених средстава;</w:t>
            </w:r>
          </w:p>
          <w:p>
            <w:pPr>
              <w:spacing w:after="150"/>
              <w:ind w:left="0"/>
              <w:jc w:val="left"/>
            </w:pPr>
            <w:r>
              <w:rPr>
                <w:rFonts w:ascii="Verdana"/>
                <w:b w:val="false"/>
                <w:i w:val="false"/>
                <w:color w:val="000000"/>
                <w:sz w:val="22"/>
              </w:rPr>
              <w:t>– Из других извори финансирања.</w:t>
            </w:r>
          </w:p>
        </w:tc>
      </w:tr>
      <w:tr>
        <w:trPr>
          <w:trHeight w:val="45" w:hRule="atLeast"/>
        </w:trPr>
        <w:tc>
          <w:tcPr>
            <w:tcW w:w="5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90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Индустријска предузећа која нису обвезници СЕМ</w:t>
            </w:r>
          </w:p>
          <w:p>
            <w:pPr>
              <w:spacing w:after="150"/>
              <w:ind w:left="0"/>
              <w:jc w:val="left"/>
            </w:pPr>
            <w:r>
              <w:rPr>
                <w:rFonts w:ascii="Verdana"/>
                <w:b w:val="false"/>
                <w:i w:val="false"/>
                <w:color w:val="000000"/>
                <w:sz w:val="22"/>
              </w:rPr>
              <w:t>МРЕ</w:t>
            </w:r>
          </w:p>
        </w:tc>
      </w:tr>
      <w:tr>
        <w:trPr>
          <w:trHeight w:val="45" w:hRule="atLeast"/>
        </w:trPr>
        <w:tc>
          <w:tcPr>
            <w:tcW w:w="5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90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5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9045" w:type="dxa"/>
            <w:tcBorders>
              <w:top w:val="single" w:color="000000" w:sz="8"/>
              <w:left w:val="single" w:color="000000" w:sz="8"/>
              <w:bottom w:val="single" w:color="000000" w:sz="8"/>
              <w:right w:val="single" w:color="000000" w:sz="8"/>
            </w:tcBorders>
            <w:vAlign w:val="center"/>
          </w:tcPr>
          <w:p/>
        </w:tc>
      </w:tr>
      <w:tr>
        <w:trPr>
          <w:trHeight w:val="45" w:hRule="atLeast"/>
        </w:trPr>
        <w:tc>
          <w:tcPr>
            <w:tcW w:w="5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90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Извештаји о енергетским прегледу.</w:t>
            </w:r>
          </w:p>
        </w:tc>
      </w:tr>
      <w:tr>
        <w:trPr>
          <w:trHeight w:val="45" w:hRule="atLeast"/>
        </w:trPr>
        <w:tc>
          <w:tcPr>
            <w:tcW w:w="5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90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8,9 ktoe</w:t>
            </w:r>
          </w:p>
        </w:tc>
      </w:tr>
      <w:tr>
        <w:trPr>
          <w:trHeight w:val="45" w:hRule="atLeast"/>
        </w:trPr>
        <w:tc>
          <w:tcPr>
            <w:tcW w:w="5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90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8,9 ktoe</w:t>
            </w:r>
          </w:p>
        </w:tc>
      </w:tr>
      <w:tr>
        <w:trPr>
          <w:trHeight w:val="45" w:hRule="atLeast"/>
        </w:trPr>
        <w:tc>
          <w:tcPr>
            <w:tcW w:w="53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90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Резултати постигнутих уштеда енергије од свих инвестиција у Сектору индустрије до увођења СЕМ приказани су под овом мером.</w:t>
            </w:r>
          </w:p>
          <w:p>
            <w:pPr>
              <w:spacing w:after="150"/>
              <w:ind w:left="0"/>
              <w:jc w:val="left"/>
            </w:pPr>
            <w:r>
              <w:rPr>
                <w:rFonts w:ascii="Verdana"/>
                <w:b w:val="false"/>
                <w:i w:val="false"/>
                <w:color w:val="000000"/>
                <w:sz w:val="22"/>
              </w:rPr>
              <w:t>После увођења СЕМ, овде ће бити приказани само резултати постигнутих уштеда енергије индустријских предузећа која нису обвезници СЕМ.</w:t>
            </w:r>
          </w:p>
          <w:p>
            <w:pPr>
              <w:spacing w:after="150"/>
              <w:ind w:left="0"/>
              <w:jc w:val="left"/>
            </w:pPr>
            <w:r>
              <w:rPr>
                <w:rFonts w:ascii="Verdana"/>
                <w:b w:val="false"/>
                <w:i w:val="false"/>
                <w:color w:val="000000"/>
                <w:sz w:val="22"/>
              </w:rPr>
              <w:t>То важи за уштеде које се остварују почев од 2017. године.</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322"/>
        <w:gridCol w:w="10078"/>
      </w:tblGrid>
      <w:tr>
        <w:trPr>
          <w:trHeight w:val="45" w:hRule="atLeast"/>
        </w:trPr>
        <w:tc>
          <w:tcPr>
            <w:tcW w:w="4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10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Подстицајне тарифе за високо ефикасне CHP у индустрији</w:t>
            </w:r>
          </w:p>
        </w:tc>
      </w:tr>
      <w:tr>
        <w:trPr>
          <w:trHeight w:val="45" w:hRule="atLeast"/>
        </w:trPr>
        <w:tc>
          <w:tcPr>
            <w:tcW w:w="4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10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И3</w:t>
            </w:r>
          </w:p>
        </w:tc>
      </w:tr>
      <w:tr>
        <w:trPr>
          <w:trHeight w:val="45" w:hRule="atLeast"/>
        </w:trPr>
        <w:tc>
          <w:tcPr>
            <w:tcW w:w="4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0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Финансијски инструменти</w:t>
            </w:r>
          </w:p>
        </w:tc>
      </w:tr>
      <w:tr>
        <w:trPr>
          <w:trHeight w:val="45" w:hRule="atLeast"/>
        </w:trPr>
        <w:tc>
          <w:tcPr>
            <w:tcW w:w="4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0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2010, продужено до 2021. година</w:t>
            </w:r>
          </w:p>
        </w:tc>
      </w:tr>
      <w:tr>
        <w:trPr>
          <w:trHeight w:val="45" w:hRule="atLeast"/>
        </w:trPr>
        <w:tc>
          <w:tcPr>
            <w:tcW w:w="4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0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УЕЕ у индустријским предузећима уградњом високоефикасних постројења за комбиновану производњу топлотне и електричне енергије (</w:t>
            </w:r>
            <w:r>
              <w:rPr>
                <w:rFonts w:ascii="Verdana"/>
                <w:b w:val="false"/>
                <w:i/>
                <w:color w:val="000000"/>
                <w:sz w:val="22"/>
              </w:rPr>
              <w:t>CHP</w:t>
            </w:r>
            <w:r>
              <w:rPr>
                <w:rFonts w:ascii="Verdana"/>
                <w:b w:val="false"/>
                <w:i w:val="false"/>
                <w:color w:val="000000"/>
                <w:sz w:val="22"/>
              </w:rPr>
              <w:t>) на природни гас</w:t>
            </w:r>
          </w:p>
        </w:tc>
      </w:tr>
      <w:tr>
        <w:trPr>
          <w:trHeight w:val="45" w:hRule="atLeast"/>
        </w:trPr>
        <w:tc>
          <w:tcPr>
            <w:tcW w:w="4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0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Енергетска постројења у индустријским предузећима</w:t>
            </w:r>
          </w:p>
        </w:tc>
      </w:tr>
      <w:tr>
        <w:trPr>
          <w:trHeight w:val="45" w:hRule="atLeast"/>
        </w:trPr>
        <w:tc>
          <w:tcPr>
            <w:tcW w:w="4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0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индустрије</w:t>
            </w:r>
          </w:p>
        </w:tc>
      </w:tr>
      <w:tr>
        <w:trPr>
          <w:trHeight w:val="45" w:hRule="atLeast"/>
        </w:trPr>
        <w:tc>
          <w:tcPr>
            <w:tcW w:w="4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0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Национални, регионални и локални ниво</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4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0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Индустријска предузећа имају током целе године потребу за топлотном енергијом (пара или вода за технолошке процесе или за грејање објеката).</w:t>
            </w:r>
          </w:p>
          <w:p>
            <w:pPr>
              <w:spacing w:after="150"/>
              <w:ind w:left="0"/>
              <w:jc w:val="left"/>
            </w:pPr>
            <w:r>
              <w:rPr>
                <w:rFonts w:ascii="Verdana"/>
                <w:b w:val="false"/>
                <w:i w:val="false"/>
                <w:color w:val="000000"/>
                <w:sz w:val="22"/>
              </w:rPr>
              <w:t>Индустријска предузећа која уграде високоефикаска постројења за комбиновану производњу топлотне и електричне енергије (</w:t>
            </w:r>
            <w:r>
              <w:rPr>
                <w:rFonts w:ascii="Verdana"/>
                <w:b w:val="false"/>
                <w:i/>
                <w:color w:val="000000"/>
                <w:sz w:val="22"/>
              </w:rPr>
              <w:t>CHP</w:t>
            </w:r>
            <w:r>
              <w:rPr>
                <w:rFonts w:ascii="Verdana"/>
                <w:b w:val="false"/>
                <w:i w:val="false"/>
                <w:color w:val="000000"/>
                <w:sz w:val="22"/>
              </w:rPr>
              <w:t>) на природни гас снаге до 10 (MW) имају право на стицање статуса повлашћеног произвођача енергије и подстицајну откупну цену за испоручену електричну енергију.</w:t>
            </w:r>
          </w:p>
          <w:p>
            <w:pPr>
              <w:spacing w:after="150"/>
              <w:ind w:left="0"/>
              <w:jc w:val="left"/>
            </w:pPr>
            <w:r>
              <w:rPr>
                <w:rFonts w:ascii="Verdana"/>
                <w:b w:val="false"/>
                <w:i w:val="false"/>
                <w:color w:val="000000"/>
                <w:sz w:val="22"/>
              </w:rPr>
              <w:t xml:space="preserve">Постоји велики потенцијал за примену когенерације – </w:t>
            </w:r>
            <w:r>
              <w:rPr>
                <w:rFonts w:ascii="Verdana"/>
                <w:b w:val="false"/>
                <w:i/>
                <w:color w:val="000000"/>
                <w:sz w:val="22"/>
              </w:rPr>
              <w:t>CHP</w:t>
            </w:r>
            <w:r>
              <w:rPr>
                <w:rFonts w:ascii="Verdana"/>
                <w:b w:val="false"/>
                <w:i w:val="false"/>
                <w:color w:val="000000"/>
                <w:sz w:val="22"/>
              </w:rPr>
              <w:t xml:space="preserve"> постројења у свим индустријским областима.</w:t>
            </w:r>
          </w:p>
        </w:tc>
      </w:tr>
      <w:tr>
        <w:trPr>
          <w:trHeight w:val="45" w:hRule="atLeast"/>
        </w:trPr>
        <w:tc>
          <w:tcPr>
            <w:tcW w:w="4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10078" w:type="dxa"/>
            <w:tcBorders>
              <w:top w:val="single" w:color="000000" w:sz="8"/>
              <w:left w:val="single" w:color="000000" w:sz="8"/>
              <w:bottom w:val="single" w:color="000000" w:sz="8"/>
              <w:right w:val="single" w:color="000000" w:sz="8"/>
            </w:tcBorders>
            <w:vAlign w:val="center"/>
          </w:tcPr>
          <w:p/>
        </w:tc>
      </w:tr>
      <w:tr>
        <w:trPr>
          <w:trHeight w:val="45" w:hRule="atLeast"/>
        </w:trPr>
        <w:tc>
          <w:tcPr>
            <w:tcW w:w="4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0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4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0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4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w:t>
            </w:r>
          </w:p>
        </w:tc>
        <w:tc>
          <w:tcPr>
            <w:tcW w:w="10078" w:type="dxa"/>
            <w:tcBorders>
              <w:top w:val="single" w:color="000000" w:sz="8"/>
              <w:left w:val="single" w:color="000000" w:sz="8"/>
              <w:bottom w:val="single" w:color="000000" w:sz="8"/>
              <w:right w:val="single" w:color="000000" w:sz="8"/>
            </w:tcBorders>
            <w:vAlign w:val="center"/>
          </w:tcPr>
          <w:p/>
        </w:tc>
      </w:tr>
      <w:tr>
        <w:trPr>
          <w:trHeight w:val="45" w:hRule="atLeast"/>
        </w:trPr>
        <w:tc>
          <w:tcPr>
            <w:tcW w:w="4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0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ОПГ12</w:t>
            </w:r>
          </w:p>
        </w:tc>
      </w:tr>
      <w:tr>
        <w:trPr>
          <w:trHeight w:val="45" w:hRule="atLeast"/>
        </w:trPr>
        <w:tc>
          <w:tcPr>
            <w:tcW w:w="4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10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10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0078" w:type="dxa"/>
            <w:tcBorders>
              <w:top w:val="single" w:color="000000" w:sz="8"/>
              <w:left w:val="single" w:color="000000" w:sz="8"/>
              <w:bottom w:val="single" w:color="000000" w:sz="8"/>
              <w:right w:val="single" w:color="000000" w:sz="8"/>
            </w:tcBorders>
            <w:vAlign w:val="center"/>
          </w:tcP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854"/>
        <w:gridCol w:w="12546"/>
      </w:tblGrid>
      <w:tr>
        <w:trPr>
          <w:trHeight w:val="45" w:hRule="atLeast"/>
        </w:trPr>
        <w:tc>
          <w:tcPr>
            <w:tcW w:w="18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125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Минимални захтеви енергетске ефикасности за нова и реновирана постројења за производњу електричне и топлотне енергије, или системе за комбиновану производњу електричне и топлотне енергије</w:t>
            </w:r>
          </w:p>
        </w:tc>
      </w:tr>
      <w:tr>
        <w:trPr>
          <w:trHeight w:val="45" w:hRule="atLeast"/>
        </w:trPr>
        <w:tc>
          <w:tcPr>
            <w:tcW w:w="18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125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И4</w:t>
            </w:r>
          </w:p>
        </w:tc>
      </w:tr>
      <w:tr>
        <w:trPr>
          <w:trHeight w:val="45" w:hRule="atLeast"/>
        </w:trPr>
        <w:tc>
          <w:tcPr>
            <w:tcW w:w="18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25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 (стандарди и норме)</w:t>
            </w:r>
          </w:p>
        </w:tc>
      </w:tr>
      <w:tr>
        <w:trPr>
          <w:trHeight w:val="45" w:hRule="atLeast"/>
        </w:trPr>
        <w:tc>
          <w:tcPr>
            <w:tcW w:w="18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25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година – Трајна активност</w:t>
            </w:r>
          </w:p>
          <w:p>
            <w:pPr>
              <w:spacing w:after="150"/>
              <w:ind w:left="0"/>
              <w:jc w:val="left"/>
            </w:pPr>
            <w:r>
              <w:rPr>
                <w:rFonts w:ascii="Verdana"/>
                <w:b w:val="false"/>
                <w:i w:val="false"/>
                <w:color w:val="000000"/>
                <w:sz w:val="22"/>
              </w:rPr>
              <w:t>Раних мера није било.</w:t>
            </w:r>
          </w:p>
        </w:tc>
      </w:tr>
      <w:tr>
        <w:trPr>
          <w:trHeight w:val="45" w:hRule="atLeast"/>
        </w:trPr>
        <w:tc>
          <w:tcPr>
            <w:tcW w:w="18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25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УЕЕ за нова и реконструисана постројења за производњу електричне и топлотне енергије или за </w:t>
            </w:r>
            <w:r>
              <w:rPr>
                <w:rFonts w:ascii="Verdana"/>
                <w:b w:val="false"/>
                <w:i/>
                <w:color w:val="000000"/>
                <w:sz w:val="22"/>
              </w:rPr>
              <w:t>CHP</w:t>
            </w:r>
            <w:r>
              <w:rPr>
                <w:rFonts w:ascii="Verdana"/>
                <w:b w:val="false"/>
                <w:i w:val="false"/>
                <w:color w:val="000000"/>
                <w:sz w:val="22"/>
              </w:rPr>
              <w:t xml:space="preserve"> постројења оствариће се применом минималних захтева у погледу енергетске ефикасности, што ће бити услов за добијање енергетске и/или грађевинске дозволе.</w:t>
            </w:r>
          </w:p>
        </w:tc>
      </w:tr>
      <w:tr>
        <w:trPr>
          <w:trHeight w:val="45" w:hRule="atLeast"/>
        </w:trPr>
        <w:tc>
          <w:tcPr>
            <w:tcW w:w="18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25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Енергетска постројења у индустријским предузећима</w:t>
            </w:r>
          </w:p>
        </w:tc>
      </w:tr>
      <w:tr>
        <w:trPr>
          <w:trHeight w:val="45" w:hRule="atLeast"/>
        </w:trPr>
        <w:tc>
          <w:tcPr>
            <w:tcW w:w="18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25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индустрије</w:t>
            </w:r>
          </w:p>
        </w:tc>
      </w:tr>
      <w:tr>
        <w:trPr>
          <w:trHeight w:val="45" w:hRule="atLeast"/>
        </w:trPr>
        <w:tc>
          <w:tcPr>
            <w:tcW w:w="18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25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18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25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Закон о ЕКЕ увео је захтев према коме је потребно, за изградњу нових и реконструкцију постојећих постројења за производњу електричне и топлотне енергије или за </w:t>
            </w:r>
            <w:r>
              <w:rPr>
                <w:rFonts w:ascii="Verdana"/>
                <w:b w:val="false"/>
                <w:i/>
                <w:color w:val="000000"/>
                <w:sz w:val="22"/>
              </w:rPr>
              <w:t>CHP</w:t>
            </w:r>
            <w:r>
              <w:rPr>
                <w:rFonts w:ascii="Verdana"/>
                <w:b w:val="false"/>
                <w:i w:val="false"/>
                <w:color w:val="000000"/>
                <w:sz w:val="22"/>
              </w:rPr>
              <w:t xml:space="preserve"> постројења, да буду испуњени минималним захтевима енергетске ефикасности.</w:t>
            </w:r>
          </w:p>
          <w:p>
            <w:pPr>
              <w:spacing w:after="150"/>
              <w:ind w:left="0"/>
              <w:jc w:val="left"/>
            </w:pPr>
            <w:r>
              <w:rPr>
                <w:rFonts w:ascii="Verdana"/>
                <w:b w:val="false"/>
                <w:i w:val="false"/>
                <w:color w:val="000000"/>
                <w:sz w:val="22"/>
              </w:rPr>
              <w:t>Услов за добијање енергетске и/или грађевинске дозволе садржаће обавезу израде елабората о енергетској ефикасности постројења, како би се доказала испуњеност минималним захтевима енергетске ефикасности.</w:t>
            </w:r>
          </w:p>
          <w:p>
            <w:pPr>
              <w:spacing w:after="150"/>
              <w:ind w:left="0"/>
              <w:jc w:val="left"/>
            </w:pPr>
            <w:r>
              <w:rPr>
                <w:rFonts w:ascii="Verdana"/>
                <w:b w:val="false"/>
                <w:i w:val="false"/>
                <w:color w:val="000000"/>
                <w:sz w:val="22"/>
              </w:rPr>
              <w:t>Уредба о минималним захтевима енергетске ефикасности које морају да испуњавају нова и ревитализована постројења („Службени гласник РС”, број 112/17) прописала је минималне захтеве које морају да испуњавају постројења за производњу електричне енергије, као и постројења за комбиновану производњу електричне и топлотне енергије, системи за пренос и дистрибуцију електричне енергије, постројења за производњу топлотне енергије и системи за дистрибуцију топлотне енергије. Правилник о садржини елаборатa о енергетској ефикасности постројења за производњу електричне енергије, постројења за комбиновану производњу електричне и топлотне енергије, система за пренос и дистрибуцију електричне енергије, постројења за производњу и дистрибуцију топлотне енергије („Службени гласник РС”, број 30/18) прописао је садржину елабората о енергетској ефикасности постројења за производњу електричне енергије, постројења за комбиновану производњу електричне и топлотне енергије, система за пренос и дистрибуцију електричне енергије, постројења за производњу и дистрибуцију топлотне енергије</w:t>
            </w:r>
          </w:p>
        </w:tc>
      </w:tr>
      <w:tr>
        <w:trPr>
          <w:trHeight w:val="45" w:hRule="atLeast"/>
        </w:trPr>
        <w:tc>
          <w:tcPr>
            <w:tcW w:w="18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125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Индустријска предузећа из сопствених средстава</w:t>
            </w:r>
          </w:p>
          <w:p>
            <w:pPr>
              <w:spacing w:after="150"/>
              <w:ind w:left="0"/>
              <w:jc w:val="left"/>
            </w:pPr>
            <w:r>
              <w:rPr>
                <w:rFonts w:ascii="Verdana"/>
                <w:b w:val="false"/>
                <w:i w:val="false"/>
                <w:color w:val="000000"/>
                <w:sz w:val="22"/>
              </w:rPr>
              <w:t>Остали инвеститори заинтересовани за изградњу постројења за производњу електричне и топлотне енергије или за CHP постројења.</w:t>
            </w:r>
          </w:p>
        </w:tc>
      </w:tr>
      <w:tr>
        <w:trPr>
          <w:trHeight w:val="45" w:hRule="atLeast"/>
        </w:trPr>
        <w:tc>
          <w:tcPr>
            <w:tcW w:w="18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25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Индустријска предузећа</w:t>
            </w:r>
          </w:p>
          <w:p>
            <w:pPr>
              <w:spacing w:after="150"/>
              <w:ind w:left="0"/>
              <w:jc w:val="left"/>
            </w:pPr>
            <w:r>
              <w:rPr>
                <w:rFonts w:ascii="Verdana"/>
                <w:b w:val="false"/>
                <w:i w:val="false"/>
                <w:color w:val="000000"/>
                <w:sz w:val="22"/>
              </w:rPr>
              <w:t>МРЕ</w:t>
            </w:r>
          </w:p>
        </w:tc>
      </w:tr>
      <w:tr>
        <w:trPr>
          <w:trHeight w:val="45" w:hRule="atLeast"/>
        </w:trPr>
        <w:tc>
          <w:tcPr>
            <w:tcW w:w="18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25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18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енергије</w:t>
            </w:r>
          </w:p>
        </w:tc>
        <w:tc>
          <w:tcPr>
            <w:tcW w:w="12546" w:type="dxa"/>
            <w:tcBorders>
              <w:top w:val="single" w:color="000000" w:sz="8"/>
              <w:left w:val="single" w:color="000000" w:sz="8"/>
              <w:bottom w:val="single" w:color="000000" w:sz="8"/>
              <w:right w:val="single" w:color="000000" w:sz="8"/>
            </w:tcBorders>
            <w:vAlign w:val="center"/>
          </w:tcPr>
          <w:p/>
        </w:tc>
      </w:tr>
      <w:tr>
        <w:trPr>
          <w:trHeight w:val="45" w:hRule="atLeast"/>
        </w:trPr>
        <w:tc>
          <w:tcPr>
            <w:tcW w:w="18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25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ОПГ-12</w:t>
            </w:r>
          </w:p>
        </w:tc>
      </w:tr>
      <w:tr>
        <w:trPr>
          <w:trHeight w:val="45" w:hRule="atLeast"/>
        </w:trPr>
        <w:tc>
          <w:tcPr>
            <w:tcW w:w="18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125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18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125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18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2546" w:type="dxa"/>
            <w:tcBorders>
              <w:top w:val="single" w:color="000000" w:sz="8"/>
              <w:left w:val="single" w:color="000000" w:sz="8"/>
              <w:bottom w:val="single" w:color="000000" w:sz="8"/>
              <w:right w:val="single" w:color="000000" w:sz="8"/>
            </w:tcBorders>
            <w:vAlign w:val="center"/>
          </w:tcPr>
          <w:p/>
        </w:tc>
      </w:tr>
    </w:tbl>
    <w:p>
      <w:pPr>
        <w:spacing w:after="120"/>
        <w:ind w:left="0"/>
        <w:jc w:val="center"/>
      </w:pPr>
      <w:r>
        <w:rPr>
          <w:rFonts w:ascii="Verdana"/>
          <w:b w:val="false"/>
          <w:i w:val="false"/>
          <w:color w:val="000000"/>
          <w:sz w:val="22"/>
        </w:rPr>
        <w:t>СЕКТОР САОБРАЋАЈА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791"/>
        <w:gridCol w:w="12609"/>
      </w:tblGrid>
      <w:tr>
        <w:trPr>
          <w:trHeight w:val="45" w:hRule="atLeast"/>
        </w:trPr>
        <w:tc>
          <w:tcPr>
            <w:tcW w:w="17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12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Имплементација EC 443/2009 о смањењу емисије CO</w:t>
            </w:r>
            <w:r>
              <w:rPr>
                <w:rFonts w:ascii="Verdana"/>
                <w:b w:val="false"/>
                <w:i w:val="false"/>
                <w:color w:val="000000"/>
                <w:sz w:val="22"/>
                <w:vertAlign w:val="subscript"/>
              </w:rPr>
              <w:t>2</w:t>
            </w:r>
            <w:r>
              <w:rPr>
                <w:rFonts w:ascii="Verdana"/>
                <w:b w:val="false"/>
                <w:i w:val="false"/>
                <w:color w:val="000000"/>
                <w:sz w:val="22"/>
              </w:rPr>
              <w:t xml:space="preserve"> нових путничких возила</w:t>
            </w:r>
          </w:p>
        </w:tc>
      </w:tr>
      <w:tr>
        <w:trPr>
          <w:trHeight w:val="45" w:hRule="atLeast"/>
        </w:trPr>
        <w:tc>
          <w:tcPr>
            <w:tcW w:w="17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12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w:t>
            </w:r>
          </w:p>
        </w:tc>
      </w:tr>
      <w:tr>
        <w:trPr>
          <w:trHeight w:val="45" w:hRule="atLeast"/>
        </w:trPr>
        <w:tc>
          <w:tcPr>
            <w:tcW w:w="17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2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w:t>
            </w:r>
          </w:p>
        </w:tc>
      </w:tr>
      <w:tr>
        <w:trPr>
          <w:trHeight w:val="45" w:hRule="atLeast"/>
        </w:trPr>
        <w:tc>
          <w:tcPr>
            <w:tcW w:w="17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2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2011, продужено до 2021. године</w:t>
            </w:r>
          </w:p>
        </w:tc>
      </w:tr>
      <w:tr>
        <w:trPr>
          <w:trHeight w:val="45" w:hRule="atLeast"/>
        </w:trPr>
        <w:tc>
          <w:tcPr>
            <w:tcW w:w="17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2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Спровођење строжих граничних вредности емисија CO</w:t>
            </w:r>
            <w:r>
              <w:rPr>
                <w:rFonts w:ascii="Verdana"/>
                <w:b w:val="false"/>
                <w:i w:val="false"/>
                <w:color w:val="000000"/>
                <w:sz w:val="22"/>
                <w:vertAlign w:val="subscript"/>
              </w:rPr>
              <w:t>2</w:t>
            </w:r>
            <w:r>
              <w:rPr>
                <w:rFonts w:ascii="Verdana"/>
                <w:b w:val="false"/>
                <w:i w:val="false"/>
                <w:color w:val="000000"/>
                <w:sz w:val="22"/>
              </w:rPr>
              <w:t xml:space="preserve"> код нових путничких аутомобила побољшава њихову потрошњу горива у поређењу са претходним граничним нивоима емисија.</w:t>
            </w:r>
          </w:p>
          <w:p>
            <w:pPr>
              <w:spacing w:after="150"/>
              <w:ind w:left="0"/>
              <w:jc w:val="left"/>
            </w:pPr>
            <w:r>
              <w:rPr>
                <w:rFonts w:ascii="Verdana"/>
                <w:b w:val="false"/>
                <w:i w:val="false"/>
                <w:color w:val="000000"/>
                <w:sz w:val="22"/>
              </w:rPr>
              <w:t>Ниво EURO 5 постао је услов за нова путничка возила и лака доставна возила од 1. априла 2011.</w:t>
            </w:r>
          </w:p>
        </w:tc>
      </w:tr>
      <w:tr>
        <w:trPr>
          <w:trHeight w:val="45" w:hRule="atLeast"/>
        </w:trPr>
        <w:tc>
          <w:tcPr>
            <w:tcW w:w="17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2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путничких возила</w:t>
            </w:r>
          </w:p>
        </w:tc>
      </w:tr>
      <w:tr>
        <w:trPr>
          <w:trHeight w:val="45" w:hRule="atLeast"/>
        </w:trPr>
        <w:tc>
          <w:tcPr>
            <w:tcW w:w="17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2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Купци нових путничких аутомобила</w:t>
            </w:r>
          </w:p>
        </w:tc>
      </w:tr>
      <w:tr>
        <w:trPr>
          <w:trHeight w:val="45" w:hRule="atLeast"/>
        </w:trPr>
        <w:tc>
          <w:tcPr>
            <w:tcW w:w="17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12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Национални</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17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12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Правилник о подели моторних и прикључних возила и техничким условима за возила у саобраћају на путевима („Службени гласник РС”, бр. 40/12, 102/12, 19/13, 41/13, 102/14, 41/15, 78/15, 111/15, 14/16, 108/16, 7/17 – исправка, 63/17, 45/18, 70/18, 95/18, 104/18, 93/19, 2/20 – исправка и 64/21)</w:t>
            </w:r>
          </w:p>
          <w:p>
            <w:pPr>
              <w:spacing w:after="150"/>
              <w:ind w:left="0"/>
              <w:jc w:val="left"/>
            </w:pPr>
            <w:r>
              <w:rPr>
                <w:rFonts w:ascii="Verdana"/>
                <w:b w:val="false"/>
                <w:i w:val="false"/>
                <w:color w:val="000000"/>
                <w:sz w:val="22"/>
              </w:rPr>
              <w:t>Усклађивање стандарда о емисији моторних возила са стандардима ЕУ</w:t>
            </w:r>
          </w:p>
        </w:tc>
      </w:tr>
      <w:tr>
        <w:trPr>
          <w:trHeight w:val="45" w:hRule="atLeast"/>
        </w:trPr>
        <w:tc>
          <w:tcPr>
            <w:tcW w:w="17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12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потребно</w:t>
            </w:r>
          </w:p>
        </w:tc>
      </w:tr>
      <w:tr>
        <w:trPr>
          <w:trHeight w:val="45" w:hRule="atLeast"/>
        </w:trPr>
        <w:tc>
          <w:tcPr>
            <w:tcW w:w="17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2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Агенција за безбедност саобраћаја, МТТТ (Сектор тржишне инспекције), Министарство финансија – Управа царина</w:t>
            </w:r>
          </w:p>
        </w:tc>
      </w:tr>
      <w:tr>
        <w:trPr>
          <w:trHeight w:val="45" w:hRule="atLeast"/>
        </w:trPr>
        <w:tc>
          <w:tcPr>
            <w:tcW w:w="17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2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Агенција за безбедност саобраћаја</w:t>
            </w:r>
          </w:p>
        </w:tc>
      </w:tr>
      <w:tr>
        <w:trPr>
          <w:trHeight w:val="45" w:hRule="atLeast"/>
        </w:trPr>
        <w:tc>
          <w:tcPr>
            <w:tcW w:w="17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енергије</w:t>
            </w:r>
          </w:p>
        </w:tc>
        <w:tc>
          <w:tcPr>
            <w:tcW w:w="12609" w:type="dxa"/>
            <w:tcBorders>
              <w:top w:val="single" w:color="000000" w:sz="8"/>
              <w:left w:val="single" w:color="000000" w:sz="8"/>
              <w:bottom w:val="single" w:color="000000" w:sz="8"/>
              <w:right w:val="single" w:color="000000" w:sz="8"/>
            </w:tcBorders>
            <w:vAlign w:val="center"/>
          </w:tcPr>
          <w:p/>
        </w:tc>
      </w:tr>
      <w:tr>
        <w:trPr>
          <w:trHeight w:val="45" w:hRule="atLeast"/>
        </w:trPr>
        <w:tc>
          <w:tcPr>
            <w:tcW w:w="17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12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Редовна (годишња) регистрација возила</w:t>
            </w:r>
          </w:p>
        </w:tc>
      </w:tr>
      <w:tr>
        <w:trPr>
          <w:trHeight w:val="45" w:hRule="atLeast"/>
        </w:trPr>
        <w:tc>
          <w:tcPr>
            <w:tcW w:w="17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12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88,5 ktoe</w:t>
            </w:r>
          </w:p>
        </w:tc>
      </w:tr>
      <w:tr>
        <w:trPr>
          <w:trHeight w:val="45" w:hRule="atLeast"/>
        </w:trPr>
        <w:tc>
          <w:tcPr>
            <w:tcW w:w="17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12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 ktoe</w:t>
            </w:r>
          </w:p>
        </w:tc>
      </w:tr>
      <w:tr>
        <w:trPr>
          <w:trHeight w:val="45" w:hRule="atLeast"/>
        </w:trPr>
        <w:tc>
          <w:tcPr>
            <w:tcW w:w="17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12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 За период од 2016. до 2018. године у уштеду је урачуната мера Т6 која се после 2018. године више не узима у обзир. За период од 2019. до 2021. године у уштеду је урачуната и мера Т4.</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708"/>
        <w:gridCol w:w="10692"/>
      </w:tblGrid>
      <w:tr>
        <w:trPr>
          <w:trHeight w:val="45" w:hRule="atLeast"/>
        </w:trPr>
        <w:tc>
          <w:tcPr>
            <w:tcW w:w="3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106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Еко-вожња</w:t>
            </w:r>
          </w:p>
        </w:tc>
      </w:tr>
      <w:tr>
        <w:trPr>
          <w:trHeight w:val="45" w:hRule="atLeast"/>
        </w:trPr>
        <w:tc>
          <w:tcPr>
            <w:tcW w:w="3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106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Т2</w:t>
            </w:r>
          </w:p>
        </w:tc>
      </w:tr>
      <w:tr>
        <w:trPr>
          <w:trHeight w:val="45" w:hRule="atLeast"/>
        </w:trPr>
        <w:tc>
          <w:tcPr>
            <w:tcW w:w="3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06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 Обука и образовање</w:t>
            </w:r>
          </w:p>
        </w:tc>
      </w:tr>
      <w:tr>
        <w:trPr>
          <w:trHeight w:val="45" w:hRule="atLeast"/>
        </w:trPr>
        <w:tc>
          <w:tcPr>
            <w:tcW w:w="3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06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датум продужено до 2021. године</w:t>
            </w:r>
          </w:p>
        </w:tc>
      </w:tr>
      <w:tr>
        <w:trPr>
          <w:trHeight w:val="45" w:hRule="atLeast"/>
        </w:trPr>
        <w:tc>
          <w:tcPr>
            <w:tcW w:w="3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06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Пружање обуке из домена еко-вожње периодично запосленима у државним службама који пуно возе и возачима аутобуса јавног транспорта путника и интеграција еко-вожње у захтеве приликом полагања возачког испита.</w:t>
            </w:r>
          </w:p>
        </w:tc>
      </w:tr>
      <w:tr>
        <w:trPr>
          <w:trHeight w:val="45" w:hRule="atLeast"/>
        </w:trPr>
        <w:tc>
          <w:tcPr>
            <w:tcW w:w="3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06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аутобуса, путничких аутомобила</w:t>
            </w:r>
          </w:p>
        </w:tc>
      </w:tr>
      <w:tr>
        <w:trPr>
          <w:trHeight w:val="45" w:hRule="atLeast"/>
        </w:trPr>
        <w:tc>
          <w:tcPr>
            <w:tcW w:w="3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06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Професионални возачи аутобуса јавног линијског и ванлинијског транспорта путника и возачи путничких аутомобила у државном власништву</w:t>
            </w:r>
          </w:p>
          <w:p>
            <w:pPr>
              <w:spacing w:after="150"/>
              <w:ind w:left="0"/>
              <w:jc w:val="left"/>
            </w:pPr>
            <w:r>
              <w:rPr>
                <w:rFonts w:ascii="Verdana"/>
                <w:b w:val="false"/>
                <w:i w:val="false"/>
                <w:color w:val="000000"/>
                <w:sz w:val="22"/>
              </w:rPr>
              <w:t>Менаџери (руководиоци) возних паркова</w:t>
            </w:r>
          </w:p>
        </w:tc>
      </w:tr>
      <w:tr>
        <w:trPr>
          <w:trHeight w:val="45" w:hRule="atLeast"/>
        </w:trPr>
        <w:tc>
          <w:tcPr>
            <w:tcW w:w="3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106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Национални</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3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106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Обавезна обука за професионалне возаче аутобуса и возаче запослене или ангажоване у државним институцијама која обухвата како државне службенике, тако и јавни транспорт путника. Професионални возачи треба да похађају годишње периодичне обуке у које би се могла интегрисати и еко-вожња. Међутим, не треба сваком возачу обука сваке године, већ у интервалима од 3–5 година, са редовним мониторингом и анализом екстремних вредности.</w:t>
            </w:r>
          </w:p>
          <w:p>
            <w:pPr>
              <w:spacing w:after="150"/>
              <w:ind w:left="0"/>
              <w:jc w:val="left"/>
            </w:pPr>
            <w:r>
              <w:rPr>
                <w:rFonts w:ascii="Verdana"/>
                <w:b w:val="false"/>
                <w:i w:val="false"/>
                <w:color w:val="000000"/>
                <w:sz w:val="22"/>
              </w:rPr>
              <w:t>Еко-вожња би могла да постане део плана и програма обуке која се спроводи у ауто школама и да постане део програма обавезне обуке за полагање возачког испита.</w:t>
            </w:r>
          </w:p>
        </w:tc>
      </w:tr>
      <w:tr>
        <w:trPr>
          <w:trHeight w:val="45" w:hRule="atLeast"/>
        </w:trPr>
        <w:tc>
          <w:tcPr>
            <w:tcW w:w="3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106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јавних предузећа за транспорт</w:t>
            </w:r>
          </w:p>
          <w:p>
            <w:pPr>
              <w:spacing w:after="150"/>
              <w:ind w:left="0"/>
              <w:jc w:val="left"/>
            </w:pPr>
            <w:r>
              <w:rPr>
                <w:rFonts w:ascii="Verdana"/>
                <w:b w:val="false"/>
                <w:i w:val="false"/>
                <w:color w:val="000000"/>
                <w:sz w:val="22"/>
              </w:rPr>
              <w:t>Нема потребе за субвенцијама</w:t>
            </w:r>
          </w:p>
        </w:tc>
      </w:tr>
      <w:tr>
        <w:trPr>
          <w:trHeight w:val="45" w:hRule="atLeast"/>
        </w:trPr>
        <w:tc>
          <w:tcPr>
            <w:tcW w:w="3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06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Агенција за безбедност саобраћаја</w:t>
            </w:r>
          </w:p>
          <w:p>
            <w:pPr>
              <w:spacing w:after="150"/>
              <w:ind w:left="0"/>
              <w:jc w:val="left"/>
            </w:pPr>
            <w:r>
              <w:rPr>
                <w:rFonts w:ascii="Verdana"/>
                <w:b w:val="false"/>
                <w:i w:val="false"/>
                <w:color w:val="000000"/>
                <w:sz w:val="22"/>
              </w:rPr>
              <w:t>Стручне (професионалне) школе и институције за едукацију професионалних возача</w:t>
            </w:r>
          </w:p>
          <w:p>
            <w:pPr>
              <w:spacing w:after="150"/>
              <w:ind w:left="0"/>
              <w:jc w:val="left"/>
            </w:pPr>
            <w:r>
              <w:rPr>
                <w:rFonts w:ascii="Verdana"/>
                <w:b w:val="false"/>
                <w:i w:val="false"/>
                <w:color w:val="000000"/>
                <w:sz w:val="22"/>
              </w:rPr>
              <w:t>Ауто школе</w:t>
            </w:r>
          </w:p>
        </w:tc>
      </w:tr>
      <w:tr>
        <w:trPr>
          <w:trHeight w:val="45" w:hRule="atLeast"/>
        </w:trPr>
        <w:tc>
          <w:tcPr>
            <w:tcW w:w="3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06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3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енергије</w:t>
            </w:r>
          </w:p>
        </w:tc>
        <w:tc>
          <w:tcPr>
            <w:tcW w:w="10692" w:type="dxa"/>
            <w:tcBorders>
              <w:top w:val="single" w:color="000000" w:sz="8"/>
              <w:left w:val="single" w:color="000000" w:sz="8"/>
              <w:bottom w:val="single" w:color="000000" w:sz="8"/>
              <w:right w:val="single" w:color="000000" w:sz="8"/>
            </w:tcBorders>
            <w:vAlign w:val="center"/>
          </w:tcPr>
          <w:p/>
        </w:tc>
      </w:tr>
      <w:tr>
        <w:trPr>
          <w:trHeight w:val="45" w:hRule="atLeast"/>
        </w:trPr>
        <w:tc>
          <w:tcPr>
            <w:tcW w:w="3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106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финансија/потрошња горива у годишњим извештајима јавних установа.</w:t>
            </w:r>
          </w:p>
          <w:p>
            <w:pPr>
              <w:spacing w:after="150"/>
              <w:ind w:left="0"/>
              <w:jc w:val="left"/>
            </w:pPr>
            <w:r>
              <w:rPr>
                <w:rFonts w:ascii="Verdana"/>
                <w:b w:val="false"/>
                <w:i w:val="false"/>
                <w:color w:val="000000"/>
                <w:sz w:val="22"/>
              </w:rPr>
              <w:t>Дирекција за имовину/подаци из годишњих регистрација возила</w:t>
            </w:r>
          </w:p>
        </w:tc>
      </w:tr>
      <w:tr>
        <w:trPr>
          <w:trHeight w:val="45" w:hRule="atLeast"/>
        </w:trPr>
        <w:tc>
          <w:tcPr>
            <w:tcW w:w="3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106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3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106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37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106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169"/>
        <w:gridCol w:w="11231"/>
      </w:tblGrid>
      <w:tr>
        <w:trPr>
          <w:trHeight w:val="45" w:hRule="atLeast"/>
        </w:trPr>
        <w:tc>
          <w:tcPr>
            <w:tcW w:w="31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112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Управљање мобилношћу</w:t>
            </w:r>
          </w:p>
        </w:tc>
      </w:tr>
      <w:tr>
        <w:trPr>
          <w:trHeight w:val="45" w:hRule="atLeast"/>
        </w:trPr>
        <w:tc>
          <w:tcPr>
            <w:tcW w:w="31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112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Т3</w:t>
            </w:r>
          </w:p>
        </w:tc>
      </w:tr>
      <w:tr>
        <w:trPr>
          <w:trHeight w:val="45" w:hRule="atLeast"/>
        </w:trPr>
        <w:tc>
          <w:tcPr>
            <w:tcW w:w="31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2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 Транспортне мере : 6.1 Видовна прерасподела, 6.2 Накнаде</w:t>
            </w:r>
          </w:p>
        </w:tc>
      </w:tr>
      <w:tr>
        <w:trPr>
          <w:trHeight w:val="45" w:hRule="atLeast"/>
        </w:trPr>
        <w:tc>
          <w:tcPr>
            <w:tcW w:w="31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2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продужено до 2021. година</w:t>
            </w:r>
          </w:p>
        </w:tc>
      </w:tr>
      <w:tr>
        <w:trPr>
          <w:trHeight w:val="45" w:hRule="atLeast"/>
        </w:trPr>
        <w:tc>
          <w:tcPr>
            <w:tcW w:w="31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12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Управљање мобилношћу је концепт промовисања одрживог транспорта и управљања тражњом за коришћењем путничких аутомобила променом ставова и понашања путника. У сржи управљања мобилношћу су „меке мере” попут информисања и комуникације, организовања услуга и координирања активности различитих партнера. „Меке мере” најчешће олакшавају делотворност „тврдих” (инвестиционих) мера у градском транспорту (нпр. нове трамвајске линије, нови путеви/улице и нове бициклистичке стазе). Активности предложене за Републику Србију описане су од „Списак и опис активности”.</w:t>
            </w:r>
          </w:p>
        </w:tc>
      </w:tr>
      <w:tr>
        <w:trPr>
          <w:trHeight w:val="45" w:hRule="atLeast"/>
        </w:trPr>
        <w:tc>
          <w:tcPr>
            <w:tcW w:w="31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12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путничких возила</w:t>
            </w:r>
          </w:p>
        </w:tc>
      </w:tr>
      <w:tr>
        <w:trPr>
          <w:trHeight w:val="45" w:hRule="atLeast"/>
        </w:trPr>
        <w:tc>
          <w:tcPr>
            <w:tcW w:w="31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2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Власници возила, градске управе, послодавци, студенти</w:t>
            </w:r>
          </w:p>
        </w:tc>
      </w:tr>
      <w:tr>
        <w:trPr>
          <w:trHeight w:val="45" w:hRule="atLeast"/>
        </w:trPr>
        <w:tc>
          <w:tcPr>
            <w:tcW w:w="31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112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31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112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Паркирање</w:t>
            </w:r>
          </w:p>
          <w:p>
            <w:pPr>
              <w:spacing w:after="150"/>
              <w:ind w:left="0"/>
              <w:jc w:val="left"/>
            </w:pPr>
            <w:r>
              <w:rPr>
                <w:rFonts w:ascii="Verdana"/>
                <w:b w:val="false"/>
                <w:i w:val="false"/>
                <w:color w:val="000000"/>
                <w:sz w:val="22"/>
              </w:rPr>
              <w:t>Управљање паркирањем је начин да се редукује коришћење путничких аутомобила. Боље могућности за концепт „паркирај и вози се” тиме што ће се обезбедити паркинг простор у близини важних чворишта јавног транспорта путника. Поред тога, градови могу да:</w:t>
            </w:r>
          </w:p>
          <w:p>
            <w:pPr>
              <w:spacing w:after="150"/>
              <w:ind w:left="0"/>
              <w:jc w:val="left"/>
            </w:pPr>
            <w:r>
              <w:rPr>
                <w:rFonts w:ascii="Verdana"/>
                <w:b w:val="false"/>
                <w:i w:val="false"/>
                <w:color w:val="000000"/>
                <w:sz w:val="22"/>
              </w:rPr>
              <w:t>– уведу зоне временског ограничења паркирања</w:t>
            </w:r>
          </w:p>
          <w:p>
            <w:pPr>
              <w:spacing w:after="150"/>
              <w:ind w:left="0"/>
              <w:jc w:val="left"/>
            </w:pPr>
            <w:r>
              <w:rPr>
                <w:rFonts w:ascii="Verdana"/>
                <w:b w:val="false"/>
                <w:i w:val="false"/>
                <w:color w:val="000000"/>
                <w:sz w:val="22"/>
              </w:rPr>
              <w:t>– смање дозволе за паркирање станара на највише 3–4 околне улице, уместо на читаву зону</w:t>
            </w:r>
          </w:p>
          <w:p>
            <w:pPr>
              <w:spacing w:after="150"/>
              <w:ind w:left="0"/>
              <w:jc w:val="left"/>
            </w:pPr>
            <w:r>
              <w:rPr>
                <w:rFonts w:ascii="Verdana"/>
                <w:b w:val="false"/>
                <w:i w:val="false"/>
                <w:color w:val="000000"/>
                <w:sz w:val="22"/>
              </w:rPr>
              <w:t>– повећају цене уличног паркирања</w:t>
            </w:r>
          </w:p>
          <w:p>
            <w:pPr>
              <w:spacing w:after="150"/>
              <w:ind w:left="0"/>
              <w:jc w:val="left"/>
            </w:pPr>
            <w:r>
              <w:rPr>
                <w:rFonts w:ascii="Verdana"/>
                <w:b w:val="false"/>
                <w:i w:val="false"/>
                <w:color w:val="000000"/>
                <w:sz w:val="22"/>
              </w:rPr>
              <w:t>– смање цене вануличног паркирања (на паркинзима и у гаражама) како би привукли више корисника и повећали искоришћеност ових објеката, и</w:t>
            </w:r>
          </w:p>
          <w:p>
            <w:pPr>
              <w:spacing w:after="150"/>
              <w:ind w:left="0"/>
              <w:jc w:val="left"/>
            </w:pPr>
            <w:r>
              <w:rPr>
                <w:rFonts w:ascii="Verdana"/>
                <w:b w:val="false"/>
                <w:i w:val="false"/>
                <w:color w:val="000000"/>
                <w:sz w:val="22"/>
              </w:rPr>
              <w:t>– уведу ефикаснији систем информисања о расположивим паркинг местима како би се смањило време вожње са циљем тражења паркинга.</w:t>
            </w:r>
          </w:p>
          <w:p>
            <w:pPr>
              <w:spacing w:after="150"/>
              <w:ind w:left="0"/>
              <w:jc w:val="left"/>
            </w:pPr>
            <w:r>
              <w:rPr>
                <w:rFonts w:ascii="Verdana"/>
                <w:b w:val="false"/>
                <w:i w:val="false"/>
                <w:color w:val="000000"/>
                <w:sz w:val="22"/>
              </w:rPr>
              <w:t>Послодавци (радна места) могу се подстаћи да смање број бесплатних паркинг места. То, међутим, не би требало спровести без истовремених промотивних мера за коришћење јавног или немоторизованих видова транспорта.</w:t>
            </w:r>
          </w:p>
          <w:p>
            <w:pPr>
              <w:spacing w:after="150"/>
              <w:ind w:left="0"/>
              <w:jc w:val="left"/>
            </w:pPr>
            <w:r>
              <w:rPr>
                <w:rFonts w:ascii="Verdana"/>
                <w:b w:val="false"/>
                <w:i w:val="false"/>
                <w:color w:val="000000"/>
                <w:sz w:val="22"/>
              </w:rPr>
              <w:t>Повећање удела немоторизованих видова транспорта у укупном обиму транспорта</w:t>
            </w:r>
          </w:p>
          <w:p>
            <w:pPr>
              <w:spacing w:after="150"/>
              <w:ind w:left="0"/>
              <w:jc w:val="left"/>
            </w:pPr>
            <w:r>
              <w:rPr>
                <w:rFonts w:ascii="Verdana"/>
                <w:b w:val="false"/>
                <w:i w:val="false"/>
                <w:color w:val="000000"/>
                <w:sz w:val="22"/>
              </w:rPr>
              <w:t>Имплементација пројеката промене понашања: информативне кампање, тематске недеље, итд.</w:t>
            </w:r>
          </w:p>
          <w:p>
            <w:pPr>
              <w:spacing w:after="150"/>
              <w:ind w:left="0"/>
              <w:jc w:val="left"/>
            </w:pPr>
            <w:r>
              <w:rPr>
                <w:rFonts w:ascii="Verdana"/>
                <w:b w:val="false"/>
                <w:i w:val="false"/>
                <w:color w:val="000000"/>
                <w:sz w:val="22"/>
              </w:rPr>
              <w:t>Имплементација планова мобилности у великим организацијама.</w:t>
            </w:r>
          </w:p>
          <w:p>
            <w:pPr>
              <w:spacing w:after="150"/>
              <w:ind w:left="0"/>
              <w:jc w:val="left"/>
            </w:pPr>
            <w:r>
              <w:rPr>
                <w:rFonts w:ascii="Verdana"/>
                <w:b w:val="false"/>
                <w:i w:val="false"/>
                <w:color w:val="000000"/>
                <w:sz w:val="22"/>
              </w:rPr>
              <w:t>Имплементација транспортних планова у свим већим општинама.</w:t>
            </w:r>
          </w:p>
          <w:p>
            <w:pPr>
              <w:spacing w:after="150"/>
              <w:ind w:left="0"/>
              <w:jc w:val="left"/>
            </w:pPr>
            <w:r>
              <w:rPr>
                <w:rFonts w:ascii="Verdana"/>
                <w:b w:val="false"/>
                <w:i w:val="false"/>
                <w:color w:val="000000"/>
                <w:sz w:val="22"/>
              </w:rPr>
              <w:t>Побољшања инфраструктуре: обавезна доступност паркиралишта за бицикле (по могућству покривених) у свим јавним установама (школама, универзитетима, објектима за спорт и рекреацију) и комерцијалним објектима (шопинг центри и сл.), као и на аутобуским и железничким станицама и другим чвориштима јавног транспорта. Мера се најбоље може применити у равничарским областима , за разлику од брдовитих подручја или уских градских улица.</w:t>
            </w:r>
          </w:p>
        </w:tc>
      </w:tr>
      <w:tr>
        <w:trPr>
          <w:trHeight w:val="45" w:hRule="atLeast"/>
        </w:trPr>
        <w:tc>
          <w:tcPr>
            <w:tcW w:w="3169" w:type="dxa"/>
            <w:tcBorders>
              <w:top w:val="single" w:color="000000" w:sz="8"/>
              <w:left w:val="single" w:color="000000" w:sz="8"/>
              <w:bottom w:val="single" w:color="000000" w:sz="8"/>
              <w:right w:val="single" w:color="000000" w:sz="8"/>
            </w:tcBorders>
            <w:vAlign w:val="center"/>
          </w:tcPr>
          <w:p/>
        </w:tc>
        <w:tc>
          <w:tcPr>
            <w:tcW w:w="112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Изградња бициклистичких стаза. Одржавање пешачке и бициклистичке инфраструктуре. Побољшање безбедности саобраћаја у погледу осетљивих група, посебно у близини школа.</w:t>
            </w:r>
          </w:p>
          <w:p>
            <w:pPr>
              <w:spacing w:after="150"/>
              <w:ind w:left="0"/>
              <w:jc w:val="left"/>
            </w:pPr>
            <w:r>
              <w:rPr>
                <w:rFonts w:ascii="Verdana"/>
                <w:b w:val="false"/>
                <w:i w:val="false"/>
                <w:color w:val="000000"/>
                <w:sz w:val="22"/>
              </w:rPr>
              <w:t>Промовисање коришћења јавног транспорта путника</w:t>
            </w:r>
          </w:p>
          <w:p>
            <w:pPr>
              <w:spacing w:after="150"/>
              <w:ind w:left="0"/>
              <w:jc w:val="left"/>
            </w:pPr>
            <w:r>
              <w:rPr>
                <w:rFonts w:ascii="Verdana"/>
                <w:b w:val="false"/>
                <w:i w:val="false"/>
                <w:color w:val="000000"/>
                <w:sz w:val="22"/>
              </w:rPr>
              <w:t>Обезбедити већу доступност информација о редовима вожње. Побољшање интермодалности, што значи јединствено коришћење више различитих видова транспорта у једном ланцу путовања, на пример са варијантом „паркирај и вози се” или прелазак са једног вида транспорта на други. Кампање за дане без аутомобила са евентуалним попустом за коришћење система јавног транспорта путника.</w:t>
            </w:r>
          </w:p>
          <w:p>
            <w:pPr>
              <w:spacing w:after="150"/>
              <w:ind w:left="0"/>
              <w:jc w:val="left"/>
            </w:pPr>
            <w:r>
              <w:rPr>
                <w:rFonts w:ascii="Verdana"/>
                <w:b w:val="false"/>
                <w:i w:val="false"/>
                <w:color w:val="000000"/>
                <w:sz w:val="22"/>
              </w:rPr>
              <w:t>Заједничка вожња и упаривање вожње</w:t>
            </w:r>
          </w:p>
          <w:p>
            <w:pPr>
              <w:spacing w:after="150"/>
              <w:ind w:left="0"/>
              <w:jc w:val="left"/>
            </w:pPr>
            <w:r>
              <w:rPr>
                <w:rFonts w:ascii="Verdana"/>
                <w:b w:val="false"/>
                <w:i w:val="false"/>
                <w:color w:val="000000"/>
                <w:sz w:val="22"/>
              </w:rPr>
              <w:t>Државне и јавне установе да побољшају ситуацију са заједничким вожњама на посао и „упаривањем” вожњи својих запослених помоћу одговарајућих информација и алатима заснованим на интернету или интернету.</w:t>
            </w:r>
          </w:p>
        </w:tc>
      </w:tr>
      <w:tr>
        <w:trPr>
          <w:trHeight w:val="45" w:hRule="atLeast"/>
        </w:trPr>
        <w:tc>
          <w:tcPr>
            <w:tcW w:w="31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112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трошкови: Побољшања инфраструктуре у јавном транспорту путника, бициклистичке стазе и паркиралишта за бицикле, изградња објеката концепт „паркирај и вози се”, управљање трошковима у оквиру управљања мобилношћу, информисање. Мере управљања мобилношћу (у поређењу са „тврдим мерама”) не захтевају нужно велике финансијске инвестиције и могу да буду врло исплативе.</w:t>
            </w:r>
          </w:p>
          <w:p>
            <w:pPr>
              <w:spacing w:after="150"/>
              <w:ind w:left="0"/>
              <w:jc w:val="left"/>
            </w:pPr>
            <w:r>
              <w:rPr>
                <w:rFonts w:ascii="Verdana"/>
                <w:b w:val="false"/>
                <w:i w:val="false"/>
                <w:color w:val="000000"/>
                <w:sz w:val="22"/>
              </w:rPr>
              <w:t xml:space="preserve">Трошкови за приватна лица: мера повећава трошак за власнике возила у градским подручјима. Заједничка вожња (енг. </w:t>
            </w:r>
            <w:r>
              <w:rPr>
                <w:rFonts w:ascii="Verdana"/>
                <w:b w:val="false"/>
                <w:i/>
                <w:color w:val="000000"/>
                <w:sz w:val="22"/>
              </w:rPr>
              <w:t>Car sharing</w:t>
            </w:r>
            <w:r>
              <w:rPr>
                <w:rFonts w:ascii="Verdana"/>
                <w:b w:val="false"/>
                <w:i w:val="false"/>
                <w:color w:val="000000"/>
                <w:sz w:val="22"/>
              </w:rPr>
              <w:t>) у истом аутомобилу може да смањи транспортне трошкове запослених.</w:t>
            </w:r>
          </w:p>
          <w:p>
            <w:pPr>
              <w:spacing w:after="150"/>
              <w:ind w:left="0"/>
              <w:jc w:val="left"/>
            </w:pPr>
            <w:r>
              <w:rPr>
                <w:rFonts w:ascii="Verdana"/>
                <w:b w:val="false"/>
                <w:i w:val="false"/>
                <w:color w:val="000000"/>
                <w:sz w:val="22"/>
              </w:rPr>
              <w:t>Користи: Смањује коришћење моторизованих видова транспорта, посебно путничких аутомобила, и самим тим смањује потрошњу горива, загађење и саобраћајна загушења. Уколико се правилно примењује, повећава и безбедност саобраћаја. Повећано коришћење немоторизованих видова транспорта смањује оптерећење у јавном транспорту путника и доноси и здравствене предности</w:t>
            </w:r>
          </w:p>
        </w:tc>
      </w:tr>
      <w:tr>
        <w:trPr>
          <w:trHeight w:val="45" w:hRule="atLeast"/>
        </w:trPr>
        <w:tc>
          <w:tcPr>
            <w:tcW w:w="31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2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Градска саобраћајна предузећа и паркинг сервиси, Агенције за управљање земљиштем</w:t>
            </w:r>
          </w:p>
        </w:tc>
      </w:tr>
      <w:tr>
        <w:trPr>
          <w:trHeight w:val="45" w:hRule="atLeast"/>
        </w:trPr>
        <w:tc>
          <w:tcPr>
            <w:tcW w:w="31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12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w:t>
            </w:r>
          </w:p>
        </w:tc>
      </w:tr>
      <w:tr>
        <w:trPr>
          <w:trHeight w:val="45" w:hRule="atLeast"/>
        </w:trPr>
        <w:tc>
          <w:tcPr>
            <w:tcW w:w="31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1231" w:type="dxa"/>
            <w:tcBorders>
              <w:top w:val="single" w:color="000000" w:sz="8"/>
              <w:left w:val="single" w:color="000000" w:sz="8"/>
              <w:bottom w:val="single" w:color="000000" w:sz="8"/>
              <w:right w:val="single" w:color="000000" w:sz="8"/>
            </w:tcBorders>
            <w:vAlign w:val="center"/>
          </w:tcPr>
          <w:p/>
        </w:tc>
      </w:tr>
      <w:tr>
        <w:trPr>
          <w:trHeight w:val="45" w:hRule="atLeast"/>
        </w:trPr>
        <w:tc>
          <w:tcPr>
            <w:tcW w:w="31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11231" w:type="dxa"/>
            <w:tcBorders>
              <w:top w:val="single" w:color="000000" w:sz="8"/>
              <w:left w:val="single" w:color="000000" w:sz="8"/>
              <w:bottom w:val="single" w:color="000000" w:sz="8"/>
              <w:right w:val="single" w:color="000000" w:sz="8"/>
            </w:tcBorders>
            <w:vAlign w:val="center"/>
          </w:tcPr>
          <w:p/>
        </w:tc>
      </w:tr>
      <w:tr>
        <w:trPr>
          <w:trHeight w:val="45" w:hRule="atLeast"/>
        </w:trPr>
        <w:tc>
          <w:tcPr>
            <w:tcW w:w="31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112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31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112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31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112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265"/>
        <w:gridCol w:w="9135"/>
      </w:tblGrid>
      <w:tr>
        <w:trPr>
          <w:trHeight w:val="45" w:hRule="atLeast"/>
        </w:trPr>
        <w:tc>
          <w:tcPr>
            <w:tcW w:w="5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91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у систему јавног транспорта путника</w:t>
            </w:r>
          </w:p>
        </w:tc>
      </w:tr>
      <w:tr>
        <w:trPr>
          <w:trHeight w:val="45" w:hRule="atLeast"/>
        </w:trPr>
        <w:tc>
          <w:tcPr>
            <w:tcW w:w="5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91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Т4</w:t>
            </w:r>
          </w:p>
        </w:tc>
      </w:tr>
      <w:tr>
        <w:trPr>
          <w:trHeight w:val="45" w:hRule="atLeast"/>
        </w:trPr>
        <w:tc>
          <w:tcPr>
            <w:tcW w:w="5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91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 Јавне набавке засноване на енергетској ефикасности</w:t>
            </w:r>
          </w:p>
          <w:p>
            <w:pPr>
              <w:spacing w:after="150"/>
              <w:ind w:left="0"/>
              <w:jc w:val="left"/>
            </w:pPr>
            <w:r>
              <w:rPr>
                <w:rFonts w:ascii="Verdana"/>
                <w:b w:val="false"/>
                <w:i w:val="false"/>
                <w:color w:val="000000"/>
                <w:sz w:val="22"/>
              </w:rPr>
              <w:t>6.1 Видовна прерасподела</w:t>
            </w:r>
          </w:p>
        </w:tc>
      </w:tr>
      <w:tr>
        <w:trPr>
          <w:trHeight w:val="45" w:hRule="atLeast"/>
        </w:trPr>
        <w:tc>
          <w:tcPr>
            <w:tcW w:w="5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91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продужено до 2021. године</w:t>
            </w:r>
          </w:p>
        </w:tc>
      </w:tr>
      <w:tr>
        <w:trPr>
          <w:trHeight w:val="45" w:hRule="atLeast"/>
        </w:trPr>
        <w:tc>
          <w:tcPr>
            <w:tcW w:w="5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91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енергије од унапређења енергетске ефикасности у јавном транспорту путника поновним коришћењем кинетичке енергије.</w:t>
            </w:r>
          </w:p>
        </w:tc>
      </w:tr>
      <w:tr>
        <w:trPr>
          <w:trHeight w:val="45" w:hRule="atLeast"/>
        </w:trPr>
        <w:tc>
          <w:tcPr>
            <w:tcW w:w="5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91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путничких возила</w:t>
            </w:r>
          </w:p>
          <w:p>
            <w:pPr>
              <w:spacing w:after="150"/>
              <w:ind w:left="0"/>
              <w:jc w:val="left"/>
            </w:pPr>
            <w:r>
              <w:rPr>
                <w:rFonts w:ascii="Verdana"/>
                <w:b w:val="false"/>
                <w:i w:val="false"/>
                <w:color w:val="000000"/>
                <w:sz w:val="22"/>
              </w:rPr>
              <w:t>Потрошња горива возила јавног транспорта путника</w:t>
            </w:r>
          </w:p>
        </w:tc>
      </w:tr>
      <w:tr>
        <w:trPr>
          <w:trHeight w:val="45" w:hRule="atLeast"/>
        </w:trPr>
        <w:tc>
          <w:tcPr>
            <w:tcW w:w="5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91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Власници возила</w:t>
            </w:r>
          </w:p>
          <w:p>
            <w:pPr>
              <w:spacing w:after="150"/>
              <w:ind w:left="0"/>
              <w:jc w:val="left"/>
            </w:pPr>
            <w:r>
              <w:rPr>
                <w:rFonts w:ascii="Verdana"/>
                <w:b w:val="false"/>
                <w:i w:val="false"/>
                <w:color w:val="000000"/>
                <w:sz w:val="22"/>
              </w:rPr>
              <w:t>Менаџери (руководиоци) возних паркова</w:t>
            </w:r>
          </w:p>
        </w:tc>
      </w:tr>
      <w:tr>
        <w:trPr>
          <w:trHeight w:val="45" w:hRule="atLeast"/>
        </w:trPr>
        <w:tc>
          <w:tcPr>
            <w:tcW w:w="5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91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5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91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енергије од унапређења енергетске ефикасности у возилима јавног транспорта путника поновним коришћењем кинетичке енергије. Увођење система за повраћај кинетичке енергије (KERS) у свим новим аутобусима у јавном градском транспорту путника.</w:t>
            </w:r>
          </w:p>
          <w:p>
            <w:pPr>
              <w:spacing w:after="150"/>
              <w:ind w:left="0"/>
              <w:jc w:val="left"/>
            </w:pPr>
            <w:r>
              <w:rPr>
                <w:rFonts w:ascii="Verdana"/>
                <w:b w:val="false"/>
                <w:i w:val="false"/>
                <w:color w:val="000000"/>
                <w:sz w:val="22"/>
              </w:rPr>
              <w:t>Увођење система за повраћај енергије у возилима на електрични погон.</w:t>
            </w:r>
          </w:p>
          <w:p>
            <w:pPr>
              <w:spacing w:after="150"/>
              <w:ind w:left="0"/>
              <w:jc w:val="left"/>
            </w:pPr>
            <w:r>
              <w:rPr>
                <w:rFonts w:ascii="Verdana"/>
                <w:b w:val="false"/>
                <w:i w:val="false"/>
                <w:color w:val="000000"/>
                <w:sz w:val="22"/>
              </w:rPr>
              <w:t>Попуст на електрифицирани видове јавног транспорта у односу на аутобуски са погоном на фосилна горива.</w:t>
            </w:r>
          </w:p>
          <w:p>
            <w:pPr>
              <w:spacing w:after="150"/>
              <w:ind w:left="0"/>
              <w:jc w:val="left"/>
            </w:pPr>
            <w:r>
              <w:rPr>
                <w:rFonts w:ascii="Verdana"/>
                <w:b w:val="false"/>
                <w:i w:val="false"/>
                <w:color w:val="000000"/>
                <w:sz w:val="22"/>
              </w:rPr>
              <w:t>Смањене тражње за трошењем енергије док возила мирују (рад у празном ходу) електрификацијом терминала јавног транспорта путника и обезбеђивањем електричног грејања, хлађења, климатизације и start-up подршке.</w:t>
            </w:r>
          </w:p>
        </w:tc>
      </w:tr>
      <w:tr>
        <w:trPr>
          <w:trHeight w:val="45" w:hRule="atLeast"/>
        </w:trPr>
        <w:tc>
          <w:tcPr>
            <w:tcW w:w="5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9135" w:type="dxa"/>
            <w:tcBorders>
              <w:top w:val="single" w:color="000000" w:sz="8"/>
              <w:left w:val="single" w:color="000000" w:sz="8"/>
              <w:bottom w:val="single" w:color="000000" w:sz="8"/>
              <w:right w:val="single" w:color="000000" w:sz="8"/>
            </w:tcBorders>
            <w:vAlign w:val="center"/>
          </w:tcPr>
          <w:p/>
        </w:tc>
      </w:tr>
      <w:tr>
        <w:trPr>
          <w:trHeight w:val="45" w:hRule="atLeast"/>
        </w:trPr>
        <w:tc>
          <w:tcPr>
            <w:tcW w:w="5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91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Градске власти и органи јавног градског транспорта путника(Секретаријат за саобраћај/Дирекција за јавни превоз у Београду)</w:t>
            </w:r>
          </w:p>
        </w:tc>
      </w:tr>
      <w:tr>
        <w:trPr>
          <w:trHeight w:val="45" w:hRule="atLeast"/>
        </w:trPr>
        <w:tc>
          <w:tcPr>
            <w:tcW w:w="5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91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МРЕ</w:t>
            </w:r>
          </w:p>
        </w:tc>
      </w:tr>
      <w:tr>
        <w:trPr>
          <w:trHeight w:val="45" w:hRule="atLeast"/>
        </w:trPr>
        <w:tc>
          <w:tcPr>
            <w:tcW w:w="5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w:t>
            </w:r>
          </w:p>
        </w:tc>
        <w:tc>
          <w:tcPr>
            <w:tcW w:w="9135" w:type="dxa"/>
            <w:tcBorders>
              <w:top w:val="single" w:color="000000" w:sz="8"/>
              <w:left w:val="single" w:color="000000" w:sz="8"/>
              <w:bottom w:val="single" w:color="000000" w:sz="8"/>
              <w:right w:val="single" w:color="000000" w:sz="8"/>
            </w:tcBorders>
            <w:vAlign w:val="center"/>
          </w:tcPr>
          <w:p/>
        </w:tc>
      </w:tr>
      <w:tr>
        <w:trPr>
          <w:trHeight w:val="45" w:hRule="atLeast"/>
        </w:trPr>
        <w:tc>
          <w:tcPr>
            <w:tcW w:w="5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91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Извештаји о реализацији јавног транспорта путника</w:t>
            </w:r>
          </w:p>
        </w:tc>
      </w:tr>
      <w:tr>
        <w:trPr>
          <w:trHeight w:val="45" w:hRule="atLeast"/>
        </w:trPr>
        <w:tc>
          <w:tcPr>
            <w:tcW w:w="5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91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8,54 ktoe</w:t>
            </w:r>
          </w:p>
        </w:tc>
      </w:tr>
      <w:tr>
        <w:trPr>
          <w:trHeight w:val="45" w:hRule="atLeast"/>
        </w:trPr>
        <w:tc>
          <w:tcPr>
            <w:tcW w:w="5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91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Прати се за овај период у оквиру Т1</w:t>
            </w:r>
          </w:p>
        </w:tc>
      </w:tr>
      <w:tr>
        <w:trPr>
          <w:trHeight w:val="45" w:hRule="atLeast"/>
        </w:trPr>
        <w:tc>
          <w:tcPr>
            <w:tcW w:w="5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91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869"/>
        <w:gridCol w:w="9531"/>
      </w:tblGrid>
      <w:tr>
        <w:trPr>
          <w:trHeight w:val="45" w:hRule="atLeast"/>
        </w:trPr>
        <w:tc>
          <w:tcPr>
            <w:tcW w:w="4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95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система транспорта робе</w:t>
            </w:r>
          </w:p>
        </w:tc>
      </w:tr>
      <w:tr>
        <w:trPr>
          <w:trHeight w:val="45" w:hRule="atLeast"/>
        </w:trPr>
        <w:tc>
          <w:tcPr>
            <w:tcW w:w="4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95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Т5</w:t>
            </w:r>
          </w:p>
        </w:tc>
      </w:tr>
      <w:tr>
        <w:trPr>
          <w:trHeight w:val="45" w:hRule="atLeast"/>
        </w:trPr>
        <w:tc>
          <w:tcPr>
            <w:tcW w:w="4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95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 Транспортне мере</w:t>
            </w:r>
          </w:p>
          <w:p>
            <w:pPr>
              <w:spacing w:after="150"/>
              <w:ind w:left="0"/>
              <w:jc w:val="left"/>
            </w:pPr>
            <w:r>
              <w:rPr>
                <w:rFonts w:ascii="Verdana"/>
                <w:b w:val="false"/>
                <w:i w:val="false"/>
                <w:color w:val="000000"/>
                <w:sz w:val="22"/>
              </w:rPr>
              <w:t>6.1 Видовна прерасподела</w:t>
            </w:r>
          </w:p>
        </w:tc>
      </w:tr>
      <w:tr>
        <w:trPr>
          <w:trHeight w:val="45" w:hRule="atLeast"/>
        </w:trPr>
        <w:tc>
          <w:tcPr>
            <w:tcW w:w="4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95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Спровођење би могло да започне у периоду 2016–2020, али ће уштеде бити реализоване тек касније због дугорочног планирања и периода имплементације инфраструктуре.</w:t>
            </w:r>
          </w:p>
        </w:tc>
      </w:tr>
      <w:tr>
        <w:trPr>
          <w:trHeight w:val="45" w:hRule="atLeast"/>
        </w:trPr>
        <w:tc>
          <w:tcPr>
            <w:tcW w:w="4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95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Побољшање логистике у транспорту робе ради унапређења енергетске ефикасности путем боље инфраструктуре и планирања.</w:t>
            </w:r>
          </w:p>
        </w:tc>
      </w:tr>
      <w:tr>
        <w:trPr>
          <w:trHeight w:val="45" w:hRule="atLeast"/>
        </w:trPr>
        <w:tc>
          <w:tcPr>
            <w:tcW w:w="4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95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код превоза тешких производа</w:t>
            </w:r>
          </w:p>
        </w:tc>
      </w:tr>
      <w:tr>
        <w:trPr>
          <w:trHeight w:val="45" w:hRule="atLeast"/>
        </w:trPr>
        <w:tc>
          <w:tcPr>
            <w:tcW w:w="4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95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Извозници и увозници комерцијалне робе</w:t>
            </w:r>
          </w:p>
          <w:p>
            <w:pPr>
              <w:spacing w:after="150"/>
              <w:ind w:left="0"/>
              <w:jc w:val="left"/>
            </w:pPr>
            <w:r>
              <w:rPr>
                <w:rFonts w:ascii="Verdana"/>
                <w:b w:val="false"/>
                <w:i w:val="false"/>
                <w:color w:val="000000"/>
                <w:sz w:val="22"/>
              </w:rPr>
              <w:t>Превозници</w:t>
            </w:r>
          </w:p>
          <w:p>
            <w:pPr>
              <w:spacing w:after="150"/>
              <w:ind w:left="0"/>
              <w:jc w:val="left"/>
            </w:pPr>
            <w:r>
              <w:rPr>
                <w:rFonts w:ascii="Verdana"/>
                <w:b w:val="false"/>
                <w:i w:val="false"/>
                <w:color w:val="000000"/>
                <w:sz w:val="22"/>
              </w:rPr>
              <w:t>Урбанистички органи</w:t>
            </w:r>
          </w:p>
        </w:tc>
      </w:tr>
      <w:tr>
        <w:trPr>
          <w:trHeight w:val="45" w:hRule="atLeast"/>
        </w:trPr>
        <w:tc>
          <w:tcPr>
            <w:tcW w:w="4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95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4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95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Изградња истоварних/претоварних станица у градовима како би се омогућила испорука робе у ванвршним периодима. Станице за испоруку су транспортна чворишта изван најзагушенијих зона, где се роба испоручује у вршним часовима или у већим количинама. Роба се претоварује у мања возила и испоручује се у ванвршним периодима.</w:t>
            </w:r>
          </w:p>
          <w:p>
            <w:pPr>
              <w:spacing w:after="150"/>
              <w:ind w:left="0"/>
              <w:jc w:val="left"/>
            </w:pPr>
            <w:r>
              <w:rPr>
                <w:rFonts w:ascii="Verdana"/>
                <w:b w:val="false"/>
                <w:i w:val="false"/>
                <w:color w:val="000000"/>
                <w:sz w:val="22"/>
              </w:rPr>
              <w:t>Побољшање логистике како би се избегле празне вожње, тј. конципирањем интелигентних транспортних система (е-логистика).</w:t>
            </w:r>
          </w:p>
          <w:p>
            <w:pPr>
              <w:spacing w:after="150"/>
              <w:ind w:left="0"/>
              <w:jc w:val="left"/>
            </w:pPr>
            <w:r>
              <w:rPr>
                <w:rFonts w:ascii="Verdana"/>
                <w:b w:val="false"/>
                <w:i w:val="false"/>
                <w:color w:val="000000"/>
                <w:sz w:val="22"/>
              </w:rPr>
              <w:t>Корекције у урбанистичким/транспортним плановима како би се омогућила видовна прерасподела између следећих видова транспорта: унутрашњим пловним путевима, друмског, железничког и ваздушног.</w:t>
            </w:r>
          </w:p>
        </w:tc>
      </w:tr>
      <w:tr>
        <w:trPr>
          <w:trHeight w:val="45" w:hRule="atLeast"/>
        </w:trPr>
        <w:tc>
          <w:tcPr>
            <w:tcW w:w="4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95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Развојни кредити/концесије</w:t>
            </w:r>
          </w:p>
          <w:p>
            <w:pPr>
              <w:spacing w:after="150"/>
              <w:ind w:left="0"/>
              <w:jc w:val="left"/>
            </w:pPr>
            <w:r>
              <w:rPr>
                <w:rFonts w:ascii="Verdana"/>
                <w:b w:val="false"/>
                <w:i w:val="false"/>
                <w:color w:val="000000"/>
                <w:sz w:val="22"/>
              </w:rPr>
              <w:t>НСВ није израчуната</w:t>
            </w:r>
          </w:p>
        </w:tc>
      </w:tr>
      <w:tr>
        <w:trPr>
          <w:trHeight w:val="45" w:hRule="atLeast"/>
        </w:trPr>
        <w:tc>
          <w:tcPr>
            <w:tcW w:w="4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95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град Београд, МГСИ</w:t>
            </w:r>
          </w:p>
        </w:tc>
      </w:tr>
      <w:tr>
        <w:trPr>
          <w:trHeight w:val="45" w:hRule="atLeast"/>
        </w:trPr>
        <w:tc>
          <w:tcPr>
            <w:tcW w:w="4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95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 МТТТ</w:t>
            </w:r>
          </w:p>
        </w:tc>
      </w:tr>
      <w:tr>
        <w:trPr>
          <w:trHeight w:val="45" w:hRule="atLeast"/>
        </w:trPr>
        <w:tc>
          <w:tcPr>
            <w:tcW w:w="4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w:t>
            </w:r>
          </w:p>
        </w:tc>
        <w:tc>
          <w:tcPr>
            <w:tcW w:w="9531" w:type="dxa"/>
            <w:tcBorders>
              <w:top w:val="single" w:color="000000" w:sz="8"/>
              <w:left w:val="single" w:color="000000" w:sz="8"/>
              <w:bottom w:val="single" w:color="000000" w:sz="8"/>
              <w:right w:val="single" w:color="000000" w:sz="8"/>
            </w:tcBorders>
            <w:vAlign w:val="center"/>
          </w:tcPr>
          <w:p/>
        </w:tc>
      </w:tr>
      <w:tr>
        <w:trPr>
          <w:trHeight w:val="45" w:hRule="atLeast"/>
        </w:trPr>
        <w:tc>
          <w:tcPr>
            <w:tcW w:w="4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95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Транспортне статистике</w:t>
            </w:r>
          </w:p>
          <w:p>
            <w:pPr>
              <w:spacing w:after="150"/>
              <w:ind w:left="0"/>
              <w:jc w:val="left"/>
            </w:pPr>
            <w:r>
              <w:rPr>
                <w:rFonts w:ascii="Verdana"/>
                <w:b w:val="false"/>
                <w:i w:val="false"/>
                <w:color w:val="000000"/>
                <w:sz w:val="22"/>
              </w:rPr>
              <w:t>Статистике о увозу и извозу</w:t>
            </w:r>
          </w:p>
        </w:tc>
      </w:tr>
      <w:tr>
        <w:trPr>
          <w:trHeight w:val="45" w:hRule="atLeast"/>
        </w:trPr>
        <w:tc>
          <w:tcPr>
            <w:tcW w:w="4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95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95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95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149"/>
        <w:gridCol w:w="10251"/>
      </w:tblGrid>
      <w:tr>
        <w:trPr>
          <w:trHeight w:val="45" w:hRule="atLeast"/>
        </w:trPr>
        <w:tc>
          <w:tcPr>
            <w:tcW w:w="41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102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Регулисање EURO-стандарда у погледу нивоа емисије за увезене путничке аутомобиле</w:t>
            </w:r>
          </w:p>
        </w:tc>
      </w:tr>
      <w:tr>
        <w:trPr>
          <w:trHeight w:val="45" w:hRule="atLeast"/>
        </w:trPr>
        <w:tc>
          <w:tcPr>
            <w:tcW w:w="41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102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Т6</w:t>
            </w:r>
          </w:p>
        </w:tc>
      </w:tr>
      <w:tr>
        <w:trPr>
          <w:trHeight w:val="45" w:hRule="atLeast"/>
        </w:trPr>
        <w:tc>
          <w:tcPr>
            <w:tcW w:w="41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02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Прописи</w:t>
            </w:r>
          </w:p>
        </w:tc>
      </w:tr>
      <w:tr>
        <w:trPr>
          <w:trHeight w:val="45" w:hRule="atLeast"/>
        </w:trPr>
        <w:tc>
          <w:tcPr>
            <w:tcW w:w="41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02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2010, датум завршетка: 2018. година</w:t>
            </w:r>
          </w:p>
        </w:tc>
      </w:tr>
      <w:tr>
        <w:trPr>
          <w:trHeight w:val="45" w:hRule="atLeast"/>
        </w:trPr>
        <w:tc>
          <w:tcPr>
            <w:tcW w:w="41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02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Увоз коришћених (половних) путничких аутомобила у Републици Србији је уобичајена појава. Већи део први пут регистрованих возила су коришћени, а не нови путнички аутомобили. Према томе, минимални захтеви у погледу путничких аутомобила из увоза у великој мери утичу на енергетску ефикасност. Предложено је повећање минималног захтева у погледу стандарда емисије. Мера ће тада поново постати активна</w:t>
            </w:r>
          </w:p>
        </w:tc>
      </w:tr>
      <w:tr>
        <w:trPr>
          <w:trHeight w:val="45" w:hRule="atLeast"/>
        </w:trPr>
        <w:tc>
          <w:tcPr>
            <w:tcW w:w="41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02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увезених возила</w:t>
            </w:r>
          </w:p>
        </w:tc>
      </w:tr>
      <w:tr>
        <w:trPr>
          <w:trHeight w:val="45" w:hRule="atLeast"/>
        </w:trPr>
        <w:tc>
          <w:tcPr>
            <w:tcW w:w="41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02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Увозници возила (физичка и правна лица)</w:t>
            </w:r>
          </w:p>
        </w:tc>
      </w:tr>
      <w:tr>
        <w:trPr>
          <w:trHeight w:val="45" w:hRule="atLeast"/>
        </w:trPr>
        <w:tc>
          <w:tcPr>
            <w:tcW w:w="41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102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читавој земљи</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41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102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Уредба о увозу моторних возила („Службени гласник РС”, бр. 23/10 и 5/18)</w:t>
            </w:r>
          </w:p>
        </w:tc>
      </w:tr>
      <w:tr>
        <w:trPr>
          <w:trHeight w:val="45" w:hRule="atLeast"/>
        </w:trPr>
        <w:tc>
          <w:tcPr>
            <w:tcW w:w="41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02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Без утицаја на буџет</w:t>
            </w:r>
          </w:p>
        </w:tc>
      </w:tr>
      <w:tr>
        <w:trPr>
          <w:trHeight w:val="45" w:hRule="atLeast"/>
        </w:trPr>
        <w:tc>
          <w:tcPr>
            <w:tcW w:w="41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02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Агенција за безбедност саобраћаја, МТТТ (Сектор тржишне инспекције)</w:t>
            </w:r>
          </w:p>
        </w:tc>
      </w:tr>
      <w:tr>
        <w:trPr>
          <w:trHeight w:val="45" w:hRule="atLeast"/>
        </w:trPr>
        <w:tc>
          <w:tcPr>
            <w:tcW w:w="41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02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надлежно за послове трговине (Сектор тржишне инспекције), Агенција за безбедност саобраћаја,</w:t>
            </w:r>
          </w:p>
        </w:tc>
      </w:tr>
      <w:tr>
        <w:trPr>
          <w:trHeight w:val="45" w:hRule="atLeast"/>
        </w:trPr>
        <w:tc>
          <w:tcPr>
            <w:tcW w:w="41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w:t>
            </w:r>
          </w:p>
        </w:tc>
        <w:tc>
          <w:tcPr>
            <w:tcW w:w="10251" w:type="dxa"/>
            <w:tcBorders>
              <w:top w:val="single" w:color="000000" w:sz="8"/>
              <w:left w:val="single" w:color="000000" w:sz="8"/>
              <w:bottom w:val="single" w:color="000000" w:sz="8"/>
              <w:right w:val="single" w:color="000000" w:sz="8"/>
            </w:tcBorders>
            <w:vAlign w:val="center"/>
          </w:tcPr>
          <w:p/>
        </w:tc>
      </w:tr>
      <w:tr>
        <w:trPr>
          <w:trHeight w:val="45" w:hRule="atLeast"/>
        </w:trPr>
        <w:tc>
          <w:tcPr>
            <w:tcW w:w="41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102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Метода ОПГ13 на основу броја увезених путничких аутомобила.</w:t>
            </w:r>
          </w:p>
        </w:tc>
      </w:tr>
      <w:tr>
        <w:trPr>
          <w:trHeight w:val="45" w:hRule="atLeast"/>
        </w:trPr>
        <w:tc>
          <w:tcPr>
            <w:tcW w:w="41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102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 зато што су резултати мере обухваћени мером Т1</w:t>
            </w:r>
          </w:p>
        </w:tc>
      </w:tr>
      <w:tr>
        <w:trPr>
          <w:trHeight w:val="45" w:hRule="atLeast"/>
        </w:trPr>
        <w:tc>
          <w:tcPr>
            <w:tcW w:w="41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102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активна</w:t>
            </w:r>
          </w:p>
        </w:tc>
      </w:tr>
      <w:tr>
        <w:trPr>
          <w:trHeight w:val="45" w:hRule="atLeast"/>
        </w:trPr>
        <w:tc>
          <w:tcPr>
            <w:tcW w:w="41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102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759"/>
        <w:gridCol w:w="7641"/>
      </w:tblGrid>
      <w:tr>
        <w:trPr>
          <w:trHeight w:val="45" w:hRule="atLeast"/>
        </w:trPr>
        <w:tc>
          <w:tcPr>
            <w:tcW w:w="67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7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Ефикасне гуме (пнеуматици) за друмска возила</w:t>
            </w:r>
          </w:p>
        </w:tc>
      </w:tr>
      <w:tr>
        <w:trPr>
          <w:trHeight w:val="45" w:hRule="atLeast"/>
        </w:trPr>
        <w:tc>
          <w:tcPr>
            <w:tcW w:w="67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7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Т7</w:t>
            </w:r>
          </w:p>
        </w:tc>
      </w:tr>
      <w:tr>
        <w:trPr>
          <w:trHeight w:val="45" w:hRule="atLeast"/>
        </w:trPr>
        <w:tc>
          <w:tcPr>
            <w:tcW w:w="67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7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 Програми енергетског означавања</w:t>
            </w:r>
          </w:p>
          <w:p>
            <w:pPr>
              <w:spacing w:after="150"/>
              <w:ind w:left="0"/>
              <w:jc w:val="left"/>
            </w:pPr>
            <w:r>
              <w:rPr>
                <w:rFonts w:ascii="Verdana"/>
                <w:b w:val="false"/>
                <w:i w:val="false"/>
                <w:color w:val="000000"/>
                <w:sz w:val="22"/>
              </w:rPr>
              <w:t>3.2 Повраћај пореза</w:t>
            </w:r>
          </w:p>
        </w:tc>
      </w:tr>
      <w:tr>
        <w:trPr>
          <w:trHeight w:val="45" w:hRule="atLeast"/>
        </w:trPr>
        <w:tc>
          <w:tcPr>
            <w:tcW w:w="67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7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2019, продужено до 2021. године</w:t>
            </w:r>
          </w:p>
        </w:tc>
      </w:tr>
      <w:tr>
        <w:trPr>
          <w:trHeight w:val="45" w:hRule="atLeast"/>
        </w:trPr>
        <w:tc>
          <w:tcPr>
            <w:tcW w:w="67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7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означавања енергетске ефикасности гума (пнеуматика) како би се промовисале нископрофилне штедљиве гуме. Увођење привременог пореског кредита како би се подстакла брза промена тржишта.</w:t>
            </w:r>
          </w:p>
        </w:tc>
      </w:tr>
      <w:tr>
        <w:trPr>
          <w:trHeight w:val="45" w:hRule="atLeast"/>
        </w:trPr>
        <w:tc>
          <w:tcPr>
            <w:tcW w:w="67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7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путничких аутомобила</w:t>
            </w:r>
          </w:p>
        </w:tc>
      </w:tr>
      <w:tr>
        <w:trPr>
          <w:trHeight w:val="45" w:hRule="atLeast"/>
        </w:trPr>
        <w:tc>
          <w:tcPr>
            <w:tcW w:w="67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7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Власници возила, вулканизерске радње, менаџери (руководиоци) возног парка</w:t>
            </w:r>
          </w:p>
        </w:tc>
      </w:tr>
      <w:tr>
        <w:trPr>
          <w:trHeight w:val="45" w:hRule="atLeast"/>
        </w:trPr>
        <w:tc>
          <w:tcPr>
            <w:tcW w:w="67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7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67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7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еколошких ознака за енергетски штедљиве гуме.</w:t>
            </w:r>
          </w:p>
          <w:p>
            <w:pPr>
              <w:spacing w:after="150"/>
              <w:ind w:left="0"/>
              <w:jc w:val="left"/>
            </w:pPr>
            <w:r>
              <w:rPr>
                <w:rFonts w:ascii="Verdana"/>
                <w:b w:val="false"/>
                <w:i w:val="false"/>
                <w:color w:val="000000"/>
                <w:sz w:val="22"/>
              </w:rPr>
              <w:t>Увођење пореског кредита за уградњу и коришћење штедљивих гума.</w:t>
            </w:r>
          </w:p>
        </w:tc>
      </w:tr>
      <w:tr>
        <w:trPr>
          <w:trHeight w:val="45" w:hRule="atLeast"/>
        </w:trPr>
        <w:tc>
          <w:tcPr>
            <w:tcW w:w="67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7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неопходан посебан буџет</w:t>
            </w:r>
          </w:p>
        </w:tc>
      </w:tr>
      <w:tr>
        <w:trPr>
          <w:trHeight w:val="45" w:hRule="atLeast"/>
        </w:trPr>
        <w:tc>
          <w:tcPr>
            <w:tcW w:w="67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7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и МТТТ (Сектор тржишне инспекције)</w:t>
            </w:r>
          </w:p>
        </w:tc>
      </w:tr>
      <w:tr>
        <w:trPr>
          <w:trHeight w:val="45" w:hRule="atLeast"/>
        </w:trPr>
        <w:tc>
          <w:tcPr>
            <w:tcW w:w="67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7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и МТТТ (Сектор тржишне инспекције)</w:t>
            </w:r>
          </w:p>
        </w:tc>
      </w:tr>
      <w:tr>
        <w:trPr>
          <w:trHeight w:val="45" w:hRule="atLeast"/>
        </w:trPr>
        <w:tc>
          <w:tcPr>
            <w:tcW w:w="67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енергије</w:t>
            </w:r>
          </w:p>
        </w:tc>
        <w:tc>
          <w:tcPr>
            <w:tcW w:w="7641" w:type="dxa"/>
            <w:tcBorders>
              <w:top w:val="single" w:color="000000" w:sz="8"/>
              <w:left w:val="single" w:color="000000" w:sz="8"/>
              <w:bottom w:val="single" w:color="000000" w:sz="8"/>
              <w:right w:val="single" w:color="000000" w:sz="8"/>
            </w:tcBorders>
            <w:vAlign w:val="center"/>
          </w:tcPr>
          <w:p/>
        </w:tc>
      </w:tr>
      <w:tr>
        <w:trPr>
          <w:trHeight w:val="45" w:hRule="atLeast"/>
        </w:trPr>
        <w:tc>
          <w:tcPr>
            <w:tcW w:w="67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7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Годишња регистрација, Технички прегледи возила</w:t>
            </w:r>
          </w:p>
        </w:tc>
      </w:tr>
      <w:tr>
        <w:trPr>
          <w:trHeight w:val="45" w:hRule="atLeast"/>
        </w:trPr>
        <w:tc>
          <w:tcPr>
            <w:tcW w:w="67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7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67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7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67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7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340"/>
        <w:gridCol w:w="7060"/>
      </w:tblGrid>
      <w:tr>
        <w:trPr>
          <w:trHeight w:val="45" w:hRule="atLeast"/>
        </w:trPr>
        <w:tc>
          <w:tcPr>
            <w:tcW w:w="7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7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Побољшане квалитета редовних (годишњих) техничких прегледа возила</w:t>
            </w:r>
          </w:p>
        </w:tc>
      </w:tr>
      <w:tr>
        <w:trPr>
          <w:trHeight w:val="45" w:hRule="atLeast"/>
        </w:trPr>
        <w:tc>
          <w:tcPr>
            <w:tcW w:w="7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7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Т8</w:t>
            </w:r>
          </w:p>
        </w:tc>
      </w:tr>
      <w:tr>
        <w:trPr>
          <w:trHeight w:val="45" w:hRule="atLeast"/>
        </w:trPr>
        <w:tc>
          <w:tcPr>
            <w:tcW w:w="7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7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 Мере у сектору транспорта</w:t>
            </w:r>
          </w:p>
        </w:tc>
      </w:tr>
      <w:tr>
        <w:trPr>
          <w:trHeight w:val="45" w:hRule="atLeast"/>
        </w:trPr>
        <w:tc>
          <w:tcPr>
            <w:tcW w:w="7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7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2019, продужено до 2021. године</w:t>
            </w:r>
          </w:p>
        </w:tc>
      </w:tr>
      <w:tr>
        <w:trPr>
          <w:trHeight w:val="45" w:hRule="atLeast"/>
        </w:trPr>
        <w:tc>
          <w:tcPr>
            <w:tcW w:w="7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7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Боље спровођење редовног техничког прегледа, посебно у погледу тестирања емисије и прилагођавање прегледа стварним вредностима стандарда за емисије.</w:t>
            </w:r>
          </w:p>
        </w:tc>
      </w:tr>
      <w:tr>
        <w:trPr>
          <w:trHeight w:val="45" w:hRule="atLeast"/>
        </w:trPr>
        <w:tc>
          <w:tcPr>
            <w:tcW w:w="7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7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возила</w:t>
            </w:r>
          </w:p>
        </w:tc>
      </w:tr>
      <w:tr>
        <w:trPr>
          <w:trHeight w:val="45" w:hRule="atLeast"/>
        </w:trPr>
        <w:tc>
          <w:tcPr>
            <w:tcW w:w="7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7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Линије техничког прегледа возила</w:t>
            </w:r>
          </w:p>
        </w:tc>
      </w:tr>
      <w:tr>
        <w:trPr>
          <w:trHeight w:val="45" w:hRule="atLeast"/>
        </w:trPr>
        <w:tc>
          <w:tcPr>
            <w:tcW w:w="7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7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7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7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Боље спровођење редовног техничког прегледа, посебно у погледу тестирања емисија и прилагођавање прегледа стварним вредностима стандарда за емисије.</w:t>
            </w:r>
          </w:p>
        </w:tc>
      </w:tr>
      <w:tr>
        <w:trPr>
          <w:trHeight w:val="45" w:hRule="atLeast"/>
        </w:trPr>
        <w:tc>
          <w:tcPr>
            <w:tcW w:w="7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7060" w:type="dxa"/>
            <w:tcBorders>
              <w:top w:val="single" w:color="000000" w:sz="8"/>
              <w:left w:val="single" w:color="000000" w:sz="8"/>
              <w:bottom w:val="single" w:color="000000" w:sz="8"/>
              <w:right w:val="single" w:color="000000" w:sz="8"/>
            </w:tcBorders>
            <w:vAlign w:val="center"/>
          </w:tcPr>
          <w:p/>
        </w:tc>
      </w:tr>
      <w:tr>
        <w:trPr>
          <w:trHeight w:val="45" w:hRule="atLeast"/>
        </w:trPr>
        <w:tc>
          <w:tcPr>
            <w:tcW w:w="7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7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МУП и Агенција за безбедност саобраћаја</w:t>
            </w:r>
          </w:p>
        </w:tc>
      </w:tr>
      <w:tr>
        <w:trPr>
          <w:trHeight w:val="45" w:hRule="atLeast"/>
        </w:trPr>
        <w:tc>
          <w:tcPr>
            <w:tcW w:w="7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7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МУП и Агенција за безбедност саобраћаја</w:t>
            </w:r>
          </w:p>
        </w:tc>
      </w:tr>
      <w:tr>
        <w:trPr>
          <w:trHeight w:val="45" w:hRule="atLeast"/>
        </w:trPr>
        <w:tc>
          <w:tcPr>
            <w:tcW w:w="7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енергије</w:t>
            </w:r>
          </w:p>
        </w:tc>
        <w:tc>
          <w:tcPr>
            <w:tcW w:w="7060" w:type="dxa"/>
            <w:tcBorders>
              <w:top w:val="single" w:color="000000" w:sz="8"/>
              <w:left w:val="single" w:color="000000" w:sz="8"/>
              <w:bottom w:val="single" w:color="000000" w:sz="8"/>
              <w:right w:val="single" w:color="000000" w:sz="8"/>
            </w:tcBorders>
            <w:vAlign w:val="center"/>
          </w:tcPr>
          <w:p/>
        </w:tc>
      </w:tr>
      <w:tr>
        <w:trPr>
          <w:trHeight w:val="45" w:hRule="atLeast"/>
        </w:trPr>
        <w:tc>
          <w:tcPr>
            <w:tcW w:w="7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7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Статистике годишњих техничких прегледа возила</w:t>
            </w:r>
          </w:p>
        </w:tc>
      </w:tr>
      <w:tr>
        <w:trPr>
          <w:trHeight w:val="45" w:hRule="atLeast"/>
        </w:trPr>
        <w:tc>
          <w:tcPr>
            <w:tcW w:w="7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7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7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7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7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7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322"/>
        <w:gridCol w:w="11078"/>
      </w:tblGrid>
      <w:tr>
        <w:trPr>
          <w:trHeight w:val="45" w:hRule="atLeast"/>
        </w:trPr>
        <w:tc>
          <w:tcPr>
            <w:tcW w:w="3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11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Модернизација возног парка у циљу испуњења техничких услова за обављање домаћег и међународног транспорта</w:t>
            </w:r>
          </w:p>
        </w:tc>
      </w:tr>
      <w:tr>
        <w:trPr>
          <w:trHeight w:val="45" w:hRule="atLeast"/>
        </w:trPr>
        <w:tc>
          <w:tcPr>
            <w:tcW w:w="3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11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Т9</w:t>
            </w:r>
          </w:p>
        </w:tc>
      </w:tr>
      <w:tr>
        <w:trPr>
          <w:trHeight w:val="45" w:hRule="atLeast"/>
        </w:trPr>
        <w:tc>
          <w:tcPr>
            <w:tcW w:w="3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 Минимални стандарди за енергетске перформансе опреме</w:t>
            </w:r>
          </w:p>
        </w:tc>
      </w:tr>
      <w:tr>
        <w:trPr>
          <w:trHeight w:val="45" w:hRule="atLeast"/>
        </w:trPr>
        <w:tc>
          <w:tcPr>
            <w:tcW w:w="3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2011. година – Трајна активност</w:t>
            </w:r>
          </w:p>
        </w:tc>
      </w:tr>
      <w:tr>
        <w:trPr>
          <w:trHeight w:val="45" w:hRule="atLeast"/>
        </w:trPr>
        <w:tc>
          <w:tcPr>
            <w:tcW w:w="3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1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Куповина нових возила која испуњавају најновије EURO стандарде у погледу емисија издувних гасова или која имају ниску потрошњу и ниске емисије CO</w:t>
            </w:r>
            <w:r>
              <w:rPr>
                <w:rFonts w:ascii="Verdana"/>
                <w:b w:val="false"/>
                <w:i w:val="false"/>
                <w:color w:val="000000"/>
                <w:sz w:val="22"/>
                <w:vertAlign w:val="subscript"/>
              </w:rPr>
              <w:t>2</w:t>
            </w:r>
            <w:r>
              <w:rPr>
                <w:rFonts w:ascii="Verdana"/>
                <w:b w:val="false"/>
                <w:i w:val="false"/>
                <w:color w:val="000000"/>
                <w:sz w:val="22"/>
              </w:rPr>
              <w:t xml:space="preserve"> што обухвата:</w:t>
            </w:r>
          </w:p>
          <w:p>
            <w:pPr>
              <w:spacing w:after="150"/>
              <w:ind w:left="0"/>
              <w:jc w:val="left"/>
            </w:pPr>
            <w:r>
              <w:rPr>
                <w:rFonts w:ascii="Verdana"/>
                <w:b w:val="false"/>
                <w:i w:val="false"/>
                <w:color w:val="000000"/>
                <w:sz w:val="22"/>
              </w:rPr>
              <w:t>– Нове аутобусе, и</w:t>
            </w:r>
          </w:p>
          <w:p>
            <w:pPr>
              <w:spacing w:after="150"/>
              <w:ind w:left="0"/>
              <w:jc w:val="left"/>
            </w:pPr>
            <w:r>
              <w:rPr>
                <w:rFonts w:ascii="Verdana"/>
                <w:b w:val="false"/>
                <w:i w:val="false"/>
                <w:color w:val="000000"/>
                <w:sz w:val="22"/>
              </w:rPr>
              <w:t>– Нова комерцијална возила.</w:t>
            </w:r>
          </w:p>
        </w:tc>
      </w:tr>
      <w:tr>
        <w:trPr>
          <w:trHeight w:val="45" w:hRule="atLeast"/>
        </w:trPr>
        <w:tc>
          <w:tcPr>
            <w:tcW w:w="3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1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у друмском транспорту</w:t>
            </w:r>
          </w:p>
        </w:tc>
      </w:tr>
      <w:tr>
        <w:trPr>
          <w:trHeight w:val="45" w:hRule="atLeast"/>
        </w:trPr>
        <w:tc>
          <w:tcPr>
            <w:tcW w:w="3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Компаније које се баве међународним друмским транспортом путника и робе.</w:t>
            </w:r>
          </w:p>
        </w:tc>
      </w:tr>
      <w:tr>
        <w:trPr>
          <w:trHeight w:val="45" w:hRule="atLeast"/>
        </w:trPr>
        <w:tc>
          <w:tcPr>
            <w:tcW w:w="3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11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3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11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Т4 у 2. АПЕЕ</w:t>
            </w:r>
          </w:p>
          <w:p>
            <w:pPr>
              <w:spacing w:after="150"/>
              <w:ind w:left="0"/>
              <w:jc w:val="left"/>
            </w:pPr>
            <w:r>
              <w:rPr>
                <w:rFonts w:ascii="Verdana"/>
                <w:b w:val="false"/>
                <w:i w:val="false"/>
                <w:color w:val="000000"/>
                <w:sz w:val="22"/>
              </w:rPr>
              <w:t>Један од критеријума за бављење међународним друмским транспортом који српски превозници морају да испуне је квалитет возног парка. Примењују се захтеви које комерцијална возила у међународном транспорту морају да испуне (у складу са Уредбама ЕУ), поред безбедности саобраћаја, на услове у погледу емисија издувних гасова и суспендованих честица возила (таква возила имају нижу потрошњу и нижу емисију CO</w:t>
            </w:r>
            <w:r>
              <w:rPr>
                <w:rFonts w:ascii="Verdana"/>
                <w:b w:val="false"/>
                <w:i w:val="false"/>
                <w:color w:val="000000"/>
                <w:sz w:val="22"/>
                <w:vertAlign w:val="subscript"/>
              </w:rPr>
              <w:t>2</w:t>
            </w:r>
            <w:r>
              <w:rPr>
                <w:rFonts w:ascii="Verdana"/>
                <w:b w:val="false"/>
                <w:i w:val="false"/>
                <w:color w:val="000000"/>
                <w:sz w:val="22"/>
              </w:rPr>
              <w:t>).</w:t>
            </w:r>
          </w:p>
          <w:p>
            <w:pPr>
              <w:spacing w:after="150"/>
              <w:ind w:left="0"/>
              <w:jc w:val="left"/>
            </w:pPr>
            <w:r>
              <w:rPr>
                <w:rFonts w:ascii="Verdana"/>
                <w:b w:val="false"/>
                <w:i w:val="false"/>
                <w:color w:val="000000"/>
                <w:sz w:val="22"/>
              </w:rPr>
              <w:t>Међународни транспорт, односно приступ тржишту међународног транспорта у ЕУ врши се углавном режимом дозвола (билатералних или мултилатералних) и све више је условљен коришћењем возила која испуњавају прописе о емисијама и безбедности возила (EURO 3, EURO 4, EURO 5 возила, итд.)</w:t>
            </w:r>
          </w:p>
        </w:tc>
      </w:tr>
      <w:tr>
        <w:trPr>
          <w:trHeight w:val="45" w:hRule="atLeast"/>
        </w:trPr>
        <w:tc>
          <w:tcPr>
            <w:tcW w:w="3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c>
          <w:tcPr>
            <w:tcW w:w="11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Појединачна средства од транспортних компанија.</w:t>
            </w:r>
          </w:p>
        </w:tc>
      </w:tr>
      <w:tr>
        <w:trPr>
          <w:trHeight w:val="45" w:hRule="atLeast"/>
        </w:trPr>
        <w:tc>
          <w:tcPr>
            <w:tcW w:w="3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w:t>
            </w:r>
          </w:p>
        </w:tc>
      </w:tr>
      <w:tr>
        <w:trPr>
          <w:trHeight w:val="45" w:hRule="atLeast"/>
        </w:trPr>
        <w:tc>
          <w:tcPr>
            <w:tcW w:w="3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1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w:t>
            </w:r>
          </w:p>
        </w:tc>
      </w:tr>
      <w:tr>
        <w:trPr>
          <w:trHeight w:val="45" w:hRule="atLeast"/>
        </w:trPr>
        <w:tc>
          <w:tcPr>
            <w:tcW w:w="3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енергије</w:t>
            </w:r>
          </w:p>
        </w:tc>
        <w:tc>
          <w:tcPr>
            <w:tcW w:w="11078" w:type="dxa"/>
            <w:tcBorders>
              <w:top w:val="single" w:color="000000" w:sz="8"/>
              <w:left w:val="single" w:color="000000" w:sz="8"/>
              <w:bottom w:val="single" w:color="000000" w:sz="8"/>
              <w:right w:val="single" w:color="000000" w:sz="8"/>
            </w:tcBorders>
            <w:vAlign w:val="center"/>
          </w:tcPr>
          <w:p/>
        </w:tc>
      </w:tr>
      <w:tr>
        <w:trPr>
          <w:trHeight w:val="45" w:hRule="atLeast"/>
        </w:trPr>
        <w:tc>
          <w:tcPr>
            <w:tcW w:w="3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11078" w:type="dxa"/>
            <w:tcBorders>
              <w:top w:val="single" w:color="000000" w:sz="8"/>
              <w:left w:val="single" w:color="000000" w:sz="8"/>
              <w:bottom w:val="single" w:color="000000" w:sz="8"/>
              <w:right w:val="single" w:color="000000" w:sz="8"/>
            </w:tcBorders>
            <w:vAlign w:val="center"/>
          </w:tcPr>
          <w:p/>
        </w:tc>
      </w:tr>
      <w:tr>
        <w:trPr>
          <w:trHeight w:val="45" w:hRule="atLeast"/>
        </w:trPr>
        <w:tc>
          <w:tcPr>
            <w:tcW w:w="3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11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 ktoe</w:t>
            </w:r>
          </w:p>
        </w:tc>
      </w:tr>
      <w:tr>
        <w:trPr>
          <w:trHeight w:val="45" w:hRule="atLeast"/>
        </w:trPr>
        <w:tc>
          <w:tcPr>
            <w:tcW w:w="3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11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 ktoe</w:t>
            </w:r>
          </w:p>
        </w:tc>
      </w:tr>
      <w:tr>
        <w:trPr>
          <w:trHeight w:val="45" w:hRule="atLeast"/>
        </w:trPr>
        <w:tc>
          <w:tcPr>
            <w:tcW w:w="33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11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186"/>
        <w:gridCol w:w="11214"/>
      </w:tblGrid>
      <w:tr>
        <w:trPr>
          <w:trHeight w:val="45" w:hRule="atLeast"/>
        </w:trPr>
        <w:tc>
          <w:tcPr>
            <w:tcW w:w="3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11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Маркирање горива и мониторинг квалитета горива</w:t>
            </w:r>
          </w:p>
        </w:tc>
      </w:tr>
      <w:tr>
        <w:trPr>
          <w:trHeight w:val="45" w:hRule="atLeast"/>
        </w:trPr>
        <w:tc>
          <w:tcPr>
            <w:tcW w:w="3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Ознака мере</w:t>
            </w:r>
          </w:p>
        </w:tc>
        <w:tc>
          <w:tcPr>
            <w:tcW w:w="11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Т10</w:t>
            </w:r>
          </w:p>
        </w:tc>
      </w:tr>
      <w:tr>
        <w:trPr>
          <w:trHeight w:val="45" w:hRule="atLeast"/>
        </w:trPr>
        <w:tc>
          <w:tcPr>
            <w:tcW w:w="3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Прописи</w:t>
            </w:r>
          </w:p>
        </w:tc>
      </w:tr>
      <w:tr>
        <w:trPr>
          <w:trHeight w:val="45" w:hRule="atLeast"/>
        </w:trPr>
        <w:tc>
          <w:tcPr>
            <w:tcW w:w="3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Трајна активност</w:t>
            </w:r>
          </w:p>
        </w:tc>
      </w:tr>
      <w:tr>
        <w:trPr>
          <w:trHeight w:val="45" w:hRule="atLeast"/>
        </w:trPr>
        <w:tc>
          <w:tcPr>
            <w:tcW w:w="3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1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складу са Законом о енергетици („Службени гласник РС”, број 145/14, 95/18 – др. закон и 40/21 – у даљем тексту: Закон) деривати нафте који се стављају на тржиште морају бити маркирани. Такође, у складу са Законом министарство надлежно за послове енергетике врши мониторинг квалитета деривата нафте.</w:t>
            </w:r>
          </w:p>
          <w:p>
            <w:pPr>
              <w:spacing w:after="150"/>
              <w:ind w:left="0"/>
              <w:jc w:val="left"/>
            </w:pPr>
            <w:r>
              <w:rPr>
                <w:rFonts w:ascii="Verdana"/>
                <w:b w:val="false"/>
                <w:i w:val="false"/>
                <w:color w:val="000000"/>
                <w:sz w:val="22"/>
              </w:rPr>
              <w:t>Контролом концентрације маркера у дериватима нафте утврђује се легалност токова робе, тј. спречава се мешање са неакцизним производима, а мониторингом квалитета деривата нафте контролише се да ли је квалитет деривата усаглашен са техничким захтевима за овај производ.</w:t>
            </w:r>
          </w:p>
          <w:p>
            <w:pPr>
              <w:spacing w:after="150"/>
              <w:ind w:left="0"/>
              <w:jc w:val="left"/>
            </w:pPr>
            <w:r>
              <w:rPr>
                <w:rFonts w:ascii="Verdana"/>
                <w:b w:val="false"/>
                <w:i w:val="false"/>
                <w:color w:val="000000"/>
                <w:sz w:val="22"/>
              </w:rPr>
              <w:t>Оба вида контроле доприносе побољшању квалитета деривата нафте који се стављају на тржиште Републике Србије.</w:t>
            </w:r>
          </w:p>
        </w:tc>
      </w:tr>
      <w:tr>
        <w:trPr>
          <w:trHeight w:val="45" w:hRule="atLeast"/>
        </w:trPr>
        <w:tc>
          <w:tcPr>
            <w:tcW w:w="3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1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привредна друштва, предузетници, задруге и физичка лица.</w:t>
            </w:r>
          </w:p>
        </w:tc>
      </w:tr>
      <w:tr>
        <w:trPr>
          <w:trHeight w:val="45" w:hRule="atLeast"/>
        </w:trPr>
        <w:tc>
          <w:tcPr>
            <w:tcW w:w="3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214" w:type="dxa"/>
            <w:tcBorders>
              <w:top w:val="single" w:color="000000" w:sz="8"/>
              <w:left w:val="single" w:color="000000" w:sz="8"/>
              <w:bottom w:val="single" w:color="000000" w:sz="8"/>
              <w:right w:val="single" w:color="000000" w:sz="8"/>
            </w:tcBorders>
            <w:vAlign w:val="center"/>
          </w:tcPr>
          <w:p/>
        </w:tc>
      </w:tr>
      <w:tr>
        <w:trPr>
          <w:trHeight w:val="45" w:hRule="atLeast"/>
        </w:trPr>
        <w:tc>
          <w:tcPr>
            <w:tcW w:w="3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1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Информације о имплементацији</w:t>
            </w:r>
          </w:p>
        </w:tc>
      </w:tr>
      <w:tr>
        <w:trPr>
          <w:trHeight w:val="45" w:hRule="atLeast"/>
        </w:trPr>
        <w:tc>
          <w:tcPr>
            <w:tcW w:w="3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1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Активности се спроводе у складу са Уредбом о обележавању (маркирању) деривата нафте и Уредбом о мониторингу деривата нафте.</w:t>
            </w:r>
          </w:p>
          <w:p>
            <w:pPr>
              <w:spacing w:after="150"/>
              <w:ind w:left="0"/>
              <w:jc w:val="left"/>
            </w:pPr>
            <w:r>
              <w:rPr>
                <w:rFonts w:ascii="Verdana"/>
                <w:b w:val="false"/>
                <w:i w:val="false"/>
                <w:color w:val="000000"/>
                <w:sz w:val="22"/>
              </w:rPr>
              <w:t>– МРЕ врши избор лица на јавном позиву која врше услугу маркирања, односно мониторинга</w:t>
            </w:r>
          </w:p>
          <w:p>
            <w:pPr>
              <w:spacing w:after="150"/>
              <w:ind w:left="0"/>
              <w:jc w:val="left"/>
            </w:pPr>
            <w:r>
              <w:rPr>
                <w:rFonts w:ascii="Verdana"/>
                <w:b w:val="false"/>
                <w:i w:val="false"/>
                <w:color w:val="000000"/>
                <w:sz w:val="22"/>
              </w:rPr>
              <w:t>– На захтев енергетског субјекта врши се услуга маркирања и издаје потребне извештаје</w:t>
            </w:r>
          </w:p>
          <w:p>
            <w:pPr>
              <w:spacing w:after="150"/>
              <w:ind w:left="0"/>
              <w:jc w:val="left"/>
            </w:pPr>
            <w:r>
              <w:rPr>
                <w:rFonts w:ascii="Verdana"/>
                <w:b w:val="false"/>
                <w:i w:val="false"/>
                <w:color w:val="000000"/>
                <w:sz w:val="22"/>
              </w:rPr>
              <w:t>– Инспекцијски надзор врши министарство надлежно за послове трговине преко тржишних инспектора</w:t>
            </w:r>
          </w:p>
        </w:tc>
      </w:tr>
      <w:tr>
        <w:trPr>
          <w:trHeight w:val="45" w:hRule="atLeast"/>
        </w:trPr>
        <w:tc>
          <w:tcPr>
            <w:tcW w:w="3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1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Енергетски субјекти сносе трошкове маркирања, односно мониторинга по цени који објављује лице које пружа услугу маркирања, односно мониторинга у „Службеном гласнику Републике Србије”.</w:t>
            </w:r>
          </w:p>
        </w:tc>
      </w:tr>
      <w:tr>
        <w:trPr>
          <w:trHeight w:val="45" w:hRule="atLeast"/>
        </w:trPr>
        <w:tc>
          <w:tcPr>
            <w:tcW w:w="3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МТТТ</w:t>
            </w:r>
          </w:p>
        </w:tc>
      </w:tr>
      <w:tr>
        <w:trPr>
          <w:trHeight w:val="45" w:hRule="atLeast"/>
        </w:trPr>
        <w:tc>
          <w:tcPr>
            <w:tcW w:w="3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1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Надзор над спровођењем маркирања, односно мониторинга врше министарство надлежно за послове енергетике, министарство надлежно за послове трговине и министарство надлежно за послове финансија</w:t>
            </w:r>
          </w:p>
        </w:tc>
      </w:tr>
      <w:tr>
        <w:trPr>
          <w:trHeight w:val="45" w:hRule="atLeast"/>
        </w:trPr>
        <w:tc>
          <w:tcPr>
            <w:tcW w:w="3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w:t>
            </w:r>
          </w:p>
        </w:tc>
        <w:tc>
          <w:tcPr>
            <w:tcW w:w="11214" w:type="dxa"/>
            <w:tcBorders>
              <w:top w:val="single" w:color="000000" w:sz="8"/>
              <w:left w:val="single" w:color="000000" w:sz="8"/>
              <w:bottom w:val="single" w:color="000000" w:sz="8"/>
              <w:right w:val="single" w:color="000000" w:sz="8"/>
            </w:tcBorders>
            <w:vAlign w:val="center"/>
          </w:tcPr>
          <w:p/>
        </w:tc>
      </w:tr>
      <w:tr>
        <w:trPr>
          <w:trHeight w:val="45" w:hRule="atLeast"/>
        </w:trPr>
        <w:tc>
          <w:tcPr>
            <w:tcW w:w="3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1214" w:type="dxa"/>
            <w:tcBorders>
              <w:top w:val="single" w:color="000000" w:sz="8"/>
              <w:left w:val="single" w:color="000000" w:sz="8"/>
              <w:bottom w:val="single" w:color="000000" w:sz="8"/>
              <w:right w:val="single" w:color="000000" w:sz="8"/>
            </w:tcBorders>
            <w:vAlign w:val="center"/>
          </w:tcPr>
          <w:p/>
        </w:tc>
      </w:tr>
      <w:tr>
        <w:trPr>
          <w:trHeight w:val="45" w:hRule="atLeast"/>
        </w:trPr>
        <w:tc>
          <w:tcPr>
            <w:tcW w:w="3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Реализоване уштеде у периоду 2016–2018. год.</w:t>
            </w:r>
          </w:p>
        </w:tc>
        <w:tc>
          <w:tcPr>
            <w:tcW w:w="11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3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периоду 2019–2021. година</w:t>
            </w:r>
          </w:p>
        </w:tc>
        <w:tc>
          <w:tcPr>
            <w:tcW w:w="11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3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1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bl>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jpeg" Type="http://schemas.openxmlformats.org/officeDocument/2006/relationships/image" Id="rId4"/></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