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0"/>
        <w:ind w:left="0"/>
        <w:rPr>
          <w:rFonts w:ascii="Times New Roman"/>
          <w:sz w:val="27"/>
        </w:rPr>
      </w:pPr>
    </w:p>
    <w:p>
      <w:pPr>
        <w:pStyle w:val="BodyText"/>
        <w:spacing w:before="0"/>
        <w:ind w:left="9299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81.75pt;height:14.25pt;mso-position-horizontal-relative:char;mso-position-vertical-relative:line" type="#_x0000_t202" filled="false" stroked="true" strokeweight=".75pt" strokecolor="#ff0000">
            <w10:anchorlock/>
            <v:textbox inset="0,0,0,0">
              <w:txbxContent>
                <w:p>
                  <w:pPr>
                    <w:spacing w:before="14"/>
                    <w:ind w:left="76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FF0000"/>
                      <w:sz w:val="18"/>
                    </w:rPr>
                    <w:t>Неважећи акт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5"/>
        <w:ind w:left="0"/>
        <w:rPr>
          <w:rFonts w:ascii="Times New Roman"/>
          <w:sz w:val="6"/>
        </w:rPr>
      </w:pPr>
    </w:p>
    <w:p>
      <w:pPr>
        <w:pStyle w:val="BodyText"/>
        <w:spacing w:line="230" w:lineRule="auto" w:before="107"/>
        <w:ind w:right="193" w:firstLine="480"/>
        <w:jc w:val="both"/>
      </w:pPr>
      <w:r>
        <w:rPr/>
        <w:t>На</w:t>
      </w:r>
      <w:r>
        <w:rPr>
          <w:spacing w:val="-3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63.</w:t>
      </w:r>
      <w:r>
        <w:rPr>
          <w:spacing w:val="-2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поштанским</w:t>
      </w:r>
      <w:r>
        <w:rPr>
          <w:spacing w:val="-2"/>
        </w:rPr>
        <w:t> </w:t>
      </w:r>
      <w:r>
        <w:rPr/>
        <w:t>услугама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2"/>
        </w:rPr>
        <w:t> </w:t>
      </w:r>
      <w:r>
        <w:rPr/>
        <w:t>18/05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30/10)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45.</w:t>
      </w:r>
      <w:r>
        <w:rPr>
          <w:spacing w:val="-61"/>
        </w:rPr>
        <w:t> </w:t>
      </w:r>
      <w:r>
        <w:rPr/>
        <w:t>став 1. Закона о Влади („Службени гласник РС”, бр. 55/05, 71/05 – исправка, 101/07, 65/08, 16/11, 68/12 – УС и</w:t>
      </w:r>
      <w:r>
        <w:rPr>
          <w:spacing w:val="-61"/>
        </w:rPr>
        <w:t> </w:t>
      </w:r>
      <w:r>
        <w:rPr/>
        <w:t>72/12),</w:t>
      </w:r>
    </w:p>
    <w:p>
      <w:pPr>
        <w:pStyle w:val="BodyText"/>
        <w:spacing w:before="143"/>
        <w:ind w:left="599"/>
      </w:pPr>
      <w:r>
        <w:rPr/>
        <w:t>Влада доноси</w:t>
      </w:r>
    </w:p>
    <w:p>
      <w:pPr>
        <w:pStyle w:val="Heading1"/>
        <w:spacing w:before="141"/>
        <w:ind w:right="756" w:firstLine="0"/>
        <w:jc w:val="center"/>
      </w:pPr>
      <w:r>
        <w:rPr/>
        <w:t>СТРАТЕГИЈУ</w:t>
      </w:r>
    </w:p>
    <w:p>
      <w:pPr>
        <w:spacing w:before="142"/>
        <w:ind w:left="1240" w:right="756" w:firstLine="0"/>
        <w:jc w:val="center"/>
        <w:rPr>
          <w:b/>
          <w:sz w:val="18"/>
        </w:rPr>
      </w:pPr>
      <w:r>
        <w:rPr>
          <w:b/>
          <w:sz w:val="18"/>
        </w:rPr>
        <w:t>развоја поштанских услуга у Србији за период 2013–2016. године</w:t>
      </w:r>
    </w:p>
    <w:p>
      <w:pPr>
        <w:pStyle w:val="BodyText"/>
        <w:spacing w:before="141"/>
        <w:ind w:left="1240" w:right="756"/>
        <w:jc w:val="center"/>
      </w:pPr>
      <w:r>
        <w:rPr/>
        <w:t>"Службени гласник РС", број 43 од 17.</w:t>
      </w:r>
      <w:r>
        <w:rPr>
          <w:spacing w:val="-1"/>
        </w:rPr>
        <w:t> </w:t>
      </w:r>
      <w:r>
        <w:rPr/>
        <w:t>маја 2013.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729" w:val="left" w:leader="none"/>
        </w:tabs>
        <w:spacing w:line="240" w:lineRule="auto" w:before="0" w:after="0"/>
        <w:ind w:left="4728" w:right="0" w:hanging="255"/>
        <w:jc w:val="left"/>
      </w:pPr>
      <w:r>
        <w:rPr/>
        <w:t>Увод – кратак преглед</w:t>
      </w:r>
    </w:p>
    <w:p>
      <w:pPr>
        <w:pStyle w:val="BodyText"/>
        <w:spacing w:line="230" w:lineRule="auto" w:before="119"/>
        <w:ind w:right="165" w:firstLine="480"/>
      </w:pPr>
      <w:r>
        <w:rPr/>
        <w:t>Стратегијом развоја поштанских услуга у Србији за период 2013–2016. године (у даљем тексту: Стратегија)</w:t>
      </w:r>
      <w:r>
        <w:rPr>
          <w:spacing w:val="-61"/>
        </w:rPr>
        <w:t> </w:t>
      </w:r>
      <w:r>
        <w:rPr/>
        <w:t>се предвиђа низ активности којима ће се побољшати квалитет поштанских услуга и ефикасност поштанске</w:t>
      </w:r>
      <w:r>
        <w:rPr>
          <w:spacing w:val="1"/>
        </w:rPr>
        <w:t> </w:t>
      </w:r>
      <w:r>
        <w:rPr/>
        <w:t>мреже (физичке, електронске и финансијске), омогућити одрживи развој поштанског сектора и његове</w:t>
      </w:r>
      <w:r>
        <w:rPr>
          <w:spacing w:val="1"/>
        </w:rPr>
        <w:t> </w:t>
      </w:r>
      <w:r>
        <w:rPr/>
        <w:t>економије, обезбедити универзална поштанска услуга која је прилагођена друштвеном, економском и</w:t>
      </w:r>
      <w:r>
        <w:rPr>
          <w:spacing w:val="1"/>
        </w:rPr>
        <w:t> </w:t>
      </w:r>
      <w:r>
        <w:rPr/>
        <w:t>технолошком окружењу и унапредити раст поштанског тржишта и услуга.</w:t>
      </w:r>
    </w:p>
    <w:p>
      <w:pPr>
        <w:pStyle w:val="BodyText"/>
        <w:spacing w:before="6"/>
        <w:ind w:left="0"/>
        <w:rPr>
          <w:sz w:val="26"/>
        </w:rPr>
      </w:pPr>
    </w:p>
    <w:p>
      <w:pPr>
        <w:spacing w:before="0"/>
        <w:ind w:left="1240" w:right="755" w:firstLine="0"/>
        <w:jc w:val="center"/>
        <w:rPr>
          <w:i/>
          <w:sz w:val="18"/>
        </w:rPr>
      </w:pPr>
      <w:r>
        <w:rPr>
          <w:i/>
          <w:sz w:val="18"/>
        </w:rPr>
        <w:t>Мисија</w:t>
      </w:r>
    </w:p>
    <w:p>
      <w:pPr>
        <w:pStyle w:val="BodyText"/>
        <w:spacing w:line="230" w:lineRule="auto" w:before="119"/>
        <w:ind w:right="1281" w:firstLine="480"/>
      </w:pPr>
      <w:r>
        <w:rPr/>
        <w:t>Република Србија ће стимулисати подизање ефикасности приступа свим поштанским услугама и</w:t>
      </w:r>
      <w:r>
        <w:rPr>
          <w:spacing w:val="-61"/>
        </w:rPr>
        <w:t> </w:t>
      </w:r>
      <w:r>
        <w:rPr/>
        <w:t>омогућавати комуникацију са свим грађанима уз:</w:t>
      </w:r>
    </w:p>
    <w:p>
      <w:pPr>
        <w:pStyle w:val="ListParagraph"/>
        <w:numPr>
          <w:ilvl w:val="0"/>
          <w:numId w:val="2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Гаранцију слободног протока пошиљака на јединственој територији;</w:t>
      </w:r>
    </w:p>
    <w:p>
      <w:pPr>
        <w:pStyle w:val="ListParagraph"/>
        <w:numPr>
          <w:ilvl w:val="0"/>
          <w:numId w:val="2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Приступачне цене универзалне поштанске услуге;</w:t>
      </w:r>
    </w:p>
    <w:p>
      <w:pPr>
        <w:pStyle w:val="ListParagraph"/>
        <w:numPr>
          <w:ilvl w:val="0"/>
          <w:numId w:val="2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Међуповезаност између стејкхолдера;</w:t>
      </w:r>
    </w:p>
    <w:p>
      <w:pPr>
        <w:pStyle w:val="ListParagraph"/>
        <w:numPr>
          <w:ilvl w:val="0"/>
          <w:numId w:val="2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Подизање нивоа задовољства корисника сходно њиховим променљивим потребама.</w:t>
      </w:r>
    </w:p>
    <w:p>
      <w:pPr>
        <w:pStyle w:val="BodyText"/>
        <w:spacing w:before="5"/>
        <w:ind w:left="0"/>
        <w:rPr>
          <w:sz w:val="26"/>
        </w:rPr>
      </w:pPr>
    </w:p>
    <w:p>
      <w:pPr>
        <w:spacing w:before="1"/>
        <w:ind w:left="1240" w:right="755" w:firstLine="0"/>
        <w:jc w:val="center"/>
        <w:rPr>
          <w:i/>
          <w:sz w:val="18"/>
        </w:rPr>
      </w:pPr>
      <w:r>
        <w:rPr>
          <w:i/>
          <w:sz w:val="18"/>
        </w:rPr>
        <w:t>Визија</w:t>
      </w:r>
    </w:p>
    <w:p>
      <w:pPr>
        <w:pStyle w:val="BodyText"/>
        <w:spacing w:line="230" w:lineRule="auto" w:before="118"/>
        <w:ind w:right="746" w:firstLine="480"/>
      </w:pPr>
      <w:r>
        <w:rPr/>
        <w:t>Поштански сектор треба да остане један од основних и незаменљивих делова (чинилаца) националне</w:t>
      </w:r>
      <w:r>
        <w:rPr>
          <w:spacing w:val="-61"/>
        </w:rPr>
        <w:t> </w:t>
      </w:r>
      <w:r>
        <w:rPr/>
        <w:t>економије и даљег привредног и друштвеног развоја Републике Србије.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spacing w:before="0"/>
        <w:ind w:left="1240" w:right="755" w:firstLine="0"/>
        <w:jc w:val="center"/>
        <w:rPr>
          <w:i/>
          <w:sz w:val="18"/>
        </w:rPr>
      </w:pPr>
      <w:r>
        <w:rPr>
          <w:i/>
          <w:sz w:val="18"/>
        </w:rPr>
        <w:t>Стратешки циљеви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30" w:lineRule="auto" w:before="118" w:after="0"/>
        <w:ind w:left="119" w:right="769" w:firstLine="480"/>
        <w:jc w:val="left"/>
        <w:rPr>
          <w:sz w:val="18"/>
        </w:rPr>
      </w:pPr>
      <w:r>
        <w:rPr>
          <w:sz w:val="18"/>
        </w:rPr>
        <w:t>Развој поштанског тржишта сходно потребама привреде и грађана Републике Србије, а у складу са</w:t>
      </w:r>
      <w:r>
        <w:rPr>
          <w:spacing w:val="-62"/>
          <w:sz w:val="18"/>
        </w:rPr>
        <w:t> </w:t>
      </w:r>
      <w:r>
        <w:rPr>
          <w:sz w:val="18"/>
        </w:rPr>
        <w:t>директивама Европске уније и препорукама Светског поштанског савеза;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Развој универзалнe поштанскe услуге у Републици Србији;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Развој и реструктурирање jавног поштанског оператора;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30" w:lineRule="auto" w:before="149" w:after="0"/>
        <w:ind w:left="119" w:right="1427" w:firstLine="480"/>
        <w:jc w:val="left"/>
        <w:rPr>
          <w:sz w:val="18"/>
        </w:rPr>
      </w:pPr>
      <w:r>
        <w:rPr>
          <w:sz w:val="18"/>
        </w:rPr>
        <w:t>Иновација постојећих и развој савремених поштанских услуга (поштанских, финансијских и</w:t>
      </w:r>
      <w:r>
        <w:rPr>
          <w:spacing w:val="-61"/>
          <w:sz w:val="18"/>
        </w:rPr>
        <w:t> </w:t>
      </w:r>
      <w:r>
        <w:rPr>
          <w:sz w:val="18"/>
        </w:rPr>
        <w:t>електронских) и одрживост и ефикасност поштанске мреже и технологија;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30" w:lineRule="auto" w:before="150" w:after="0"/>
        <w:ind w:left="119" w:right="250" w:firstLine="480"/>
        <w:jc w:val="left"/>
        <w:rPr>
          <w:sz w:val="18"/>
        </w:rPr>
      </w:pPr>
      <w:r>
        <w:rPr>
          <w:sz w:val="18"/>
        </w:rPr>
        <w:t>Развој одговарајућих стандарда и регулативе, у области квалитета поштанских услуга, сигурности и</w:t>
      </w:r>
      <w:r>
        <w:rPr>
          <w:spacing w:val="1"/>
          <w:sz w:val="18"/>
        </w:rPr>
        <w:t> </w:t>
      </w:r>
      <w:r>
        <w:rPr>
          <w:sz w:val="18"/>
        </w:rPr>
        <w:t>безбедности корисника и запослених у поштанској делатности, као и сигурности поштанских пошиљака, а у</w:t>
      </w:r>
      <w:r>
        <w:rPr>
          <w:spacing w:val="1"/>
          <w:sz w:val="18"/>
        </w:rPr>
        <w:t> </w:t>
      </w:r>
      <w:r>
        <w:rPr>
          <w:sz w:val="18"/>
        </w:rPr>
        <w:t>складу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директивама</w:t>
      </w:r>
      <w:r>
        <w:rPr>
          <w:spacing w:val="-1"/>
          <w:sz w:val="18"/>
        </w:rPr>
        <w:t> </w:t>
      </w:r>
      <w:r>
        <w:rPr>
          <w:sz w:val="18"/>
        </w:rPr>
        <w:t>Европске</w:t>
      </w:r>
      <w:r>
        <w:rPr>
          <w:spacing w:val="-1"/>
          <w:sz w:val="18"/>
        </w:rPr>
        <w:t> </w:t>
      </w:r>
      <w:r>
        <w:rPr>
          <w:sz w:val="18"/>
        </w:rPr>
        <w:t>уније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актима</w:t>
      </w:r>
      <w:r>
        <w:rPr>
          <w:spacing w:val="-1"/>
          <w:sz w:val="18"/>
        </w:rPr>
        <w:t> </w:t>
      </w:r>
      <w:r>
        <w:rPr>
          <w:sz w:val="18"/>
        </w:rPr>
        <w:t>Светског</w:t>
      </w:r>
      <w:r>
        <w:rPr>
          <w:spacing w:val="-1"/>
          <w:sz w:val="18"/>
        </w:rPr>
        <w:t> </w:t>
      </w:r>
      <w:r>
        <w:rPr>
          <w:sz w:val="18"/>
        </w:rPr>
        <w:t>поштанског</w:t>
      </w:r>
      <w:r>
        <w:rPr>
          <w:spacing w:val="-2"/>
          <w:sz w:val="18"/>
        </w:rPr>
        <w:t> </w:t>
      </w:r>
      <w:r>
        <w:rPr>
          <w:sz w:val="18"/>
        </w:rPr>
        <w:t>савеза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других</w:t>
      </w:r>
      <w:r>
        <w:rPr>
          <w:spacing w:val="-1"/>
          <w:sz w:val="18"/>
        </w:rPr>
        <w:t> </w:t>
      </w:r>
      <w:r>
        <w:rPr>
          <w:sz w:val="18"/>
        </w:rPr>
        <w:t>релевантних</w:t>
      </w:r>
      <w:r>
        <w:rPr>
          <w:spacing w:val="-2"/>
          <w:sz w:val="18"/>
        </w:rPr>
        <w:t> </w:t>
      </w:r>
      <w:r>
        <w:rPr>
          <w:sz w:val="18"/>
        </w:rPr>
        <w:t>институција;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Омогућити интероперабилност (међуповезаност) са међународном мрежом;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30" w:lineRule="auto" w:before="149" w:after="0"/>
        <w:ind w:left="119" w:right="837" w:firstLine="480"/>
        <w:jc w:val="left"/>
        <w:rPr>
          <w:sz w:val="18"/>
        </w:rPr>
      </w:pPr>
      <w:r>
        <w:rPr>
          <w:sz w:val="18"/>
        </w:rPr>
        <w:t>Унапређење позиције Републике Србије у регионалним и међународним организацијама у области</w:t>
      </w:r>
      <w:r>
        <w:rPr>
          <w:spacing w:val="-62"/>
          <w:sz w:val="18"/>
        </w:rPr>
        <w:t> </w:t>
      </w:r>
      <w:r>
        <w:rPr>
          <w:sz w:val="18"/>
        </w:rPr>
        <w:t>поштанског саобраћаја;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Развој људских ресурса;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Прихватање друштвене одговорности и заштита животне средине.</w:t>
      </w:r>
    </w:p>
    <w:p>
      <w:pPr>
        <w:pStyle w:val="BodyText"/>
        <w:spacing w:line="230" w:lineRule="auto" w:before="148"/>
        <w:ind w:right="548" w:firstLine="480"/>
      </w:pPr>
      <w:r>
        <w:rPr/>
        <w:t>У оквиру наведених циљева, Стратегијом су дефинисане обавезе Владе, надлежног министарства,</w:t>
      </w:r>
      <w:r>
        <w:rPr>
          <w:spacing w:val="1"/>
        </w:rPr>
        <w:t> </w:t>
      </w:r>
      <w:r>
        <w:rPr/>
        <w:t>националног регулатора, јавног поштанског оператора и поштанских оператора, као учесника у реализацији</w:t>
      </w:r>
      <w:r>
        <w:rPr>
          <w:spacing w:val="-61"/>
        </w:rPr>
        <w:t> </w:t>
      </w:r>
      <w:r>
        <w:rPr/>
        <w:t>циљева који су посебно разрађени Акционим планом.</w:t>
      </w:r>
    </w:p>
    <w:p>
      <w:pPr>
        <w:pStyle w:val="BodyText"/>
        <w:spacing w:before="7"/>
        <w:ind w:left="0"/>
        <w:rPr>
          <w:sz w:val="26"/>
        </w:rPr>
      </w:pPr>
    </w:p>
    <w:p>
      <w:pPr>
        <w:spacing w:before="0"/>
        <w:ind w:left="1240" w:right="756" w:firstLine="0"/>
        <w:jc w:val="center"/>
        <w:rPr>
          <w:i/>
          <w:sz w:val="18"/>
        </w:rPr>
      </w:pPr>
      <w:r>
        <w:rPr>
          <w:i/>
          <w:sz w:val="18"/>
        </w:rPr>
        <w:t>Основне премисе</w:t>
      </w:r>
    </w:p>
    <w:p>
      <w:pPr>
        <w:spacing w:after="0"/>
        <w:jc w:val="center"/>
        <w:rPr>
          <w:sz w:val="18"/>
        </w:rPr>
        <w:sectPr>
          <w:headerReference w:type="default" r:id="rId5"/>
          <w:footerReference w:type="default" r:id="rId6"/>
          <w:type w:val="continuous"/>
          <w:pgSz w:w="12240" w:h="15840"/>
          <w:pgMar w:header="274" w:footer="280" w:top="460" w:bottom="480" w:left="580" w:right="580"/>
          <w:pgNumType w:start="1"/>
        </w:sectPr>
      </w:pPr>
    </w:p>
    <w:p>
      <w:pPr>
        <w:pStyle w:val="BodyText"/>
        <w:spacing w:line="230" w:lineRule="auto" w:before="97"/>
        <w:ind w:right="162" w:firstLine="480"/>
      </w:pPr>
      <w:r>
        <w:rPr/>
        <w:t>Промене које се убрзано дешавају и које воде ка либерализацији тржишта и глобализацији економије,</w:t>
      </w:r>
      <w:r>
        <w:rPr>
          <w:spacing w:val="1"/>
        </w:rPr>
        <w:t> </w:t>
      </w:r>
      <w:r>
        <w:rPr/>
        <w:t>комбиноване са спровођењем поштанске реформе, представљају окосницу у јачању конкурентности на</w:t>
      </w:r>
      <w:r>
        <w:rPr>
          <w:spacing w:val="1"/>
        </w:rPr>
        <w:t> </w:t>
      </w:r>
      <w:r>
        <w:rPr/>
        <w:t>националном и међународном поштанском тржишту. У вези поштанских реформи мора се имати на уму да у овом</w:t>
      </w:r>
      <w:r>
        <w:rPr>
          <w:spacing w:val="-61"/>
        </w:rPr>
        <w:t> </w:t>
      </w:r>
      <w:r>
        <w:rPr/>
        <w:t>тренутку не постоји јединствен стандардни модел по коме би поштанске администрације спровеле реформу.</w:t>
      </w:r>
    </w:p>
    <w:p>
      <w:pPr>
        <w:pStyle w:val="BodyText"/>
        <w:spacing w:line="230" w:lineRule="auto" w:before="0"/>
      </w:pPr>
      <w:r>
        <w:rPr/>
        <w:t>Стање на тржишту у нашој земљи, степен развоја поштанске инфраструктуре и постојање конкуренције у</w:t>
      </w:r>
      <w:r>
        <w:rPr>
          <w:spacing w:val="1"/>
        </w:rPr>
        <w:t> </w:t>
      </w:r>
      <w:r>
        <w:rPr/>
        <w:t>приватном</w:t>
      </w:r>
      <w:r>
        <w:rPr>
          <w:spacing w:val="-2"/>
        </w:rPr>
        <w:t> </w:t>
      </w:r>
      <w:r>
        <w:rPr/>
        <w:t>сектору</w:t>
      </w:r>
      <w:r>
        <w:rPr>
          <w:spacing w:val="-1"/>
        </w:rPr>
        <w:t> </w:t>
      </w:r>
      <w:r>
        <w:rPr/>
        <w:t>одређују</w:t>
      </w:r>
      <w:r>
        <w:rPr>
          <w:spacing w:val="-2"/>
        </w:rPr>
        <w:t> </w:t>
      </w:r>
      <w:r>
        <w:rPr/>
        <w:t>модел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спровођење</w:t>
      </w:r>
      <w:r>
        <w:rPr>
          <w:spacing w:val="-2"/>
        </w:rPr>
        <w:t> </w:t>
      </w:r>
      <w:r>
        <w:rPr/>
        <w:t>реформи</w:t>
      </w:r>
      <w:r>
        <w:rPr>
          <w:spacing w:val="-1"/>
        </w:rPr>
        <w:t> </w:t>
      </w:r>
      <w:r>
        <w:rPr/>
        <w:t>чиме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осигурава</w:t>
      </w:r>
      <w:r>
        <w:rPr>
          <w:spacing w:val="-1"/>
        </w:rPr>
        <w:t> </w:t>
      </w:r>
      <w:r>
        <w:rPr/>
        <w:t>развој</w:t>
      </w:r>
      <w:r>
        <w:rPr>
          <w:spacing w:val="-1"/>
        </w:rPr>
        <w:t> </w:t>
      </w:r>
      <w:r>
        <w:rPr/>
        <w:t>поштанских</w:t>
      </w:r>
      <w:r>
        <w:rPr>
          <w:spacing w:val="-2"/>
        </w:rPr>
        <w:t> </w:t>
      </w:r>
      <w:r>
        <w:rPr/>
        <w:t>сектора.</w:t>
      </w:r>
    </w:p>
    <w:p>
      <w:pPr>
        <w:pStyle w:val="BodyText"/>
        <w:spacing w:line="230" w:lineRule="auto"/>
        <w:ind w:right="229" w:firstLine="480"/>
      </w:pPr>
      <w:r>
        <w:rPr/>
        <w:t>Очекивања корисника и њихове потребе задовољиће се развојем нових технологија и већом и</w:t>
      </w:r>
      <w:r>
        <w:rPr>
          <w:spacing w:val="1"/>
        </w:rPr>
        <w:t> </w:t>
      </w:r>
      <w:r>
        <w:rPr/>
        <w:t>разноврснијом понудом нових услуга. Поштанска мрежа због своје доступности и јединствености отвара нове</w:t>
      </w:r>
      <w:r>
        <w:rPr>
          <w:spacing w:val="1"/>
        </w:rPr>
        <w:t> </w:t>
      </w:r>
      <w:r>
        <w:rPr/>
        <w:t>могућности за задовољење потреба корисника услуга на комуникационом тржишту, чиме поштански сектор</w:t>
      </w:r>
      <w:r>
        <w:rPr>
          <w:spacing w:val="1"/>
        </w:rPr>
        <w:t> </w:t>
      </w:r>
      <w:r>
        <w:rPr/>
        <w:t>постаје значајан чинилац за развој информационог друштва. Посматрано са становишта техничко-технолошких</w:t>
      </w:r>
      <w:r>
        <w:rPr>
          <w:spacing w:val="1"/>
        </w:rPr>
        <w:t> </w:t>
      </w:r>
      <w:r>
        <w:rPr/>
        <w:t>фактора, развој технологије, пре свега информационих и комуникационих технологија, значајно утиче на</w:t>
      </w:r>
      <w:r>
        <w:rPr>
          <w:spacing w:val="1"/>
        </w:rPr>
        <w:t> </w:t>
      </w:r>
      <w:r>
        <w:rPr/>
        <w:t>поштански сектор, с тим да искуства поштанских оператора у великом броју земаља указују да кроз сарадњу са</w:t>
      </w:r>
      <w:r>
        <w:rPr>
          <w:spacing w:val="-61"/>
        </w:rPr>
        <w:t> </w:t>
      </w:r>
      <w:r>
        <w:rPr/>
        <w:t>државним институцијама и међународним организацијама, као и кроз увођење услуга нове генерације,</w:t>
      </w:r>
      <w:r>
        <w:rPr>
          <w:spacing w:val="1"/>
        </w:rPr>
        <w:t> </w:t>
      </w:r>
      <w:r>
        <w:rPr/>
        <w:t>оператори могу успешно пословати и у условима дигиталне ере.</w:t>
      </w:r>
    </w:p>
    <w:p>
      <w:pPr>
        <w:pStyle w:val="BodyText"/>
        <w:spacing w:line="230" w:lineRule="auto"/>
        <w:ind w:right="181" w:firstLine="480"/>
      </w:pPr>
      <w:r>
        <w:rPr/>
        <w:t>Развој сектора поштанских услуга може значајно утицати на велика предузећа, која у настојању да издвоје</w:t>
      </w:r>
      <w:r>
        <w:rPr>
          <w:spacing w:val="-61"/>
        </w:rPr>
        <w:t> </w:t>
      </w:r>
      <w:r>
        <w:rPr/>
        <w:t>споредне делатности од основне, велики део истих могу препустити поштанским операторима. Приметна је</w:t>
      </w:r>
      <w:r>
        <w:rPr>
          <w:spacing w:val="1"/>
        </w:rPr>
        <w:t> </w:t>
      </w:r>
      <w:r>
        <w:rPr/>
        <w:t>експанзија предузећа чија је основна делатност дистрибутивна логистика. Њихов производ представља</w:t>
      </w:r>
      <w:r>
        <w:rPr>
          <w:spacing w:val="1"/>
        </w:rPr>
        <w:t> </w:t>
      </w:r>
      <w:r>
        <w:rPr/>
        <w:t>модификовану поштанску услугу у сегменту места и времена преузимања и уручења пошиљака, која се креира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принципу „од врата – до врата”.</w:t>
      </w:r>
    </w:p>
    <w:p>
      <w:pPr>
        <w:pStyle w:val="BodyText"/>
        <w:spacing w:line="230" w:lineRule="auto"/>
        <w:ind w:right="246" w:firstLine="480"/>
      </w:pPr>
      <w:r>
        <w:rPr/>
        <w:t>Доношењем бројних системских закона који су хармонизовани са законодавством ЕУ унапређују се домаћи</w:t>
      </w:r>
      <w:r>
        <w:rPr>
          <w:spacing w:val="-61"/>
        </w:rPr>
        <w:t> </w:t>
      </w:r>
      <w:r>
        <w:rPr/>
        <w:t>правни и институционални оквири различитих области, при чему се поштанска регулатива усклађује са</w:t>
      </w:r>
      <w:r>
        <w:rPr>
          <w:spacing w:val="1"/>
        </w:rPr>
        <w:t> </w:t>
      </w:r>
      <w:r>
        <w:rPr/>
        <w:t>међународном регулативом, односно са директивама ЕУ.</w:t>
      </w:r>
    </w:p>
    <w:p>
      <w:pPr>
        <w:pStyle w:val="BodyText"/>
        <w:spacing w:line="230" w:lineRule="auto"/>
        <w:ind w:right="429" w:firstLine="480"/>
      </w:pPr>
      <w:r>
        <w:rPr/>
        <w:t>Имајући у виду пројекције ММФ-а које се односе на укупна привредна кретања, као и макроекономске</w:t>
      </w:r>
      <w:r>
        <w:rPr>
          <w:spacing w:val="1"/>
        </w:rPr>
        <w:t> </w:t>
      </w:r>
      <w:r>
        <w:rPr/>
        <w:t>индикаторе за Републику Србију, може се очекивати постепена стабилизација економске ситуације, што ће се</w:t>
      </w:r>
      <w:r>
        <w:rPr>
          <w:spacing w:val="-61"/>
        </w:rPr>
        <w:t> </w:t>
      </w:r>
      <w:r>
        <w:rPr/>
        <w:t>последично одразити и на стабилност раста поштанских услуга.</w:t>
      </w:r>
    </w:p>
    <w:p>
      <w:pPr>
        <w:pStyle w:val="BodyText"/>
        <w:spacing w:line="230" w:lineRule="auto"/>
        <w:ind w:right="304" w:firstLine="480"/>
      </w:pPr>
      <w:r>
        <w:rPr/>
        <w:t>Поштанске услуге имају кључну улогу у економском и друштвеном развоју свих држава Европе из разлога</w:t>
      </w:r>
      <w:r>
        <w:rPr>
          <w:spacing w:val="-61"/>
        </w:rPr>
        <w:t> </w:t>
      </w:r>
      <w:r>
        <w:rPr/>
        <w:t>што су од приоритетног значаја због вишеструких користи које пружају привредним субјектима и грађанима.</w:t>
      </w:r>
    </w:p>
    <w:p>
      <w:pPr>
        <w:pStyle w:val="BodyText"/>
        <w:spacing w:line="396" w:lineRule="auto" w:before="142"/>
        <w:ind w:left="599" w:right="2689"/>
      </w:pPr>
      <w:r>
        <w:rPr/>
        <w:t>Скраћенице и изрази који се користе у тексту Стратегије имају следеће значење:</w:t>
      </w:r>
      <w:r>
        <w:rPr>
          <w:spacing w:val="-61"/>
        </w:rPr>
        <w:t> </w:t>
      </w:r>
      <w:r>
        <w:rPr/>
        <w:t>БДП Бруто друштвени производ</w:t>
      </w:r>
    </w:p>
    <w:p>
      <w:pPr>
        <w:pStyle w:val="BodyText"/>
        <w:spacing w:line="396" w:lineRule="auto" w:before="0"/>
        <w:ind w:left="599" w:right="6836"/>
      </w:pPr>
      <w:r>
        <w:rPr/>
        <w:t>НПО Национални поштански оператор</w:t>
      </w:r>
      <w:r>
        <w:rPr>
          <w:spacing w:val="-61"/>
        </w:rPr>
        <w:t> </w:t>
      </w:r>
      <w:r>
        <w:rPr/>
        <w:t>ЈПО Јавни поштански оператор</w:t>
      </w:r>
    </w:p>
    <w:p>
      <w:pPr>
        <w:pStyle w:val="BodyText"/>
        <w:spacing w:line="217" w:lineRule="exact" w:before="0"/>
        <w:ind w:left="599"/>
      </w:pPr>
      <w:r>
        <w:rPr/>
        <w:t>ПО Поштански оператори</w:t>
      </w:r>
    </w:p>
    <w:p>
      <w:pPr>
        <w:pStyle w:val="BodyText"/>
        <w:spacing w:line="396" w:lineRule="auto" w:before="140"/>
        <w:ind w:left="599" w:right="4280"/>
      </w:pPr>
      <w:r>
        <w:rPr/>
        <w:t>СПС</w:t>
      </w:r>
      <w:r>
        <w:rPr>
          <w:spacing w:val="5"/>
        </w:rPr>
        <w:t> </w:t>
      </w:r>
      <w:r>
        <w:rPr/>
        <w:t>Светски</w:t>
      </w:r>
      <w:r>
        <w:rPr>
          <w:spacing w:val="5"/>
        </w:rPr>
        <w:t> </w:t>
      </w:r>
      <w:r>
        <w:rPr/>
        <w:t>поштански</w:t>
      </w:r>
      <w:r>
        <w:rPr>
          <w:spacing w:val="5"/>
        </w:rPr>
        <w:t> </w:t>
      </w:r>
      <w:r>
        <w:rPr/>
        <w:t>савез</w:t>
      </w:r>
      <w:r>
        <w:rPr>
          <w:spacing w:val="5"/>
        </w:rPr>
        <w:t> </w:t>
      </w:r>
      <w:r>
        <w:rPr/>
        <w:t>(Universal</w:t>
      </w:r>
      <w:r>
        <w:rPr>
          <w:spacing w:val="5"/>
        </w:rPr>
        <w:t> </w:t>
      </w:r>
      <w:r>
        <w:rPr/>
        <w:t>Postal</w:t>
      </w:r>
      <w:r>
        <w:rPr>
          <w:spacing w:val="5"/>
        </w:rPr>
        <w:t> </w:t>
      </w:r>
      <w:r>
        <w:rPr/>
        <w:t>Union</w:t>
      </w:r>
      <w:r>
        <w:rPr>
          <w:spacing w:val="5"/>
        </w:rPr>
        <w:t> </w:t>
      </w:r>
      <w:r>
        <w:rPr/>
        <w:t>–</w:t>
      </w:r>
      <w:r>
        <w:rPr>
          <w:spacing w:val="5"/>
        </w:rPr>
        <w:t> </w:t>
      </w:r>
      <w:r>
        <w:rPr/>
        <w:t>UPU)</w:t>
      </w:r>
      <w:r>
        <w:rPr>
          <w:spacing w:val="1"/>
        </w:rPr>
        <w:t> </w:t>
      </w:r>
      <w:r>
        <w:rPr/>
        <w:t>ММФ</w:t>
      </w:r>
      <w:r>
        <w:rPr>
          <w:spacing w:val="-3"/>
        </w:rPr>
        <w:t> </w:t>
      </w:r>
      <w:r>
        <w:rPr/>
        <w:t>Међународни</w:t>
      </w:r>
      <w:r>
        <w:rPr>
          <w:spacing w:val="-3"/>
        </w:rPr>
        <w:t> </w:t>
      </w:r>
      <w:r>
        <w:rPr/>
        <w:t>монетарни</w:t>
      </w:r>
      <w:r>
        <w:rPr>
          <w:spacing w:val="-3"/>
        </w:rPr>
        <w:t> </w:t>
      </w:r>
      <w:r>
        <w:rPr/>
        <w:t>фонд</w:t>
      </w:r>
      <w:r>
        <w:rPr>
          <w:spacing w:val="-2"/>
        </w:rPr>
        <w:t> </w:t>
      </w:r>
      <w:r>
        <w:rPr/>
        <w:t>(International</w:t>
      </w:r>
      <w:r>
        <w:rPr>
          <w:spacing w:val="-3"/>
        </w:rPr>
        <w:t> </w:t>
      </w:r>
      <w:r>
        <w:rPr/>
        <w:t>Monetary</w:t>
      </w:r>
      <w:r>
        <w:rPr>
          <w:spacing w:val="-3"/>
        </w:rPr>
        <w:t> </w:t>
      </w:r>
      <w:r>
        <w:rPr/>
        <w:t>Fund)</w:t>
      </w:r>
    </w:p>
    <w:p>
      <w:pPr>
        <w:pStyle w:val="BodyText"/>
        <w:spacing w:line="396" w:lineRule="auto" w:before="0"/>
        <w:ind w:left="599" w:right="3787"/>
      </w:pPr>
      <w:r>
        <w:rPr/>
        <w:t>МТТ Министарство спољне и унутрашње трговине и телекомуникација</w:t>
      </w:r>
      <w:r>
        <w:rPr>
          <w:spacing w:val="-61"/>
        </w:rPr>
        <w:t> </w:t>
      </w:r>
      <w:r>
        <w:rPr/>
        <w:t>МФП Министарство финансија и привреде</w:t>
      </w:r>
    </w:p>
    <w:p>
      <w:pPr>
        <w:pStyle w:val="BodyText"/>
        <w:spacing w:line="396" w:lineRule="auto" w:before="0"/>
        <w:ind w:left="599" w:right="7012"/>
      </w:pPr>
      <w:r>
        <w:rPr/>
        <w:t>РЗС Републички завод за статистику</w:t>
      </w:r>
      <w:r>
        <w:rPr>
          <w:spacing w:val="-61"/>
        </w:rPr>
        <w:t> </w:t>
      </w:r>
      <w:r>
        <w:rPr/>
        <w:t>УПУ Универзална поштанска услуга</w:t>
      </w:r>
      <w:r>
        <w:rPr>
          <w:spacing w:val="1"/>
        </w:rPr>
        <w:t> </w:t>
      </w:r>
      <w:r>
        <w:rPr/>
        <w:t>РПУ Резервисана поштанска услуга</w:t>
      </w:r>
      <w:r>
        <w:rPr>
          <w:spacing w:val="1"/>
        </w:rPr>
        <w:t> </w:t>
      </w:r>
      <w:r>
        <w:rPr/>
        <w:t>ЕУ Европска унија (European Union)</w:t>
      </w:r>
    </w:p>
    <w:p>
      <w:pPr>
        <w:pStyle w:val="BodyText"/>
        <w:spacing w:line="215" w:lineRule="exact" w:before="0"/>
        <w:ind w:left="599"/>
      </w:pPr>
      <w:r>
        <w:rPr/>
        <w:t>ЦЕН Европски комитет за стандардизацију (European Committee for Standardization – CEN)</w:t>
      </w:r>
    </w:p>
    <w:p>
      <w:pPr>
        <w:pStyle w:val="BodyText"/>
        <w:spacing w:line="396" w:lineRule="auto" w:before="137"/>
        <w:ind w:left="599" w:right="914"/>
      </w:pPr>
      <w:r>
        <w:rPr/>
        <w:t>ЦЕРП</w:t>
      </w:r>
      <w:r>
        <w:rPr>
          <w:spacing w:val="-3"/>
        </w:rPr>
        <w:t> </w:t>
      </w:r>
      <w:r>
        <w:rPr/>
        <w:t>Европски</w:t>
      </w:r>
      <w:r>
        <w:rPr>
          <w:spacing w:val="-2"/>
        </w:rPr>
        <w:t> </w:t>
      </w:r>
      <w:r>
        <w:rPr/>
        <w:t>комитет</w:t>
      </w:r>
      <w:r>
        <w:rPr>
          <w:spacing w:val="-2"/>
        </w:rPr>
        <w:t> </w:t>
      </w:r>
      <w:r>
        <w:rPr/>
        <w:t>за</w:t>
      </w:r>
      <w:r>
        <w:rPr>
          <w:spacing w:val="-2"/>
        </w:rPr>
        <w:t> </w:t>
      </w:r>
      <w:r>
        <w:rPr/>
        <w:t>поштанску</w:t>
      </w:r>
      <w:r>
        <w:rPr>
          <w:spacing w:val="-2"/>
        </w:rPr>
        <w:t> </w:t>
      </w:r>
      <w:r>
        <w:rPr/>
        <w:t>регулативу</w:t>
      </w:r>
      <w:r>
        <w:rPr>
          <w:spacing w:val="-2"/>
        </w:rPr>
        <w:t> </w:t>
      </w:r>
      <w:r>
        <w:rPr/>
        <w:t>(European</w:t>
      </w:r>
      <w:r>
        <w:rPr>
          <w:spacing w:val="-2"/>
        </w:rPr>
        <w:t> </w:t>
      </w:r>
      <w:r>
        <w:rPr/>
        <w:t>Committee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Postal</w:t>
      </w:r>
      <w:r>
        <w:rPr>
          <w:spacing w:val="-2"/>
        </w:rPr>
        <w:t> </w:t>
      </w:r>
      <w:r>
        <w:rPr/>
        <w:t>Regulation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CERP)</w:t>
      </w:r>
      <w:r>
        <w:rPr>
          <w:spacing w:val="-60"/>
        </w:rPr>
        <w:t> </w:t>
      </w:r>
      <w:r>
        <w:rPr/>
        <w:t>ЕК Европска комисија (European Commission – EC)</w:t>
      </w:r>
    </w:p>
    <w:p>
      <w:pPr>
        <w:pStyle w:val="BodyText"/>
        <w:spacing w:line="396" w:lineRule="auto" w:before="0"/>
        <w:ind w:left="599" w:right="6401"/>
      </w:pPr>
      <w:r>
        <w:rPr/>
        <w:t>УН Уједињене нације (United Nations – UN)</w:t>
      </w:r>
      <w:r>
        <w:rPr>
          <w:spacing w:val="-61"/>
        </w:rPr>
        <w:t> </w:t>
      </w:r>
      <w:r>
        <w:rPr/>
        <w:t>ЈПМ Јединица поштанске мреже</w:t>
      </w:r>
    </w:p>
    <w:p>
      <w:pPr>
        <w:pStyle w:val="BodyText"/>
        <w:spacing w:line="396" w:lineRule="auto" w:before="0"/>
        <w:ind w:left="599" w:right="6653"/>
      </w:pPr>
      <w:r>
        <w:rPr/>
        <w:t>УПС Унутрашњи поштански саобраћај</w:t>
      </w:r>
      <w:r>
        <w:rPr>
          <w:spacing w:val="1"/>
        </w:rPr>
        <w:t> </w:t>
      </w:r>
      <w:r>
        <w:rPr/>
        <w:t>МПС Међународни поштански саобраћај</w:t>
      </w:r>
      <w:r>
        <w:rPr>
          <w:spacing w:val="-61"/>
        </w:rPr>
        <w:t> </w:t>
      </w:r>
      <w:r>
        <w:rPr/>
        <w:t>НРТ Национално регулаторно тело</w:t>
      </w:r>
    </w:p>
    <w:p>
      <w:pPr>
        <w:pStyle w:val="BodyText"/>
        <w:spacing w:line="216" w:lineRule="exact" w:before="0"/>
        <w:ind w:left="599"/>
      </w:pPr>
      <w:r>
        <w:rPr/>
        <w:t>ИКТ Информационо комуникационе технологије</w:t>
      </w:r>
    </w:p>
    <w:p>
      <w:pPr>
        <w:pStyle w:val="BodyText"/>
        <w:spacing w:before="138"/>
        <w:ind w:left="599"/>
      </w:pPr>
      <w:r>
        <w:rPr/>
        <w:t>РАПУС Републичка агенција за поштанске услуге</w:t>
      </w:r>
    </w:p>
    <w:p>
      <w:pPr>
        <w:spacing w:after="0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396" w:lineRule="auto" w:before="90"/>
        <w:ind w:left="599" w:right="7157"/>
      </w:pPr>
      <w:r>
        <w:rPr/>
        <w:t>ГПЦ</w:t>
      </w:r>
      <w:r>
        <w:rPr>
          <w:spacing w:val="12"/>
        </w:rPr>
        <w:t> </w:t>
      </w:r>
      <w:r>
        <w:rPr/>
        <w:t>Главни</w:t>
      </w:r>
      <w:r>
        <w:rPr>
          <w:spacing w:val="13"/>
        </w:rPr>
        <w:t> </w:t>
      </w:r>
      <w:r>
        <w:rPr/>
        <w:t>поштански</w:t>
      </w:r>
      <w:r>
        <w:rPr>
          <w:spacing w:val="12"/>
        </w:rPr>
        <w:t> </w:t>
      </w:r>
      <w:r>
        <w:rPr/>
        <w:t>центар</w:t>
      </w:r>
      <w:r>
        <w:rPr>
          <w:spacing w:val="1"/>
        </w:rPr>
        <w:t> </w:t>
      </w:r>
      <w:r>
        <w:rPr/>
        <w:t>ПЛЦ</w:t>
      </w:r>
      <w:r>
        <w:rPr>
          <w:spacing w:val="-5"/>
        </w:rPr>
        <w:t> </w:t>
      </w:r>
      <w:r>
        <w:rPr/>
        <w:t>Поштанско</w:t>
      </w:r>
      <w:r>
        <w:rPr>
          <w:spacing w:val="-5"/>
        </w:rPr>
        <w:t> </w:t>
      </w:r>
      <w:r>
        <w:rPr/>
        <w:t>логистички</w:t>
      </w:r>
      <w:r>
        <w:rPr>
          <w:spacing w:val="-5"/>
        </w:rPr>
        <w:t> </w:t>
      </w:r>
      <w:r>
        <w:rPr/>
        <w:t>центар</w:t>
      </w:r>
    </w:p>
    <w:p>
      <w:pPr>
        <w:pStyle w:val="BodyText"/>
        <w:spacing w:line="217" w:lineRule="exact" w:before="0"/>
        <w:ind w:left="599"/>
      </w:pPr>
      <w:r>
        <w:rPr/>
        <w:t>РПЛЦ Регионални поштанско логистички центар</w:t>
      </w:r>
    </w:p>
    <w:p>
      <w:pPr>
        <w:pStyle w:val="BodyText"/>
        <w:spacing w:line="214" w:lineRule="exact" w:before="141"/>
        <w:ind w:left="599"/>
      </w:pPr>
      <w:r>
        <w:rPr/>
        <w:t>ЕРГП</w:t>
      </w:r>
      <w:r>
        <w:rPr>
          <w:spacing w:val="-1"/>
        </w:rPr>
        <w:t> </w:t>
      </w:r>
      <w:r>
        <w:rPr/>
        <w:t>Група</w:t>
      </w:r>
      <w:r>
        <w:rPr>
          <w:spacing w:val="-1"/>
        </w:rPr>
        <w:t> </w:t>
      </w:r>
      <w:r>
        <w:rPr/>
        <w:t>европских</w:t>
      </w:r>
      <w:r>
        <w:rPr>
          <w:spacing w:val="-1"/>
        </w:rPr>
        <w:t> </w:t>
      </w:r>
      <w:r>
        <w:rPr/>
        <w:t>регулатора у</w:t>
      </w:r>
      <w:r>
        <w:rPr>
          <w:spacing w:val="-1"/>
        </w:rPr>
        <w:t> </w:t>
      </w:r>
      <w:r>
        <w:rPr/>
        <w:t>области</w:t>
      </w:r>
      <w:r>
        <w:rPr>
          <w:spacing w:val="-1"/>
        </w:rPr>
        <w:t> </w:t>
      </w:r>
      <w:r>
        <w:rPr/>
        <w:t>поштанских</w:t>
      </w:r>
      <w:r>
        <w:rPr>
          <w:spacing w:val="-1"/>
        </w:rPr>
        <w:t> </w:t>
      </w:r>
      <w:r>
        <w:rPr/>
        <w:t>услуга (European</w:t>
      </w:r>
      <w:r>
        <w:rPr>
          <w:spacing w:val="-1"/>
        </w:rPr>
        <w:t> </w:t>
      </w:r>
      <w:r>
        <w:rPr/>
        <w:t>Regulator</w:t>
      </w:r>
      <w:r>
        <w:rPr>
          <w:spacing w:val="-1"/>
        </w:rPr>
        <w:t> </w:t>
      </w:r>
      <w:r>
        <w:rPr/>
        <w:t>Group for</w:t>
      </w:r>
      <w:r>
        <w:rPr>
          <w:spacing w:val="-1"/>
        </w:rPr>
        <w:t> </w:t>
      </w:r>
      <w:r>
        <w:rPr/>
        <w:t>Postal</w:t>
      </w:r>
      <w:r>
        <w:rPr>
          <w:spacing w:val="-1"/>
        </w:rPr>
        <w:t> </w:t>
      </w:r>
      <w:r>
        <w:rPr/>
        <w:t>Services</w:t>
      </w:r>
    </w:p>
    <w:p>
      <w:pPr>
        <w:pStyle w:val="BodyText"/>
        <w:spacing w:line="214" w:lineRule="exact" w:before="0"/>
      </w:pPr>
      <w:r>
        <w:rPr/>
        <w:t>– ERGP)</w:t>
      </w:r>
    </w:p>
    <w:p>
      <w:pPr>
        <w:pStyle w:val="BodyText"/>
        <w:spacing w:before="141"/>
        <w:ind w:left="599"/>
      </w:pPr>
      <w:r>
        <w:rPr/>
        <w:t>ИСС Институт за стандардизацију Србије</w:t>
      </w:r>
    </w:p>
    <w:p>
      <w:pPr>
        <w:pStyle w:val="BodyText"/>
        <w:spacing w:before="141"/>
        <w:ind w:left="599"/>
      </w:pPr>
      <w:r>
        <w:rPr/>
        <w:t>АС</w:t>
      </w:r>
      <w:r>
        <w:rPr>
          <w:spacing w:val="-1"/>
        </w:rPr>
        <w:t> </w:t>
      </w:r>
      <w:r>
        <w:rPr/>
        <w:t>Административни савет</w:t>
      </w:r>
      <w:r>
        <w:rPr>
          <w:spacing w:val="-1"/>
        </w:rPr>
        <w:t> </w:t>
      </w:r>
      <w:r>
        <w:rPr/>
        <w:t>Светског поштанског савеза</w:t>
      </w:r>
      <w:r>
        <w:rPr>
          <w:spacing w:val="-1"/>
        </w:rPr>
        <w:t> </w:t>
      </w:r>
      <w:r>
        <w:rPr/>
        <w:t>(Council of Administration</w:t>
      </w:r>
      <w:r>
        <w:rPr>
          <w:spacing w:val="-1"/>
        </w:rPr>
        <w:t> </w:t>
      </w:r>
      <w:r>
        <w:rPr/>
        <w:t>– CA)</w:t>
      </w:r>
    </w:p>
    <w:p>
      <w:pPr>
        <w:pStyle w:val="BodyText"/>
        <w:spacing w:before="142"/>
        <w:ind w:left="599"/>
      </w:pPr>
      <w:r>
        <w:rPr/>
        <w:t>ПОВ</w:t>
      </w:r>
      <w:r>
        <w:rPr>
          <w:spacing w:val="-1"/>
        </w:rPr>
        <w:t> </w:t>
      </w:r>
      <w:r>
        <w:rPr/>
        <w:t>Поштанско</w:t>
      </w:r>
      <w:r>
        <w:rPr>
          <w:spacing w:val="-1"/>
        </w:rPr>
        <w:t> </w:t>
      </w:r>
      <w:r>
        <w:rPr/>
        <w:t>оперативно</w:t>
      </w:r>
      <w:r>
        <w:rPr>
          <w:spacing w:val="-1"/>
        </w:rPr>
        <w:t> </w:t>
      </w:r>
      <w:r>
        <w:rPr/>
        <w:t>веће</w:t>
      </w:r>
      <w:r>
        <w:rPr>
          <w:spacing w:val="-1"/>
        </w:rPr>
        <w:t> </w:t>
      </w:r>
      <w:r>
        <w:rPr/>
        <w:t>Светског поштанског</w:t>
      </w:r>
      <w:r>
        <w:rPr>
          <w:spacing w:val="-1"/>
        </w:rPr>
        <w:t> </w:t>
      </w:r>
      <w:r>
        <w:rPr/>
        <w:t>савеза</w:t>
      </w:r>
      <w:r>
        <w:rPr>
          <w:spacing w:val="-1"/>
        </w:rPr>
        <w:t> </w:t>
      </w:r>
      <w:r>
        <w:rPr/>
        <w:t>(Postal</w:t>
      </w:r>
      <w:r>
        <w:rPr>
          <w:spacing w:val="-1"/>
        </w:rPr>
        <w:t> </w:t>
      </w:r>
      <w:r>
        <w:rPr/>
        <w:t>Оperation Council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POC)</w:t>
      </w:r>
    </w:p>
    <w:p>
      <w:pPr>
        <w:pStyle w:val="BodyText"/>
        <w:spacing w:before="5"/>
        <w:ind w:left="0"/>
        <w:rPr>
          <w:sz w:val="26"/>
        </w:rPr>
      </w:pPr>
    </w:p>
    <w:p>
      <w:pPr>
        <w:spacing w:before="0"/>
        <w:ind w:left="5101" w:right="0" w:firstLine="0"/>
        <w:jc w:val="left"/>
        <w:rPr>
          <w:i/>
          <w:sz w:val="18"/>
        </w:rPr>
      </w:pPr>
      <w:r>
        <w:rPr>
          <w:i/>
          <w:sz w:val="18"/>
        </w:rPr>
        <w:t>Списак табела</w:t>
      </w:r>
    </w:p>
    <w:p>
      <w:pPr>
        <w:pStyle w:val="BodyText"/>
        <w:spacing w:line="396" w:lineRule="auto" w:before="111"/>
        <w:ind w:left="599" w:right="3002"/>
      </w:pPr>
      <w:r>
        <w:rPr/>
        <w:t>Табела 2.1 Структура тржишта поштанских услуга по операторима 2011/2010.</w:t>
      </w:r>
      <w:r>
        <w:rPr>
          <w:spacing w:val="-61"/>
        </w:rPr>
        <w:t> </w:t>
      </w:r>
      <w:r>
        <w:rPr/>
        <w:t>Табела 2.2 Структура тржиштa по врстама поштанских услуга 2011/2010.</w:t>
      </w:r>
    </w:p>
    <w:p>
      <w:pPr>
        <w:pStyle w:val="BodyText"/>
        <w:spacing w:line="396" w:lineRule="auto" w:before="0"/>
        <w:ind w:left="599" w:right="1634"/>
      </w:pPr>
      <w:r>
        <w:rPr/>
        <w:t>Табела 2.3 Структура тржишта по врстама услуга осталих поштанских оператора 2011/2010.</w:t>
      </w:r>
      <w:r>
        <w:rPr>
          <w:spacing w:val="-61"/>
        </w:rPr>
        <w:t> </w:t>
      </w:r>
      <w:r>
        <w:rPr/>
        <w:t>Табела 2.4 Подела поштанских услуга на тржишту Републике Србије</w:t>
      </w:r>
    </w:p>
    <w:p>
      <w:pPr>
        <w:pStyle w:val="BodyText"/>
        <w:spacing w:line="217" w:lineRule="exact" w:before="0"/>
        <w:ind w:left="599"/>
        <w:rPr>
          <w:i/>
        </w:rPr>
      </w:pPr>
      <w:r>
        <w:rPr/>
        <w:t>Табела 2.5 Преглед усклађености Закона о поштанским услугама са директивом</w:t>
      </w:r>
      <w:r>
        <w:rPr>
          <w:spacing w:val="-1"/>
        </w:rPr>
        <w:t> </w:t>
      </w:r>
      <w:r>
        <w:rPr>
          <w:i/>
        </w:rPr>
        <w:t>2002/39/ЕС</w:t>
      </w:r>
    </w:p>
    <w:p>
      <w:pPr>
        <w:pStyle w:val="BodyText"/>
        <w:spacing w:before="139"/>
        <w:ind w:left="599"/>
      </w:pPr>
      <w:r>
        <w:rPr/>
        <w:t>Табела 2.6 Преглед примене поштанске регулативе у пракси</w:t>
      </w:r>
    </w:p>
    <w:p>
      <w:pPr>
        <w:pStyle w:val="BodyText"/>
        <w:spacing w:before="142"/>
        <w:ind w:left="599"/>
      </w:pPr>
      <w:r>
        <w:rPr/>
        <w:t>Табела 2.7 Основне регулаторне активности НРТ у одабраним европским земљама</w:t>
      </w:r>
    </w:p>
    <w:p>
      <w:pPr>
        <w:pStyle w:val="BodyText"/>
        <w:spacing w:line="396" w:lineRule="auto" w:before="141"/>
        <w:ind w:left="599" w:right="1852"/>
      </w:pPr>
      <w:r>
        <w:rPr/>
        <w:t>Табела 2.8 Ниво независности регулаторних институција у одабраним европским земљама</w:t>
      </w:r>
      <w:r>
        <w:rPr>
          <w:spacing w:val="-61"/>
        </w:rPr>
        <w:t> </w:t>
      </w:r>
      <w:r>
        <w:rPr/>
        <w:t>Табела 3.1 Преглед поштанских директива</w:t>
      </w:r>
    </w:p>
    <w:p>
      <w:pPr>
        <w:pStyle w:val="BodyText"/>
        <w:spacing w:line="230" w:lineRule="auto" w:before="5"/>
        <w:ind w:right="131" w:firstLine="480"/>
      </w:pPr>
      <w:r>
        <w:rPr/>
        <w:t>Табела 5.1 Акциони план реализације Стратегије развоја поштанских услуга у Србији за период 2013–2016.</w:t>
      </w:r>
      <w:r>
        <w:rPr>
          <w:spacing w:val="-61"/>
        </w:rPr>
        <w:t> </w:t>
      </w:r>
      <w:r>
        <w:rPr/>
        <w:t>године</w:t>
      </w:r>
    </w:p>
    <w:p>
      <w:pPr>
        <w:pStyle w:val="BodyText"/>
        <w:spacing w:before="7"/>
        <w:ind w:left="0"/>
        <w:rPr>
          <w:sz w:val="26"/>
        </w:rPr>
      </w:pPr>
    </w:p>
    <w:p>
      <w:pPr>
        <w:spacing w:before="0"/>
        <w:ind w:left="5151" w:right="0" w:firstLine="0"/>
        <w:jc w:val="both"/>
        <w:rPr>
          <w:i/>
          <w:sz w:val="18"/>
        </w:rPr>
      </w:pPr>
      <w:r>
        <w:rPr>
          <w:i/>
          <w:sz w:val="18"/>
        </w:rPr>
        <w:t>Списак слика</w:t>
      </w:r>
    </w:p>
    <w:p>
      <w:pPr>
        <w:pStyle w:val="BodyText"/>
        <w:spacing w:line="396" w:lineRule="auto" w:before="111"/>
        <w:ind w:left="599" w:right="2725"/>
        <w:jc w:val="both"/>
      </w:pPr>
      <w:r>
        <w:rPr/>
        <w:t>Слика 2.1 Запослени у НПО у Европи 2010. године (% укупног броја запослених)</w:t>
      </w:r>
      <w:r>
        <w:rPr>
          <w:spacing w:val="-61"/>
        </w:rPr>
        <w:t> </w:t>
      </w:r>
      <w:r>
        <w:rPr/>
        <w:t>Слика 2.2 Учешће НПО одабраних европских земаља у БДП-у у 2010. години (%)</w:t>
      </w:r>
      <w:r>
        <w:rPr>
          <w:spacing w:val="-61"/>
        </w:rPr>
        <w:t> </w:t>
      </w:r>
      <w:r>
        <w:rPr/>
        <w:t>Слика 2.3 Поштарина за писмо до 20 грама у еврима у 2010. години</w:t>
      </w:r>
    </w:p>
    <w:p>
      <w:pPr>
        <w:pStyle w:val="BodyText"/>
        <w:spacing w:line="396" w:lineRule="auto" w:before="0"/>
        <w:ind w:left="599" w:right="3002"/>
      </w:pPr>
      <w:r>
        <w:rPr/>
        <w:t>Слика 2.4 Број становника по јединици поштанске мреже у 2010. години</w:t>
      </w:r>
      <w:r>
        <w:rPr>
          <w:spacing w:val="1"/>
        </w:rPr>
        <w:t> </w:t>
      </w:r>
      <w:r>
        <w:rPr/>
        <w:t>Слика 2.5 Број поштанских сандучића на 10.000 становника у 2010. години</w:t>
      </w:r>
      <w:r>
        <w:rPr>
          <w:spacing w:val="1"/>
        </w:rPr>
        <w:t> </w:t>
      </w:r>
      <w:r>
        <w:rPr/>
        <w:t>Слика</w:t>
      </w:r>
      <w:r>
        <w:rPr>
          <w:spacing w:val="-2"/>
        </w:rPr>
        <w:t> </w:t>
      </w:r>
      <w:r>
        <w:rPr/>
        <w:t>2.6</w:t>
      </w:r>
      <w:r>
        <w:rPr>
          <w:spacing w:val="-2"/>
        </w:rPr>
        <w:t> </w:t>
      </w:r>
      <w:r>
        <w:rPr/>
        <w:t>Укупан</w:t>
      </w:r>
      <w:r>
        <w:rPr>
          <w:spacing w:val="-1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писмоносних</w:t>
      </w:r>
      <w:r>
        <w:rPr>
          <w:spacing w:val="-2"/>
        </w:rPr>
        <w:t> </w:t>
      </w:r>
      <w:r>
        <w:rPr/>
        <w:t>пошиљака</w:t>
      </w:r>
      <w:r>
        <w:rPr>
          <w:spacing w:val="-1"/>
        </w:rPr>
        <w:t> </w:t>
      </w:r>
      <w:r>
        <w:rPr/>
        <w:t>по</w:t>
      </w:r>
      <w:r>
        <w:rPr>
          <w:spacing w:val="-2"/>
        </w:rPr>
        <w:t> </w:t>
      </w:r>
      <w:r>
        <w:rPr/>
        <w:t>становнику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2010.</w:t>
      </w:r>
      <w:r>
        <w:rPr>
          <w:spacing w:val="-2"/>
        </w:rPr>
        <w:t> </w:t>
      </w:r>
      <w:r>
        <w:rPr/>
        <w:t>години</w:t>
      </w:r>
    </w:p>
    <w:p>
      <w:pPr>
        <w:pStyle w:val="BodyText"/>
        <w:spacing w:line="396" w:lineRule="auto" w:before="0"/>
        <w:ind w:left="599" w:right="2202"/>
      </w:pPr>
      <w:r>
        <w:rPr/>
        <w:t>Слика 2.7 Укупан број поштанских услуга у Републици Србији (у милионима јединица)</w:t>
      </w:r>
      <w:r>
        <w:rPr>
          <w:spacing w:val="-61"/>
        </w:rPr>
        <w:t> </w:t>
      </w:r>
      <w:r>
        <w:rPr/>
        <w:t>Слика 2.8 Раст поштанских услуга у Републици Србији (Индекс: 2005 =100)</w:t>
      </w:r>
    </w:p>
    <w:p>
      <w:pPr>
        <w:pStyle w:val="BodyText"/>
        <w:spacing w:line="217" w:lineRule="exact" w:before="0"/>
        <w:ind w:left="599"/>
      </w:pPr>
      <w:r>
        <w:rPr/>
        <w:t>Слика 2.9 Промена улоге поштанског регулатора</w:t>
      </w:r>
    </w:p>
    <w:p>
      <w:pPr>
        <w:pStyle w:val="BodyText"/>
        <w:spacing w:before="136"/>
        <w:ind w:left="599"/>
      </w:pPr>
      <w:r>
        <w:rPr/>
        <w:t>Слика 4.1 Матрица предности и ризик различитих сценарија развоја поштанског саобраћаја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2522" w:val="left" w:leader="none"/>
        </w:tabs>
        <w:spacing w:line="240" w:lineRule="auto" w:before="0" w:after="0"/>
        <w:ind w:left="2521" w:right="0" w:hanging="255"/>
        <w:jc w:val="left"/>
      </w:pPr>
      <w:r>
        <w:rPr/>
        <w:t>Анализа стања тржишта поштанских услуга у Републици Србији</w:t>
      </w:r>
    </w:p>
    <w:p>
      <w:pPr>
        <w:pStyle w:val="BodyText"/>
        <w:spacing w:before="5"/>
        <w:ind w:left="0"/>
        <w:rPr>
          <w:b/>
          <w:sz w:val="26"/>
        </w:rPr>
      </w:pPr>
    </w:p>
    <w:p>
      <w:pPr>
        <w:pStyle w:val="ListParagraph"/>
        <w:numPr>
          <w:ilvl w:val="1"/>
          <w:numId w:val="4"/>
        </w:numPr>
        <w:tabs>
          <w:tab w:pos="2270" w:val="left" w:leader="none"/>
        </w:tabs>
        <w:spacing w:line="240" w:lineRule="auto" w:before="0" w:after="0"/>
        <w:ind w:left="2269" w:right="0" w:hanging="425"/>
        <w:jc w:val="left"/>
        <w:rPr>
          <w:i/>
          <w:sz w:val="18"/>
        </w:rPr>
      </w:pPr>
      <w:r>
        <w:rPr>
          <w:i/>
          <w:sz w:val="18"/>
        </w:rPr>
        <w:t>Значај поштанских услуга за економски и друштвени развој Републике Србије</w:t>
      </w:r>
    </w:p>
    <w:p>
      <w:pPr>
        <w:pStyle w:val="BodyText"/>
        <w:spacing w:line="230" w:lineRule="auto" w:before="119"/>
        <w:ind w:right="138" w:firstLine="480"/>
      </w:pPr>
      <w:r>
        <w:rPr/>
        <w:t>Поштански сектор у Републици Србији са више од 40 ПО, који пружају поштанске услуге у области пријема,</w:t>
      </w:r>
      <w:r>
        <w:rPr>
          <w:spacing w:val="-61"/>
        </w:rPr>
        <w:t> </w:t>
      </w:r>
      <w:r>
        <w:rPr/>
        <w:t>прераде, превоза и уручења писмоносних пошиљака, пакета као и експрес преноса пошиљака, има посебан</w:t>
      </w:r>
      <w:r>
        <w:rPr>
          <w:spacing w:val="1"/>
        </w:rPr>
        <w:t> </w:t>
      </w:r>
      <w:r>
        <w:rPr/>
        <w:t>значај за економски и друштвени развој државе. Овај сектор тренутно запошљава око 18.800 радника што</w:t>
      </w:r>
      <w:r>
        <w:rPr>
          <w:spacing w:val="1"/>
        </w:rPr>
        <w:t> </w:t>
      </w:r>
      <w:r>
        <w:rPr/>
        <w:t>представља 0,79% свих запослених у Републици Србији.</w:t>
      </w:r>
    </w:p>
    <w:p>
      <w:pPr>
        <w:pStyle w:val="BodyText"/>
        <w:spacing w:line="249" w:lineRule="auto" w:before="143"/>
        <w:ind w:right="229" w:firstLine="480"/>
      </w:pPr>
      <w:r>
        <w:rPr/>
        <w:t>Укупни приходи које је поштанска делатност остварила у 2011. години износе око 11 милијарди динара,</w:t>
      </w:r>
      <w:r>
        <w:rPr>
          <w:spacing w:val="1"/>
        </w:rPr>
        <w:t> </w:t>
      </w:r>
      <w:r>
        <w:rPr/>
        <w:t>што</w:t>
      </w:r>
      <w:r>
        <w:rPr>
          <w:spacing w:val="-1"/>
        </w:rPr>
        <w:t> </w:t>
      </w:r>
      <w:r>
        <w:rPr/>
        <w:t>чини око 0,32% БДП-а за 2011.</w:t>
      </w:r>
      <w:r>
        <w:rPr>
          <w:position w:val="7"/>
          <w:sz w:val="15"/>
        </w:rPr>
        <w:t>1</w:t>
      </w:r>
      <w:r>
        <w:rPr>
          <w:spacing w:val="10"/>
          <w:position w:val="7"/>
          <w:sz w:val="15"/>
        </w:rPr>
        <w:t> </w:t>
      </w:r>
      <w:r>
        <w:rPr/>
        <w:t>годину. С друге стране поштанске услуге спадају у ред високо</w:t>
      </w:r>
      <w:r>
        <w:rPr>
          <w:spacing w:val="1"/>
        </w:rPr>
        <w:t> </w:t>
      </w:r>
      <w:r>
        <w:rPr/>
        <w:t>софистицираних</w:t>
      </w:r>
      <w:r>
        <w:rPr>
          <w:spacing w:val="-2"/>
        </w:rPr>
        <w:t> </w:t>
      </w:r>
      <w:r>
        <w:rPr/>
        <w:t>услуга,</w:t>
      </w:r>
      <w:r>
        <w:rPr>
          <w:spacing w:val="-1"/>
        </w:rPr>
        <w:t> </w:t>
      </w:r>
      <w:r>
        <w:rPr/>
        <w:t>па</w:t>
      </w:r>
      <w:r>
        <w:rPr>
          <w:spacing w:val="-1"/>
        </w:rPr>
        <w:t> </w:t>
      </w:r>
      <w:r>
        <w:rPr/>
        <w:t>самим</w:t>
      </w:r>
      <w:r>
        <w:rPr>
          <w:spacing w:val="-2"/>
        </w:rPr>
        <w:t> </w:t>
      </w:r>
      <w:r>
        <w:rPr/>
        <w:t>тим</w:t>
      </w:r>
      <w:r>
        <w:rPr>
          <w:spacing w:val="-1"/>
        </w:rPr>
        <w:t> </w:t>
      </w:r>
      <w:r>
        <w:rPr/>
        <w:t>представљају</w:t>
      </w:r>
      <w:r>
        <w:rPr>
          <w:spacing w:val="-1"/>
        </w:rPr>
        <w:t> </w:t>
      </w:r>
      <w:r>
        <w:rPr/>
        <w:t>делатност</w:t>
      </w:r>
      <w:r>
        <w:rPr>
          <w:spacing w:val="-1"/>
        </w:rPr>
        <w:t> </w:t>
      </w:r>
      <w:r>
        <w:rPr/>
        <w:t>која</w:t>
      </w:r>
      <w:r>
        <w:rPr>
          <w:spacing w:val="-2"/>
        </w:rPr>
        <w:t> </w:t>
      </w:r>
      <w:r>
        <w:rPr/>
        <w:t>може</w:t>
      </w:r>
      <w:r>
        <w:rPr>
          <w:spacing w:val="-1"/>
        </w:rPr>
        <w:t> </w:t>
      </w:r>
      <w:r>
        <w:rPr/>
        <w:t>успешно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подржи</w:t>
      </w:r>
      <w:r>
        <w:rPr>
          <w:spacing w:val="-2"/>
        </w:rPr>
        <w:t> </w:t>
      </w:r>
      <w:r>
        <w:rPr/>
        <w:t>даљи</w:t>
      </w:r>
      <w:r>
        <w:rPr>
          <w:spacing w:val="-1"/>
        </w:rPr>
        <w:t> </w:t>
      </w:r>
      <w:r>
        <w:rPr/>
        <w:t>привредни</w:t>
      </w:r>
    </w:p>
    <w:p>
      <w:pPr>
        <w:pStyle w:val="BodyText"/>
        <w:spacing w:line="201" w:lineRule="exact" w:before="0"/>
      </w:pPr>
      <w:r>
        <w:rPr/>
        <w:t>развој земље.</w:t>
      </w:r>
    </w:p>
    <w:p>
      <w:pPr>
        <w:pStyle w:val="BodyText"/>
        <w:spacing w:line="230" w:lineRule="auto" w:before="148"/>
        <w:ind w:right="321" w:firstLine="480"/>
      </w:pPr>
      <w:r>
        <w:rPr/>
        <w:t>У односу на поштанско тржиште у другим европским земљама поштанско тржиште Републике Србије може</w:t>
      </w:r>
      <w:r>
        <w:rPr>
          <w:spacing w:val="-61"/>
        </w:rPr>
        <w:t> </w:t>
      </w:r>
      <w:r>
        <w:rPr/>
        <w:t>се сврстати у ред средњих тржишта. Просечан број запослених у НПО у односу на укупан број запослених је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297"/>
      </w:pPr>
      <w:r>
        <w:rPr/>
        <w:t>0,50% (Слика 2.1.), при чему се тај удео креће од 0,22% у Бугарској па до 0,79% у Финској (Република Србија</w:t>
      </w:r>
      <w:r>
        <w:rPr>
          <w:spacing w:val="-61"/>
        </w:rPr>
        <w:t> </w:t>
      </w:r>
      <w:r>
        <w:rPr/>
        <w:t>0,63%).</w:t>
      </w:r>
    </w:p>
    <w:p>
      <w:pPr>
        <w:pStyle w:val="BodyText"/>
        <w:spacing w:before="10"/>
        <w:ind w:left="0"/>
        <w:rPr>
          <w:sz w:val="9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2178049</wp:posOffset>
            </wp:positionH>
            <wp:positionV relativeFrom="paragraph">
              <wp:posOffset>100935</wp:posOffset>
            </wp:positionV>
            <wp:extent cx="3733800" cy="2133600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30" w:lineRule="auto" w:before="127"/>
        <w:ind w:right="563" w:firstLine="480"/>
      </w:pPr>
      <w:r>
        <w:rPr/>
        <w:t>У европским земљама НПО у БДП-у учествују са просечно 0,36% (Слика 2.2). У већини земаља западне</w:t>
      </w:r>
      <w:r>
        <w:rPr>
          <w:spacing w:val="-61"/>
        </w:rPr>
        <w:t> </w:t>
      </w:r>
      <w:r>
        <w:rPr/>
        <w:t>Европе (Шведској, Белгији, Великој Британији, Немачкој итд.) НПО има веће учешће у БДП-у него што је то</w:t>
      </w:r>
      <w:r>
        <w:rPr>
          <w:spacing w:val="1"/>
        </w:rPr>
        <w:t> </w:t>
      </w:r>
      <w:r>
        <w:rPr/>
        <w:t>случај у земљама Источне и Јужне Европе.</w:t>
      </w:r>
    </w:p>
    <w:p>
      <w:pPr>
        <w:pStyle w:val="BodyText"/>
        <w:spacing w:line="249" w:lineRule="auto" w:before="143"/>
        <w:ind w:right="210" w:firstLine="480"/>
      </w:pPr>
      <w:r>
        <w:rPr/>
        <w:t>Када се поред НПО посматра поштански сектор у целини (УПС и МПС, интегратори и др.) овај удео је још</w:t>
      </w:r>
      <w:r>
        <w:rPr>
          <w:spacing w:val="1"/>
        </w:rPr>
        <w:t> </w:t>
      </w:r>
      <w:r>
        <w:rPr/>
        <w:t>већи и креће се од око 0,30% у Источној и Јужној Европи до преко 1% у западној Европи и Скандинавији (1,4%</w:t>
      </w:r>
      <w:r>
        <w:rPr>
          <w:spacing w:val="-61"/>
        </w:rPr>
        <w:t> </w:t>
      </w:r>
      <w:r>
        <w:rPr/>
        <w:t>Шведска)</w:t>
      </w:r>
      <w:r>
        <w:rPr>
          <w:position w:val="7"/>
          <w:sz w:val="15"/>
        </w:rPr>
        <w:t>2</w:t>
      </w:r>
      <w:r>
        <w:rPr/>
        <w:t>.</w:t>
      </w:r>
    </w:p>
    <w:p>
      <w:pPr>
        <w:pStyle w:val="BodyText"/>
        <w:spacing w:before="0"/>
        <w:ind w:left="0"/>
        <w:rPr>
          <w:sz w:val="9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2168524</wp:posOffset>
            </wp:positionH>
            <wp:positionV relativeFrom="paragraph">
              <wp:posOffset>94362</wp:posOffset>
            </wp:positionV>
            <wp:extent cx="3733800" cy="2114550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30" w:lineRule="auto" w:before="112"/>
        <w:ind w:right="575" w:firstLine="480"/>
      </w:pPr>
      <w:r>
        <w:rPr/>
        <w:t>Цене поштанских услуга у Европи се значајно разликују од земље до земље. У посматраним европским</w:t>
      </w:r>
      <w:r>
        <w:rPr>
          <w:spacing w:val="-61"/>
        </w:rPr>
        <w:t> </w:t>
      </w:r>
      <w:r>
        <w:rPr/>
        <w:t>земљама поштарина за писмоносну пошиљку до 20 грама у 2010. години кретала се у распону од 0,19 € на</w:t>
      </w:r>
      <w:r>
        <w:rPr>
          <w:spacing w:val="1"/>
        </w:rPr>
        <w:t> </w:t>
      </w:r>
      <w:r>
        <w:rPr/>
        <w:t>Малти, па све до 0,75 € у Норвешкој, док је у Републици Србији у посматраном периоду она износила 0,22 €</w:t>
      </w:r>
      <w:r>
        <w:rPr>
          <w:spacing w:val="-61"/>
        </w:rPr>
        <w:t> </w:t>
      </w:r>
      <w:r>
        <w:rPr/>
        <w:t>(Слика 2.3).</w:t>
      </w:r>
    </w:p>
    <w:p>
      <w:pPr>
        <w:pStyle w:val="BodyText"/>
        <w:spacing w:before="10"/>
        <w:ind w:left="0"/>
        <w:rPr>
          <w:sz w:val="9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2206624</wp:posOffset>
            </wp:positionH>
            <wp:positionV relativeFrom="paragraph">
              <wp:posOffset>100941</wp:posOffset>
            </wp:positionV>
            <wp:extent cx="3657600" cy="2124075"/>
            <wp:effectExtent l="0" t="0" r="0" b="0"/>
            <wp:wrapTopAndBottom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30" w:lineRule="auto" w:before="112"/>
        <w:ind w:right="169" w:firstLine="480"/>
      </w:pPr>
      <w:r>
        <w:rPr/>
        <w:t>Тржиште поштанских услуга у Републици Србији је у великој мери либерализовано, па самим тим су сви</w:t>
      </w:r>
      <w:r>
        <w:rPr>
          <w:spacing w:val="1"/>
        </w:rPr>
        <w:t> </w:t>
      </w:r>
      <w:r>
        <w:rPr/>
        <w:t>ПО, посебно у области експрес услуга, принуђени да развијају конкурентске стратегије. На тај начин се</w:t>
      </w:r>
      <w:r>
        <w:rPr>
          <w:spacing w:val="1"/>
        </w:rPr>
        <w:t> </w:t>
      </w:r>
      <w:r>
        <w:rPr/>
        <w:t>константно повећава брзина и квалитет поштанских услуга, а смањује се њихова цена. Док, с друге стране, због</w:t>
      </w:r>
      <w:r>
        <w:rPr>
          <w:spacing w:val="-61"/>
        </w:rPr>
        <w:t> </w:t>
      </w:r>
      <w:r>
        <w:rPr/>
        <w:t>повећања конкуренције долази и до повећања броја нових услуга, као и до раста инвестиција у овај сектор.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196" w:firstLine="480"/>
      </w:pPr>
      <w:r>
        <w:rPr/>
        <w:t>Значајан раст поштанског сектора у Републици Србији се може остварити путем стварања стабилнијeг</w:t>
      </w:r>
      <w:r>
        <w:rPr>
          <w:spacing w:val="1"/>
        </w:rPr>
        <w:t> </w:t>
      </w:r>
      <w:r>
        <w:rPr/>
        <w:t>пословног окружења, корпоратизације ЈПО и даљом либерализацијом. Либерализација ЈПО и даљи развој</w:t>
      </w:r>
      <w:r>
        <w:rPr>
          <w:spacing w:val="1"/>
        </w:rPr>
        <w:t> </w:t>
      </w:r>
      <w:r>
        <w:rPr/>
        <w:t>поштанског тржишта намећу потребу реструктурирања организационе структуре, повећања ефикасности,</w:t>
      </w:r>
      <w:r>
        <w:rPr>
          <w:spacing w:val="1"/>
        </w:rPr>
        <w:t> </w:t>
      </w:r>
      <w:r>
        <w:rPr/>
        <w:t>смањења трошкова, промене структуре запослених, искоришћења постојеће поштанске мреже на најефикаснији</w:t>
      </w:r>
      <w:r>
        <w:rPr>
          <w:spacing w:val="-61"/>
        </w:rPr>
        <w:t> </w:t>
      </w:r>
      <w:r>
        <w:rPr/>
        <w:t>начин и ширење палете других/додатних услуга које ће бити доступне корисницима у ЈПМ.</w:t>
      </w:r>
    </w:p>
    <w:p>
      <w:pPr>
        <w:pStyle w:val="BodyText"/>
        <w:spacing w:before="143"/>
        <w:ind w:left="599"/>
      </w:pPr>
      <w:r>
        <w:rPr/>
        <w:t>На тржишту поштанских услуга у Републици Србији, поштанске услуге обављају: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ЈПО, који поседује лиценцу за пружањe УПУ, уз ексклузивно право обављања РПУ;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ПО, који поседују одобрења за обављање поштанских услуга.</w:t>
      </w:r>
    </w:p>
    <w:p>
      <w:pPr>
        <w:pStyle w:val="BodyText"/>
        <w:spacing w:line="230" w:lineRule="auto" w:before="149"/>
        <w:ind w:right="133" w:firstLine="480"/>
      </w:pPr>
      <w:r>
        <w:rPr/>
        <w:t>Према званичним подацима РАПУС-а од 4. септембра 2012. године, у Републици Србији, поред ЈПО, укупно</w:t>
      </w:r>
      <w:r>
        <w:rPr>
          <w:spacing w:val="1"/>
        </w:rPr>
        <w:t> </w:t>
      </w:r>
      <w:r>
        <w:rPr/>
        <w:t>47 оператора поседује важеће одобрење за обављање поштанских услуга ван домена УПУ. У 2010. години ЈПО је</w:t>
      </w:r>
      <w:r>
        <w:rPr>
          <w:spacing w:val="-61"/>
        </w:rPr>
        <w:t> </w:t>
      </w:r>
      <w:r>
        <w:rPr/>
        <w:t>добио лиценцу, а 27 оператора је добило одобрења; у 2011. години издато је 13, а у 2012. години још седам</w:t>
      </w:r>
      <w:r>
        <w:rPr>
          <w:spacing w:val="1"/>
        </w:rPr>
        <w:t> </w:t>
      </w:r>
      <w:r>
        <w:rPr/>
        <w:t>одобрења за пружање поштанских услуга. Сви оператори су добили одобрења за временски период од 10</w:t>
      </w:r>
      <w:r>
        <w:rPr>
          <w:spacing w:val="1"/>
        </w:rPr>
        <w:t> </w:t>
      </w:r>
      <w:r>
        <w:rPr/>
        <w:t>година. У односу на место седишта, 37 оператора је регистровано у Београду, три оператора у Новом Саду, два у</w:t>
      </w:r>
      <w:r>
        <w:rPr>
          <w:spacing w:val="-61"/>
        </w:rPr>
        <w:t> </w:t>
      </w:r>
      <w:r>
        <w:rPr/>
        <w:t>Шапцу, а у Сремској Каменици, Руми, Чачку, Кикинди, Нишу и Суботици по један.</w:t>
      </w:r>
    </w:p>
    <w:p>
      <w:pPr>
        <w:pStyle w:val="BodyText"/>
        <w:spacing w:line="230" w:lineRule="auto"/>
        <w:ind w:right="420" w:firstLine="480"/>
      </w:pPr>
      <w:r>
        <w:rPr/>
        <w:t>Према критеријуму врсте услуга, као и територије на којој се пружају те услуге, поштански оператори се</w:t>
      </w:r>
      <w:r>
        <w:rPr>
          <w:spacing w:val="-61"/>
        </w:rPr>
        <w:t> </w:t>
      </w:r>
      <w:r>
        <w:rPr/>
        <w:t>могу разврстати на следећи начин: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190" w:firstLine="480"/>
        <w:jc w:val="left"/>
        <w:rPr>
          <w:sz w:val="18"/>
        </w:rPr>
      </w:pPr>
      <w:r>
        <w:rPr>
          <w:sz w:val="18"/>
        </w:rPr>
        <w:t>43 поштанска оператора су регистровани искључиво за пријем, прераду, превоз и уручење експрес</w:t>
      </w:r>
      <w:r>
        <w:rPr>
          <w:spacing w:val="1"/>
          <w:sz w:val="18"/>
        </w:rPr>
        <w:t> </w:t>
      </w:r>
      <w:r>
        <w:rPr>
          <w:sz w:val="18"/>
        </w:rPr>
        <w:t>пошиљака, међу којима су и глобални приватни оператори </w:t>
      </w:r>
      <w:r>
        <w:rPr>
          <w:i/>
          <w:sz w:val="18"/>
        </w:rPr>
        <w:t>FedEX </w:t>
      </w:r>
      <w:r>
        <w:rPr>
          <w:sz w:val="18"/>
        </w:rPr>
        <w:t>(представник – </w:t>
      </w:r>
      <w:r>
        <w:rPr>
          <w:i/>
          <w:sz w:val="18"/>
        </w:rPr>
        <w:t>Flying cargo </w:t>
      </w:r>
      <w:r>
        <w:rPr>
          <w:sz w:val="18"/>
        </w:rPr>
        <w:t>YU), </w:t>
      </w:r>
      <w:r>
        <w:rPr>
          <w:i/>
          <w:sz w:val="18"/>
        </w:rPr>
        <w:t>TNT</w:t>
      </w:r>
      <w:r>
        <w:rPr>
          <w:i/>
          <w:spacing w:val="1"/>
          <w:sz w:val="18"/>
        </w:rPr>
        <w:t> </w:t>
      </w:r>
      <w:r>
        <w:rPr>
          <w:sz w:val="18"/>
        </w:rPr>
        <w:t>(представник </w:t>
      </w:r>
      <w:r>
        <w:rPr>
          <w:i/>
          <w:sz w:val="18"/>
        </w:rPr>
        <w:t>Tim kop-TNT</w:t>
      </w:r>
      <w:r>
        <w:rPr>
          <w:sz w:val="18"/>
        </w:rPr>
        <w:t>) и </w:t>
      </w:r>
      <w:r>
        <w:rPr>
          <w:i/>
          <w:sz w:val="18"/>
        </w:rPr>
        <w:t>UPS (</w:t>
      </w:r>
      <w:r>
        <w:rPr>
          <w:sz w:val="18"/>
        </w:rPr>
        <w:t>представник </w:t>
      </w:r>
      <w:r>
        <w:rPr>
          <w:i/>
          <w:sz w:val="18"/>
        </w:rPr>
        <w:t>Express courier</w:t>
      </w:r>
      <w:r>
        <w:rPr>
          <w:sz w:val="18"/>
        </w:rPr>
        <w:t>). 32 оператора, обавља делатност на локалном</w:t>
      </w:r>
      <w:r>
        <w:rPr>
          <w:spacing w:val="1"/>
          <w:sz w:val="18"/>
        </w:rPr>
        <w:t> </w:t>
      </w:r>
      <w:r>
        <w:rPr>
          <w:sz w:val="18"/>
        </w:rPr>
        <w:t>нивоу, 16 у националним оквирима. Од наведених шест ПО је укључено и у токове међународног саобраћаја,</w:t>
      </w:r>
      <w:r>
        <w:rPr>
          <w:spacing w:val="1"/>
          <w:sz w:val="18"/>
        </w:rPr>
        <w:t> </w:t>
      </w:r>
      <w:r>
        <w:rPr>
          <w:sz w:val="18"/>
        </w:rPr>
        <w:t>при чему </w:t>
      </w:r>
      <w:r>
        <w:rPr>
          <w:i/>
          <w:sz w:val="18"/>
        </w:rPr>
        <w:t>TNT </w:t>
      </w:r>
      <w:r>
        <w:rPr>
          <w:sz w:val="18"/>
        </w:rPr>
        <w:t>и </w:t>
      </w:r>
      <w:r>
        <w:rPr>
          <w:i/>
          <w:sz w:val="18"/>
        </w:rPr>
        <w:t>UPS </w:t>
      </w:r>
      <w:r>
        <w:rPr>
          <w:sz w:val="18"/>
        </w:rPr>
        <w:t>и поред тога што поседују дозволу за обављање експрес услуга на територији Републике</w:t>
      </w:r>
      <w:r>
        <w:rPr>
          <w:spacing w:val="1"/>
          <w:sz w:val="18"/>
        </w:rPr>
        <w:t> </w:t>
      </w:r>
      <w:r>
        <w:rPr>
          <w:sz w:val="18"/>
        </w:rPr>
        <w:t>Србије тренутно услуге пружају само у МПС. Од укупног броја оператора који раде на локалном нивоу, 24</w:t>
      </w:r>
      <w:r>
        <w:rPr>
          <w:spacing w:val="1"/>
          <w:sz w:val="18"/>
        </w:rPr>
        <w:t> </w:t>
      </w:r>
      <w:r>
        <w:rPr>
          <w:sz w:val="18"/>
        </w:rPr>
        <w:t>оператора пружа услуге искључиво на територији града Београда, два оператора искључиво на територији</w:t>
      </w:r>
      <w:r>
        <w:rPr>
          <w:spacing w:val="1"/>
          <w:sz w:val="18"/>
        </w:rPr>
        <w:t> </w:t>
      </w:r>
      <w:r>
        <w:rPr>
          <w:sz w:val="18"/>
        </w:rPr>
        <w:t>Новог Сада, док шест оператора поред Београда и Новог Сада покривају Ниш, Севернобачки округ, Ириг, Руму и</w:t>
      </w:r>
      <w:r>
        <w:rPr>
          <w:spacing w:val="-61"/>
          <w:sz w:val="18"/>
        </w:rPr>
        <w:t> </w:t>
      </w:r>
      <w:r>
        <w:rPr>
          <w:sz w:val="18"/>
        </w:rPr>
        <w:t>Бачку Паланку;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49" w:after="0"/>
        <w:ind w:left="119" w:right="359" w:firstLine="480"/>
        <w:jc w:val="left"/>
        <w:rPr>
          <w:sz w:val="18"/>
        </w:rPr>
      </w:pPr>
      <w:r>
        <w:rPr>
          <w:sz w:val="18"/>
        </w:rPr>
        <w:t>два оператора који су регистровани за обављање услуга пријема, прераде, превоза и уручења како</w:t>
      </w:r>
      <w:r>
        <w:rPr>
          <w:spacing w:val="1"/>
          <w:sz w:val="18"/>
        </w:rPr>
        <w:t> </w:t>
      </w:r>
      <w:r>
        <w:rPr>
          <w:sz w:val="18"/>
        </w:rPr>
        <w:t>експрес пошиљака, тако и пакета масе веће од 10kg, „</w:t>
      </w:r>
      <w:r>
        <w:rPr>
          <w:i/>
          <w:sz w:val="18"/>
        </w:rPr>
        <w:t>New Balkan trans</w:t>
      </w:r>
      <w:r>
        <w:rPr>
          <w:sz w:val="18"/>
        </w:rPr>
        <w:t>” послује на националном нивоу, а „</w:t>
      </w:r>
      <w:r>
        <w:rPr>
          <w:i/>
          <w:sz w:val="18"/>
        </w:rPr>
        <w:t>City</w:t>
      </w:r>
      <w:r>
        <w:rPr>
          <w:i/>
          <w:spacing w:val="-62"/>
          <w:sz w:val="18"/>
        </w:rPr>
        <w:t> </w:t>
      </w:r>
      <w:r>
        <w:rPr>
          <w:sz w:val="18"/>
        </w:rPr>
        <w:t>dostava”</w:t>
      </w:r>
      <w:r>
        <w:rPr>
          <w:spacing w:val="-1"/>
          <w:sz w:val="18"/>
        </w:rPr>
        <w:t> </w:t>
      </w:r>
      <w:r>
        <w:rPr>
          <w:sz w:val="18"/>
        </w:rPr>
        <w:t>покрива градове Београд, Нови Сад и Бачку Паланку;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117" w:firstLine="480"/>
        <w:jc w:val="left"/>
        <w:rPr>
          <w:i/>
          <w:sz w:val="18"/>
        </w:rPr>
      </w:pPr>
      <w:r>
        <w:rPr>
          <w:sz w:val="18"/>
        </w:rPr>
        <w:t>три операторa који су поред претходно наведених услуга регистровани и за пружање услуга пријема,</w:t>
      </w:r>
      <w:r>
        <w:rPr>
          <w:spacing w:val="1"/>
          <w:sz w:val="18"/>
        </w:rPr>
        <w:t> </w:t>
      </w:r>
      <w:r>
        <w:rPr>
          <w:sz w:val="18"/>
        </w:rPr>
        <w:t>прераде и превоза међународних пакета у полазу из Републике Србије, масе веће од 10 kg, као и услуга прераде</w:t>
      </w:r>
      <w:r>
        <w:rPr>
          <w:spacing w:val="-61"/>
          <w:sz w:val="18"/>
        </w:rPr>
        <w:t> </w:t>
      </w:r>
      <w:r>
        <w:rPr>
          <w:sz w:val="18"/>
        </w:rPr>
        <w:t>и уручења међународних пакета масе веће од 20 kg у долазу, међу којима је и „</w:t>
      </w:r>
      <w:r>
        <w:rPr>
          <w:i/>
          <w:sz w:val="18"/>
        </w:rPr>
        <w:t>DHL International” </w:t>
      </w:r>
      <w:r>
        <w:rPr>
          <w:sz w:val="18"/>
        </w:rPr>
        <w:t>који своје</w:t>
      </w:r>
      <w:r>
        <w:rPr>
          <w:spacing w:val="1"/>
          <w:sz w:val="18"/>
        </w:rPr>
        <w:t> </w:t>
      </w:r>
      <w:r>
        <w:rPr>
          <w:sz w:val="18"/>
        </w:rPr>
        <w:t>услуге врши, како на територији Републике Србије, тако и на међународном нивоу, док „</w:t>
      </w:r>
      <w:r>
        <w:rPr>
          <w:i/>
          <w:sz w:val="18"/>
        </w:rPr>
        <w:t>YU PD EXPRESS-D</w:t>
      </w:r>
    </w:p>
    <w:p>
      <w:pPr>
        <w:pStyle w:val="BodyText"/>
        <w:spacing w:line="211" w:lineRule="exact" w:before="0"/>
      </w:pPr>
      <w:r>
        <w:rPr>
          <w:i/>
        </w:rPr>
        <w:t>Express”</w:t>
      </w:r>
      <w:r>
        <w:rPr/>
        <w:t>,</w:t>
      </w:r>
      <w:r>
        <w:rPr>
          <w:spacing w:val="-2"/>
        </w:rPr>
        <w:t> </w:t>
      </w:r>
      <w:r>
        <w:rPr/>
        <w:t>услуге</w:t>
      </w:r>
      <w:r>
        <w:rPr>
          <w:spacing w:val="-1"/>
        </w:rPr>
        <w:t> </w:t>
      </w:r>
      <w:r>
        <w:rPr/>
        <w:t>обавља</w:t>
      </w:r>
      <w:r>
        <w:rPr>
          <w:spacing w:val="-2"/>
        </w:rPr>
        <w:t> </w:t>
      </w:r>
      <w:r>
        <w:rPr/>
        <w:t>само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националном</w:t>
      </w:r>
      <w:r>
        <w:rPr>
          <w:spacing w:val="-1"/>
        </w:rPr>
        <w:t> </w:t>
      </w:r>
      <w:r>
        <w:rPr/>
        <w:t>нивоу.</w:t>
      </w:r>
      <w:r>
        <w:rPr>
          <w:spacing w:val="-2"/>
        </w:rPr>
        <w:t> </w:t>
      </w:r>
      <w:r>
        <w:rPr/>
        <w:t>Tрећи</w:t>
      </w:r>
      <w:r>
        <w:rPr>
          <w:spacing w:val="-1"/>
        </w:rPr>
        <w:t> </w:t>
      </w:r>
      <w:r>
        <w:rPr/>
        <w:t>оператoр</w:t>
      </w:r>
      <w:r>
        <w:rPr>
          <w:spacing w:val="-1"/>
        </w:rPr>
        <w:t> </w:t>
      </w:r>
      <w:r>
        <w:rPr/>
        <w:t>је</w:t>
      </w:r>
      <w:r>
        <w:rPr>
          <w:spacing w:val="-2"/>
        </w:rPr>
        <w:t> </w:t>
      </w:r>
      <w:r>
        <w:rPr/>
        <w:t>ЈП</w:t>
      </w:r>
      <w:r>
        <w:rPr>
          <w:spacing w:val="-1"/>
        </w:rPr>
        <w:t> </w:t>
      </w:r>
      <w:r>
        <w:rPr/>
        <w:t>ПТТ</w:t>
      </w:r>
      <w:r>
        <w:rPr>
          <w:spacing w:val="-2"/>
        </w:rPr>
        <w:t> </w:t>
      </w:r>
      <w:r>
        <w:rPr/>
        <w:t>саобраћаја</w:t>
      </w:r>
      <w:r>
        <w:rPr>
          <w:spacing w:val="-1"/>
        </w:rPr>
        <w:t> </w:t>
      </w:r>
      <w:r>
        <w:rPr/>
        <w:t>„Србија”.</w:t>
      </w:r>
    </w:p>
    <w:p>
      <w:pPr>
        <w:pStyle w:val="BodyText"/>
        <w:spacing w:line="230" w:lineRule="auto" w:before="149"/>
        <w:ind w:right="578" w:firstLine="480"/>
      </w:pPr>
      <w:r>
        <w:rPr/>
        <w:t>Као основни показатељи развијености поштанског тржишта у Републици Србији могу се узети број</w:t>
      </w:r>
      <w:r>
        <w:rPr>
          <w:spacing w:val="1"/>
        </w:rPr>
        <w:t> </w:t>
      </w:r>
      <w:r>
        <w:rPr/>
        <w:t>становника по ЈПМ, број поштанских сандучића на 10.000 становника, као и број писмоносних пошиљака по</w:t>
      </w:r>
      <w:r>
        <w:rPr>
          <w:spacing w:val="-61"/>
        </w:rPr>
        <w:t> </w:t>
      </w:r>
      <w:r>
        <w:rPr/>
        <w:t>становнику годишње.</w:t>
      </w:r>
    </w:p>
    <w:p>
      <w:pPr>
        <w:pStyle w:val="BodyText"/>
        <w:spacing w:line="230" w:lineRule="auto"/>
        <w:ind w:right="102" w:firstLine="480"/>
      </w:pPr>
      <w:r>
        <w:rPr/>
        <w:t>Број ЈПМ и број поштанских сандучића на 10.000 становника представљају индикаторе доступности</w:t>
      </w:r>
      <w:r>
        <w:rPr>
          <w:spacing w:val="1"/>
        </w:rPr>
        <w:t> </w:t>
      </w:r>
      <w:r>
        <w:rPr/>
        <w:t>поштанске мреже. У поређењу са осталим европским земљама (Слика 2.4.) доступност поштанских услуга, када</w:t>
      </w:r>
      <w:r>
        <w:rPr>
          <w:spacing w:val="1"/>
        </w:rPr>
        <w:t> </w:t>
      </w:r>
      <w:r>
        <w:rPr/>
        <w:t>се</w:t>
      </w:r>
      <w:r>
        <w:rPr>
          <w:spacing w:val="-1"/>
        </w:rPr>
        <w:t> </w:t>
      </w:r>
      <w:r>
        <w:rPr/>
        <w:t>ради</w:t>
      </w:r>
      <w:r>
        <w:rPr>
          <w:spacing w:val="-1"/>
        </w:rPr>
        <w:t> </w:t>
      </w:r>
      <w:r>
        <w:rPr/>
        <w:t>о</w:t>
      </w:r>
      <w:r>
        <w:rPr>
          <w:spacing w:val="-1"/>
        </w:rPr>
        <w:t> </w:t>
      </w:r>
      <w:r>
        <w:rPr/>
        <w:t>ЈПМ,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Републици</w:t>
      </w:r>
      <w:r>
        <w:rPr>
          <w:spacing w:val="-1"/>
        </w:rPr>
        <w:t> </w:t>
      </w:r>
      <w:r>
        <w:rPr/>
        <w:t>Србији је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нивоу</w:t>
      </w:r>
      <w:r>
        <w:rPr>
          <w:spacing w:val="-1"/>
        </w:rPr>
        <w:t> </w:t>
      </w:r>
      <w:r>
        <w:rPr/>
        <w:t>европског</w:t>
      </w:r>
      <w:r>
        <w:rPr>
          <w:spacing w:val="-1"/>
        </w:rPr>
        <w:t> </w:t>
      </w:r>
      <w:r>
        <w:rPr/>
        <w:t>просека</w:t>
      </w:r>
      <w:r>
        <w:rPr>
          <w:spacing w:val="-1"/>
        </w:rPr>
        <w:t> </w:t>
      </w:r>
      <w:r>
        <w:rPr/>
        <w:t>са 4.821</w:t>
      </w:r>
      <w:r>
        <w:rPr>
          <w:spacing w:val="-1"/>
        </w:rPr>
        <w:t> </w:t>
      </w:r>
      <w:r>
        <w:rPr/>
        <w:t>становником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ЈПМ</w:t>
      </w:r>
      <w:r>
        <w:rPr>
          <w:spacing w:val="-1"/>
        </w:rPr>
        <w:t> </w:t>
      </w:r>
      <w:r>
        <w:rPr/>
        <w:t>(4.153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Европи).</w:t>
      </w:r>
    </w:p>
    <w:p>
      <w:pPr>
        <w:pStyle w:val="BodyText"/>
        <w:spacing w:before="10"/>
        <w:ind w:left="0"/>
        <w:rPr>
          <w:sz w:val="9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2092324</wp:posOffset>
            </wp:positionH>
            <wp:positionV relativeFrom="paragraph">
              <wp:posOffset>100888</wp:posOffset>
            </wp:positionV>
            <wp:extent cx="3886199" cy="2114550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199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30" w:lineRule="auto" w:before="112"/>
        <w:ind w:right="486" w:firstLine="480"/>
      </w:pPr>
      <w:r>
        <w:rPr/>
        <w:t>С друге стране, када је реч о броју поштанских сандучића на 10.000 становника (Слика 2.5) Република</w:t>
      </w:r>
      <w:r>
        <w:rPr>
          <w:spacing w:val="1"/>
        </w:rPr>
        <w:t> </w:t>
      </w:r>
      <w:r>
        <w:rPr/>
        <w:t>Србија се са три сандучића налази далеко испод европског просека од 14,5 сандучића на 10.000 становника,</w:t>
      </w:r>
      <w:r>
        <w:rPr>
          <w:spacing w:val="-61"/>
        </w:rPr>
        <w:t> </w:t>
      </w:r>
      <w:r>
        <w:rPr/>
        <w:t>што у извесној мери може да представља проблем у вези са доступношћу поштанских услуга, нарочито у</w:t>
      </w:r>
      <w:r>
        <w:rPr>
          <w:spacing w:val="1"/>
        </w:rPr>
        <w:t> </w:t>
      </w:r>
      <w:r>
        <w:rPr/>
        <w:t>руралним и мање развијеним подручјима.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p>
      <w:pPr>
        <w:pStyle w:val="BodyText"/>
        <w:spacing w:before="0"/>
        <w:ind w:left="2730"/>
        <w:rPr>
          <w:sz w:val="20"/>
        </w:rPr>
      </w:pPr>
      <w:r>
        <w:rPr>
          <w:sz w:val="20"/>
        </w:rPr>
        <w:drawing>
          <wp:inline distT="0" distB="0" distL="0" distR="0">
            <wp:extent cx="3876675" cy="2095500"/>
            <wp:effectExtent l="0" t="0" r="0" b="0"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30" w:lineRule="auto" w:before="141"/>
        <w:ind w:right="226" w:firstLine="480"/>
        <w:jc w:val="both"/>
      </w:pPr>
      <w:r>
        <w:rPr/>
        <w:t>Ако се посматра укупан број писмоносних пошиљака по становнику (Слика 2.6), који у европским земљама</w:t>
      </w:r>
      <w:r>
        <w:rPr>
          <w:spacing w:val="-61"/>
        </w:rPr>
        <w:t> </w:t>
      </w:r>
      <w:r>
        <w:rPr/>
        <w:t>износи 121 пошиљку годишње, може се закључити да Република Србија са 42 пошиљке годишње (иако је испод</w:t>
      </w:r>
      <w:r>
        <w:rPr>
          <w:spacing w:val="-61"/>
        </w:rPr>
        <w:t> </w:t>
      </w:r>
      <w:r>
        <w:rPr/>
        <w:t>европског просека) има потенцијал за даљи раст укупног броја писмоносних пошиљака.</w:t>
      </w:r>
    </w:p>
    <w:p>
      <w:pPr>
        <w:pStyle w:val="BodyText"/>
        <w:spacing w:before="10"/>
        <w:ind w:left="0"/>
        <w:rPr>
          <w:sz w:val="9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2092324</wp:posOffset>
            </wp:positionH>
            <wp:positionV relativeFrom="paragraph">
              <wp:posOffset>100946</wp:posOffset>
            </wp:positionV>
            <wp:extent cx="3886200" cy="2590800"/>
            <wp:effectExtent l="0" t="0" r="0" b="0"/>
            <wp:wrapTopAndBottom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9" w:lineRule="auto" w:before="105"/>
        <w:ind w:right="131" w:firstLine="480"/>
      </w:pPr>
      <w:r>
        <w:rPr/>
        <w:t>Тржиште поштанских услуга у Републици Србији бележи раст у периоду од 2005. до 2011. године од укупно</w:t>
      </w:r>
      <w:r>
        <w:rPr>
          <w:spacing w:val="-61"/>
        </w:rPr>
        <w:t> </w:t>
      </w:r>
      <w:r>
        <w:rPr/>
        <w:t>40% (Слика 2.7). Укупан број поштанских пошиљака порастао је са 226 милиона у 2005. години на нешто више</w:t>
      </w:r>
      <w:r>
        <w:rPr>
          <w:spacing w:val="1"/>
        </w:rPr>
        <w:t> </w:t>
      </w:r>
      <w:r>
        <w:rPr/>
        <w:t>од</w:t>
      </w:r>
      <w:r>
        <w:rPr>
          <w:spacing w:val="-1"/>
        </w:rPr>
        <w:t> </w:t>
      </w:r>
      <w:r>
        <w:rPr/>
        <w:t>317 милиона пошиљака у 2011. години</w:t>
      </w:r>
      <w:r>
        <w:rPr>
          <w:position w:val="7"/>
          <w:sz w:val="15"/>
        </w:rPr>
        <w:t>3</w:t>
      </w:r>
      <w:r>
        <w:rPr/>
        <w:t>.</w:t>
      </w:r>
    </w:p>
    <w:p>
      <w:pPr>
        <w:pStyle w:val="BodyText"/>
        <w:spacing w:before="0"/>
        <w:ind w:left="0"/>
        <w:rPr>
          <w:sz w:val="9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2101849</wp:posOffset>
            </wp:positionH>
            <wp:positionV relativeFrom="paragraph">
              <wp:posOffset>94380</wp:posOffset>
            </wp:positionV>
            <wp:extent cx="3886200" cy="2286000"/>
            <wp:effectExtent l="0" t="0" r="0" b="0"/>
            <wp:wrapTopAndBottom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30" w:lineRule="auto" w:before="142"/>
        <w:ind w:right="249" w:firstLine="480"/>
      </w:pPr>
      <w:r>
        <w:rPr/>
        <w:t>Међутим, појединачни годишњи раст поштанских услуга у Републици Србији је доста неуједначен (Слика</w:t>
      </w:r>
      <w:r>
        <w:rPr>
          <w:spacing w:val="1"/>
        </w:rPr>
        <w:t> </w:t>
      </w:r>
      <w:r>
        <w:rPr/>
        <w:t>2.8). У првој години посматраног периода укупан број услуга је порастао за 16,8% и тренд раста, мада</w:t>
      </w:r>
      <w:r>
        <w:rPr>
          <w:spacing w:val="1"/>
        </w:rPr>
        <w:t> </w:t>
      </w:r>
      <w:r>
        <w:rPr/>
        <w:t>неуједначен, наставио се до 2008. године. У 2009. години забележен је пад укупног обима услуга за 6%. Даљи,</w:t>
      </w:r>
      <w:r>
        <w:rPr>
          <w:spacing w:val="-61"/>
        </w:rPr>
        <w:t> </w:t>
      </w:r>
      <w:r>
        <w:rPr/>
        <w:t>али нешто успоренији, раст настављен је и у последњим годинама посматраног периода.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p>
      <w:pPr>
        <w:pStyle w:val="BodyText"/>
        <w:spacing w:before="0"/>
        <w:ind w:left="2730"/>
        <w:rPr>
          <w:sz w:val="20"/>
        </w:rPr>
      </w:pPr>
      <w:r>
        <w:rPr>
          <w:sz w:val="20"/>
        </w:rPr>
        <w:drawing>
          <wp:inline distT="0" distB="0" distL="0" distR="0">
            <wp:extent cx="3886200" cy="2343150"/>
            <wp:effectExtent l="0" t="0" r="0" b="0"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30" w:lineRule="auto" w:before="141"/>
        <w:ind w:right="172" w:firstLine="480"/>
      </w:pPr>
      <w:r>
        <w:rPr/>
        <w:t>На поштанском тржишту Републике Србије у 2011. години реализовањем више од 317 милиона услуга</w:t>
      </w:r>
      <w:r>
        <w:rPr>
          <w:spacing w:val="1"/>
        </w:rPr>
        <w:t> </w:t>
      </w:r>
      <w:r>
        <w:rPr/>
        <w:t>остварен је приход од око 11,8 милијарди динара (Табела 2.1). У односу на 2010. годину обим услуга је повећан</w:t>
      </w:r>
      <w:r>
        <w:rPr>
          <w:spacing w:val="-61"/>
        </w:rPr>
        <w:t> </w:t>
      </w:r>
      <w:r>
        <w:rPr/>
        <w:t>за 4%, а раст прихода за 9%.</w:t>
      </w:r>
    </w:p>
    <w:p>
      <w:pPr>
        <w:pStyle w:val="BodyText"/>
        <w:spacing w:line="230" w:lineRule="auto"/>
        <w:ind w:right="303" w:firstLine="480"/>
      </w:pPr>
      <w:r>
        <w:rPr/>
        <w:t>ЈПО је реализовао 308,7 милиона услуга и остварио приход око 8,3 милијарди динара. Обим услуга ЈПО је</w:t>
      </w:r>
      <w:r>
        <w:rPr>
          <w:spacing w:val="-61"/>
        </w:rPr>
        <w:t> </w:t>
      </w:r>
      <w:r>
        <w:rPr/>
        <w:t>повећан за 4%, а раст прихода за 6% у односу на 2010. годину. Учешће реализованих услуга ЈПО у укупном</w:t>
      </w:r>
      <w:r>
        <w:rPr>
          <w:spacing w:val="1"/>
        </w:rPr>
        <w:t> </w:t>
      </w:r>
      <w:r>
        <w:rPr/>
        <w:t>обиму је 97%, односно 70% у оствареном приходу.</w:t>
      </w:r>
    </w:p>
    <w:p>
      <w:pPr>
        <w:pStyle w:val="BodyText"/>
        <w:spacing w:line="268" w:lineRule="auto" w:before="143"/>
        <w:ind w:right="699" w:firstLine="480"/>
      </w:pPr>
      <w:r>
        <w:rPr/>
        <w:t>Остали ПО реализовали су 8,4 милиона услуга и остварили приход од око 3,5 милијарди динара, обим</w:t>
      </w:r>
      <w:r>
        <w:rPr>
          <w:spacing w:val="-61"/>
        </w:rPr>
        <w:t> </w:t>
      </w:r>
      <w:r>
        <w:rPr/>
        <w:t>услуга</w:t>
      </w:r>
      <w:r>
        <w:rPr>
          <w:spacing w:val="-1"/>
        </w:rPr>
        <w:t> </w:t>
      </w:r>
      <w:r>
        <w:rPr/>
        <w:t>је повећан за 1%, док су приходи повећани за 18% у односу на 2010. годину</w:t>
      </w:r>
      <w:r>
        <w:rPr>
          <w:position w:val="7"/>
          <w:sz w:val="15"/>
        </w:rPr>
        <w:t>4</w:t>
      </w:r>
      <w:r>
        <w:rPr/>
        <w:t>.</w:t>
      </w:r>
    </w:p>
    <w:p>
      <w:pPr>
        <w:pStyle w:val="BodyText"/>
        <w:spacing w:before="115"/>
        <w:ind w:left="599"/>
      </w:pPr>
      <w:r>
        <w:rPr/>
        <w:t>Табела 2.1 Структура тржишта поштанских услуга по операторима 2011/2010.</w:t>
      </w:r>
    </w:p>
    <w:p>
      <w:pPr>
        <w:pStyle w:val="BodyText"/>
        <w:spacing w:before="11"/>
        <w:ind w:left="0"/>
        <w:rPr>
          <w:sz w:val="12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0"/>
        <w:gridCol w:w="2520"/>
        <w:gridCol w:w="2550"/>
        <w:gridCol w:w="2040"/>
        <w:gridCol w:w="2070"/>
      </w:tblGrid>
      <w:tr>
        <w:trPr>
          <w:trHeight w:val="389" w:hRule="atLeast"/>
        </w:trPr>
        <w:tc>
          <w:tcPr>
            <w:tcW w:w="1650" w:type="dxa"/>
            <w:vMerge w:val="restart"/>
          </w:tcPr>
          <w:p>
            <w:pPr>
              <w:pStyle w:val="TableParagraph"/>
              <w:spacing w:line="240" w:lineRule="auto" w:before="194"/>
              <w:ind w:left="335"/>
              <w:rPr>
                <w:sz w:val="18"/>
              </w:rPr>
            </w:pPr>
            <w:r>
              <w:rPr>
                <w:sz w:val="18"/>
              </w:rPr>
              <w:t>Оператори</w:t>
            </w:r>
          </w:p>
        </w:tc>
        <w:tc>
          <w:tcPr>
            <w:tcW w:w="5070" w:type="dxa"/>
            <w:gridSpan w:val="2"/>
          </w:tcPr>
          <w:p>
            <w:pPr>
              <w:pStyle w:val="TableParagraph"/>
              <w:ind w:left="917"/>
              <w:rPr>
                <w:sz w:val="18"/>
              </w:rPr>
            </w:pPr>
            <w:r>
              <w:rPr>
                <w:sz w:val="18"/>
              </w:rPr>
              <w:t>Обим услуга у хиљадама јединица</w:t>
            </w:r>
          </w:p>
        </w:tc>
        <w:tc>
          <w:tcPr>
            <w:tcW w:w="4110" w:type="dxa"/>
            <w:gridSpan w:val="2"/>
          </w:tcPr>
          <w:p>
            <w:pPr>
              <w:pStyle w:val="TableParagraph"/>
              <w:ind w:left="767"/>
              <w:rPr>
                <w:sz w:val="18"/>
              </w:rPr>
            </w:pPr>
            <w:r>
              <w:rPr>
                <w:sz w:val="18"/>
              </w:rPr>
              <w:t>Приход у хиљадама динара</w:t>
            </w:r>
          </w:p>
        </w:tc>
      </w:tr>
      <w:tr>
        <w:trPr>
          <w:trHeight w:val="389" w:hRule="atLeast"/>
        </w:trPr>
        <w:tc>
          <w:tcPr>
            <w:tcW w:w="16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>
            <w:pPr>
              <w:pStyle w:val="TableParagraph"/>
              <w:ind w:left="878" w:right="833"/>
              <w:jc w:val="center"/>
              <w:rPr>
                <w:sz w:val="18"/>
              </w:rPr>
            </w:pPr>
            <w:r>
              <w:rPr>
                <w:sz w:val="18"/>
              </w:rPr>
              <w:t>2010.</w:t>
            </w:r>
          </w:p>
        </w:tc>
        <w:tc>
          <w:tcPr>
            <w:tcW w:w="2550" w:type="dxa"/>
          </w:tcPr>
          <w:p>
            <w:pPr>
              <w:pStyle w:val="TableParagraph"/>
              <w:ind w:left="893" w:right="848"/>
              <w:jc w:val="center"/>
              <w:rPr>
                <w:sz w:val="18"/>
              </w:rPr>
            </w:pPr>
            <w:r>
              <w:rPr>
                <w:sz w:val="18"/>
              </w:rPr>
              <w:t>2011.</w:t>
            </w:r>
          </w:p>
        </w:tc>
        <w:tc>
          <w:tcPr>
            <w:tcW w:w="2040" w:type="dxa"/>
          </w:tcPr>
          <w:p>
            <w:pPr>
              <w:pStyle w:val="TableParagraph"/>
              <w:ind w:left="491" w:right="446"/>
              <w:jc w:val="center"/>
              <w:rPr>
                <w:sz w:val="18"/>
              </w:rPr>
            </w:pPr>
            <w:r>
              <w:rPr>
                <w:sz w:val="18"/>
              </w:rPr>
              <w:t>2010.</w:t>
            </w:r>
          </w:p>
        </w:tc>
        <w:tc>
          <w:tcPr>
            <w:tcW w:w="2070" w:type="dxa"/>
          </w:tcPr>
          <w:p>
            <w:pPr>
              <w:pStyle w:val="TableParagraph"/>
              <w:ind w:left="506" w:right="461"/>
              <w:jc w:val="center"/>
              <w:rPr>
                <w:sz w:val="18"/>
              </w:rPr>
            </w:pPr>
            <w:r>
              <w:rPr>
                <w:sz w:val="18"/>
              </w:rPr>
              <w:t>2011.</w:t>
            </w:r>
          </w:p>
        </w:tc>
      </w:tr>
      <w:tr>
        <w:trPr>
          <w:trHeight w:val="389" w:hRule="atLeast"/>
        </w:trPr>
        <w:tc>
          <w:tcPr>
            <w:tcW w:w="16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ЈПО</w:t>
            </w:r>
          </w:p>
        </w:tc>
        <w:tc>
          <w:tcPr>
            <w:tcW w:w="2520" w:type="dxa"/>
          </w:tcPr>
          <w:p>
            <w:pPr>
              <w:pStyle w:val="TableParagraph"/>
              <w:ind w:left="878" w:right="833"/>
              <w:jc w:val="center"/>
              <w:rPr>
                <w:sz w:val="18"/>
              </w:rPr>
            </w:pPr>
            <w:r>
              <w:rPr>
                <w:sz w:val="18"/>
              </w:rPr>
              <w:t>296.948</w:t>
            </w:r>
          </w:p>
        </w:tc>
        <w:tc>
          <w:tcPr>
            <w:tcW w:w="2550" w:type="dxa"/>
          </w:tcPr>
          <w:p>
            <w:pPr>
              <w:pStyle w:val="TableParagraph"/>
              <w:ind w:left="893" w:right="848"/>
              <w:jc w:val="center"/>
              <w:rPr>
                <w:sz w:val="18"/>
              </w:rPr>
            </w:pPr>
            <w:r>
              <w:rPr>
                <w:sz w:val="18"/>
              </w:rPr>
              <w:t>308.776</w:t>
            </w:r>
          </w:p>
        </w:tc>
        <w:tc>
          <w:tcPr>
            <w:tcW w:w="2040" w:type="dxa"/>
          </w:tcPr>
          <w:p>
            <w:pPr>
              <w:pStyle w:val="TableParagraph"/>
              <w:ind w:left="491" w:right="446"/>
              <w:jc w:val="center"/>
              <w:rPr>
                <w:sz w:val="18"/>
              </w:rPr>
            </w:pPr>
            <w:r>
              <w:rPr>
                <w:sz w:val="18"/>
              </w:rPr>
              <w:t>7.838.299</w:t>
            </w:r>
          </w:p>
        </w:tc>
        <w:tc>
          <w:tcPr>
            <w:tcW w:w="2070" w:type="dxa"/>
          </w:tcPr>
          <w:p>
            <w:pPr>
              <w:pStyle w:val="TableParagraph"/>
              <w:ind w:left="506" w:right="461"/>
              <w:jc w:val="center"/>
              <w:rPr>
                <w:sz w:val="18"/>
              </w:rPr>
            </w:pPr>
            <w:r>
              <w:rPr>
                <w:sz w:val="18"/>
              </w:rPr>
              <w:t>8.288.123</w:t>
            </w:r>
          </w:p>
        </w:tc>
      </w:tr>
      <w:tr>
        <w:trPr>
          <w:trHeight w:val="389" w:hRule="atLeast"/>
        </w:trPr>
        <w:tc>
          <w:tcPr>
            <w:tcW w:w="16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Остали</w:t>
            </w:r>
          </w:p>
        </w:tc>
        <w:tc>
          <w:tcPr>
            <w:tcW w:w="2520" w:type="dxa"/>
          </w:tcPr>
          <w:p>
            <w:pPr>
              <w:pStyle w:val="TableParagraph"/>
              <w:ind w:left="878" w:right="833"/>
              <w:jc w:val="center"/>
              <w:rPr>
                <w:sz w:val="18"/>
              </w:rPr>
            </w:pPr>
            <w:r>
              <w:rPr>
                <w:sz w:val="18"/>
              </w:rPr>
              <w:t>8.300</w:t>
            </w:r>
          </w:p>
        </w:tc>
        <w:tc>
          <w:tcPr>
            <w:tcW w:w="2550" w:type="dxa"/>
          </w:tcPr>
          <w:p>
            <w:pPr>
              <w:pStyle w:val="TableParagraph"/>
              <w:ind w:left="893" w:right="848"/>
              <w:jc w:val="center"/>
              <w:rPr>
                <w:sz w:val="18"/>
              </w:rPr>
            </w:pPr>
            <w:r>
              <w:rPr>
                <w:sz w:val="18"/>
              </w:rPr>
              <w:t>8.393</w:t>
            </w:r>
          </w:p>
        </w:tc>
        <w:tc>
          <w:tcPr>
            <w:tcW w:w="2040" w:type="dxa"/>
          </w:tcPr>
          <w:p>
            <w:pPr>
              <w:pStyle w:val="TableParagraph"/>
              <w:ind w:left="491" w:right="446"/>
              <w:jc w:val="center"/>
              <w:rPr>
                <w:sz w:val="18"/>
              </w:rPr>
            </w:pPr>
            <w:r>
              <w:rPr>
                <w:sz w:val="18"/>
              </w:rPr>
              <w:t>3.001.160</w:t>
            </w:r>
          </w:p>
        </w:tc>
        <w:tc>
          <w:tcPr>
            <w:tcW w:w="2070" w:type="dxa"/>
          </w:tcPr>
          <w:p>
            <w:pPr>
              <w:pStyle w:val="TableParagraph"/>
              <w:ind w:left="506" w:right="461"/>
              <w:jc w:val="center"/>
              <w:rPr>
                <w:sz w:val="18"/>
              </w:rPr>
            </w:pPr>
            <w:r>
              <w:rPr>
                <w:sz w:val="18"/>
              </w:rPr>
              <w:t>3.546.475</w:t>
            </w:r>
          </w:p>
        </w:tc>
      </w:tr>
      <w:tr>
        <w:trPr>
          <w:trHeight w:val="389" w:hRule="atLeast"/>
        </w:trPr>
        <w:tc>
          <w:tcPr>
            <w:tcW w:w="16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Укупно</w:t>
            </w:r>
          </w:p>
        </w:tc>
        <w:tc>
          <w:tcPr>
            <w:tcW w:w="2520" w:type="dxa"/>
          </w:tcPr>
          <w:p>
            <w:pPr>
              <w:pStyle w:val="TableParagraph"/>
              <w:ind w:left="878" w:right="833"/>
              <w:jc w:val="center"/>
              <w:rPr>
                <w:sz w:val="18"/>
              </w:rPr>
            </w:pPr>
            <w:r>
              <w:rPr>
                <w:sz w:val="18"/>
              </w:rPr>
              <w:t>305.248</w:t>
            </w:r>
          </w:p>
        </w:tc>
        <w:tc>
          <w:tcPr>
            <w:tcW w:w="2550" w:type="dxa"/>
          </w:tcPr>
          <w:p>
            <w:pPr>
              <w:pStyle w:val="TableParagraph"/>
              <w:ind w:left="893" w:right="848"/>
              <w:jc w:val="center"/>
              <w:rPr>
                <w:sz w:val="18"/>
              </w:rPr>
            </w:pPr>
            <w:r>
              <w:rPr>
                <w:sz w:val="18"/>
              </w:rPr>
              <w:t>317.169</w:t>
            </w:r>
          </w:p>
        </w:tc>
        <w:tc>
          <w:tcPr>
            <w:tcW w:w="2040" w:type="dxa"/>
          </w:tcPr>
          <w:p>
            <w:pPr>
              <w:pStyle w:val="TableParagraph"/>
              <w:ind w:left="491" w:right="446"/>
              <w:jc w:val="center"/>
              <w:rPr>
                <w:sz w:val="18"/>
              </w:rPr>
            </w:pPr>
            <w:r>
              <w:rPr>
                <w:sz w:val="18"/>
              </w:rPr>
              <w:t>10.839.459</w:t>
            </w:r>
          </w:p>
        </w:tc>
        <w:tc>
          <w:tcPr>
            <w:tcW w:w="2070" w:type="dxa"/>
          </w:tcPr>
          <w:p>
            <w:pPr>
              <w:pStyle w:val="TableParagraph"/>
              <w:ind w:left="506" w:right="461"/>
              <w:jc w:val="center"/>
              <w:rPr>
                <w:sz w:val="18"/>
              </w:rPr>
            </w:pPr>
            <w:r>
              <w:rPr>
                <w:sz w:val="18"/>
              </w:rPr>
              <w:t>11.834.598</w:t>
            </w:r>
          </w:p>
        </w:tc>
      </w:tr>
    </w:tbl>
    <w:p>
      <w:pPr>
        <w:pStyle w:val="BodyText"/>
        <w:spacing w:before="0"/>
        <w:ind w:left="599"/>
      </w:pPr>
      <w:r>
        <w:rPr/>
        <w:t>Извор: Републичка агенција за поштанске услуге</w:t>
      </w:r>
    </w:p>
    <w:p>
      <w:pPr>
        <w:pStyle w:val="BodyText"/>
        <w:spacing w:line="230" w:lineRule="auto" w:before="132"/>
        <w:ind w:right="131" w:firstLine="480"/>
      </w:pPr>
      <w:r>
        <w:rPr/>
        <w:t>Учешће осталих ПО у укупном реализованом обиму је 3%, односно 30% у укупном приходу. Основни разлог</w:t>
      </w:r>
      <w:r>
        <w:rPr>
          <w:spacing w:val="-61"/>
        </w:rPr>
        <w:t> </w:t>
      </w:r>
      <w:r>
        <w:rPr/>
        <w:t>повећања броја услуга од 1%, односно прихода за 18% је у чињеници да ови оператори пружају квалитетне и</w:t>
      </w:r>
      <w:r>
        <w:rPr>
          <w:spacing w:val="1"/>
        </w:rPr>
        <w:t> </w:t>
      </w:r>
      <w:r>
        <w:rPr/>
        <w:t>профитабилне – комерцијалне услуге.</w:t>
      </w:r>
    </w:p>
    <w:p>
      <w:pPr>
        <w:pStyle w:val="BodyText"/>
        <w:spacing w:line="230" w:lineRule="auto"/>
        <w:ind w:right="119" w:firstLine="480"/>
      </w:pPr>
      <w:r>
        <w:rPr/>
        <w:t>Процентуално учешће ЈПО и других ПО у укупном обиму реализованих услуга у 2011. години је идентичан у</w:t>
      </w:r>
      <w:r>
        <w:rPr>
          <w:spacing w:val="-61"/>
        </w:rPr>
        <w:t> </w:t>
      </w:r>
      <w:r>
        <w:rPr/>
        <w:t>односу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2010.</w:t>
      </w:r>
      <w:r>
        <w:rPr>
          <w:spacing w:val="1"/>
        </w:rPr>
        <w:t> </w:t>
      </w:r>
      <w:r>
        <w:rPr/>
        <w:t>годину,</w:t>
      </w:r>
      <w:r>
        <w:rPr>
          <w:spacing w:val="1"/>
        </w:rPr>
        <w:t> </w:t>
      </w:r>
      <w:r>
        <w:rPr/>
        <w:t>док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учешће</w:t>
      </w:r>
      <w:r>
        <w:rPr>
          <w:spacing w:val="1"/>
        </w:rPr>
        <w:t> </w:t>
      </w:r>
      <w:r>
        <w:rPr/>
        <w:t>осталих</w:t>
      </w:r>
      <w:r>
        <w:rPr>
          <w:spacing w:val="1"/>
        </w:rPr>
        <w:t> </w:t>
      </w:r>
      <w:r>
        <w:rPr/>
        <w:t>оператора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укупном</w:t>
      </w:r>
      <w:r>
        <w:rPr>
          <w:spacing w:val="1"/>
        </w:rPr>
        <w:t> </w:t>
      </w:r>
      <w:r>
        <w:rPr/>
        <w:t>приходу</w:t>
      </w:r>
      <w:r>
        <w:rPr>
          <w:spacing w:val="1"/>
        </w:rPr>
        <w:t> </w:t>
      </w:r>
      <w:r>
        <w:rPr/>
        <w:t>повећано</w:t>
      </w:r>
      <w:r>
        <w:rPr>
          <w:spacing w:val="2"/>
        </w:rPr>
        <w:t> </w:t>
      </w:r>
      <w:r>
        <w:rPr/>
        <w:t>за</w:t>
      </w:r>
      <w:r>
        <w:rPr>
          <w:spacing w:val="1"/>
        </w:rPr>
        <w:t> </w:t>
      </w:r>
      <w:r>
        <w:rPr/>
        <w:t>2,3%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односу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2010. годину, као последица раста цена услуга које пружају ови ПО.</w:t>
      </w:r>
    </w:p>
    <w:p>
      <w:pPr>
        <w:pStyle w:val="BodyText"/>
        <w:spacing w:before="143"/>
        <w:ind w:left="599"/>
      </w:pPr>
      <w:r>
        <w:rPr/>
        <w:t>Табела 2.2 Структура тржиштa по врстама поштанских услуга 2011/2010.</w:t>
      </w:r>
    </w:p>
    <w:p>
      <w:pPr>
        <w:pStyle w:val="BodyText"/>
        <w:spacing w:before="11"/>
        <w:ind w:left="0"/>
        <w:rPr>
          <w:sz w:val="12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430"/>
        <w:gridCol w:w="2445"/>
        <w:gridCol w:w="1950"/>
        <w:gridCol w:w="1980"/>
      </w:tblGrid>
      <w:tr>
        <w:trPr>
          <w:trHeight w:val="389" w:hRule="atLeast"/>
        </w:trPr>
        <w:tc>
          <w:tcPr>
            <w:tcW w:w="2025" w:type="dxa"/>
            <w:vMerge w:val="restart"/>
          </w:tcPr>
          <w:p>
            <w:pPr>
              <w:pStyle w:val="TableParagraph"/>
              <w:spacing w:line="240" w:lineRule="auto" w:before="194"/>
              <w:ind w:left="424"/>
              <w:rPr>
                <w:sz w:val="18"/>
              </w:rPr>
            </w:pPr>
            <w:r>
              <w:rPr>
                <w:sz w:val="18"/>
              </w:rPr>
              <w:t>Врста услуге</w:t>
            </w:r>
          </w:p>
        </w:tc>
        <w:tc>
          <w:tcPr>
            <w:tcW w:w="4875" w:type="dxa"/>
            <w:gridSpan w:val="2"/>
          </w:tcPr>
          <w:p>
            <w:pPr>
              <w:pStyle w:val="TableParagraph"/>
              <w:ind w:left="820"/>
              <w:rPr>
                <w:sz w:val="18"/>
              </w:rPr>
            </w:pPr>
            <w:r>
              <w:rPr>
                <w:sz w:val="18"/>
              </w:rPr>
              <w:t>Обим услуга у хиљадама јединица</w:t>
            </w:r>
          </w:p>
        </w:tc>
        <w:tc>
          <w:tcPr>
            <w:tcW w:w="3930" w:type="dxa"/>
            <w:gridSpan w:val="2"/>
          </w:tcPr>
          <w:p>
            <w:pPr>
              <w:pStyle w:val="TableParagraph"/>
              <w:ind w:left="677"/>
              <w:rPr>
                <w:sz w:val="18"/>
              </w:rPr>
            </w:pPr>
            <w:r>
              <w:rPr>
                <w:sz w:val="18"/>
              </w:rPr>
              <w:t>Приход у хиљадама динара</w:t>
            </w:r>
          </w:p>
        </w:tc>
      </w:tr>
      <w:tr>
        <w:trPr>
          <w:trHeight w:val="389" w:hRule="atLeast"/>
        </w:trPr>
        <w:tc>
          <w:tcPr>
            <w:tcW w:w="20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0" w:type="dxa"/>
          </w:tcPr>
          <w:p>
            <w:pPr>
              <w:pStyle w:val="TableParagraph"/>
              <w:ind w:left="833" w:right="788"/>
              <w:jc w:val="center"/>
              <w:rPr>
                <w:sz w:val="18"/>
              </w:rPr>
            </w:pPr>
            <w:r>
              <w:rPr>
                <w:sz w:val="18"/>
              </w:rPr>
              <w:t>2010.</w:t>
            </w:r>
          </w:p>
        </w:tc>
        <w:tc>
          <w:tcPr>
            <w:tcW w:w="2445" w:type="dxa"/>
          </w:tcPr>
          <w:p>
            <w:pPr>
              <w:pStyle w:val="TableParagraph"/>
              <w:ind w:left="841" w:right="796"/>
              <w:jc w:val="center"/>
              <w:rPr>
                <w:sz w:val="18"/>
              </w:rPr>
            </w:pPr>
            <w:r>
              <w:rPr>
                <w:sz w:val="18"/>
              </w:rPr>
              <w:t>2011.</w:t>
            </w:r>
          </w:p>
        </w:tc>
        <w:tc>
          <w:tcPr>
            <w:tcW w:w="1950" w:type="dxa"/>
          </w:tcPr>
          <w:p>
            <w:pPr>
              <w:pStyle w:val="TableParagraph"/>
              <w:ind w:left="446" w:right="401"/>
              <w:jc w:val="center"/>
              <w:rPr>
                <w:sz w:val="18"/>
              </w:rPr>
            </w:pPr>
            <w:r>
              <w:rPr>
                <w:sz w:val="18"/>
              </w:rPr>
              <w:t>2010.</w:t>
            </w:r>
          </w:p>
        </w:tc>
        <w:tc>
          <w:tcPr>
            <w:tcW w:w="1980" w:type="dxa"/>
          </w:tcPr>
          <w:p>
            <w:pPr>
              <w:pStyle w:val="TableParagraph"/>
              <w:ind w:left="461" w:right="416"/>
              <w:jc w:val="center"/>
              <w:rPr>
                <w:sz w:val="18"/>
              </w:rPr>
            </w:pPr>
            <w:r>
              <w:rPr>
                <w:sz w:val="18"/>
              </w:rPr>
              <w:t>2011.</w:t>
            </w:r>
          </w:p>
        </w:tc>
      </w:tr>
      <w:tr>
        <w:trPr>
          <w:trHeight w:val="389" w:hRule="atLeast"/>
        </w:trPr>
        <w:tc>
          <w:tcPr>
            <w:tcW w:w="202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Универзалне</w:t>
            </w:r>
          </w:p>
        </w:tc>
        <w:tc>
          <w:tcPr>
            <w:tcW w:w="2430" w:type="dxa"/>
          </w:tcPr>
          <w:p>
            <w:pPr>
              <w:pStyle w:val="TableParagraph"/>
              <w:ind w:left="833" w:right="788"/>
              <w:jc w:val="center"/>
              <w:rPr>
                <w:sz w:val="18"/>
              </w:rPr>
            </w:pPr>
            <w:r>
              <w:rPr>
                <w:sz w:val="18"/>
              </w:rPr>
              <w:t>293.580</w:t>
            </w:r>
          </w:p>
        </w:tc>
        <w:tc>
          <w:tcPr>
            <w:tcW w:w="2445" w:type="dxa"/>
          </w:tcPr>
          <w:p>
            <w:pPr>
              <w:pStyle w:val="TableParagraph"/>
              <w:ind w:left="841" w:right="796"/>
              <w:jc w:val="center"/>
              <w:rPr>
                <w:sz w:val="18"/>
              </w:rPr>
            </w:pPr>
            <w:r>
              <w:rPr>
                <w:sz w:val="18"/>
              </w:rPr>
              <w:t>304.537</w:t>
            </w:r>
          </w:p>
        </w:tc>
        <w:tc>
          <w:tcPr>
            <w:tcW w:w="1950" w:type="dxa"/>
          </w:tcPr>
          <w:p>
            <w:pPr>
              <w:pStyle w:val="TableParagraph"/>
              <w:ind w:left="446" w:right="401"/>
              <w:jc w:val="center"/>
              <w:rPr>
                <w:sz w:val="18"/>
              </w:rPr>
            </w:pPr>
            <w:r>
              <w:rPr>
                <w:sz w:val="18"/>
              </w:rPr>
              <w:t>6.868.265</w:t>
            </w:r>
          </w:p>
        </w:tc>
        <w:tc>
          <w:tcPr>
            <w:tcW w:w="1980" w:type="dxa"/>
          </w:tcPr>
          <w:p>
            <w:pPr>
              <w:pStyle w:val="TableParagraph"/>
              <w:ind w:left="461" w:right="416"/>
              <w:jc w:val="center"/>
              <w:rPr>
                <w:sz w:val="18"/>
              </w:rPr>
            </w:pPr>
            <w:r>
              <w:rPr>
                <w:sz w:val="18"/>
              </w:rPr>
              <w:t>7.057.223</w:t>
            </w:r>
          </w:p>
        </w:tc>
      </w:tr>
      <w:tr>
        <w:trPr>
          <w:trHeight w:val="389" w:hRule="atLeast"/>
        </w:trPr>
        <w:tc>
          <w:tcPr>
            <w:tcW w:w="202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Комерцијалне</w:t>
            </w:r>
          </w:p>
        </w:tc>
        <w:tc>
          <w:tcPr>
            <w:tcW w:w="2430" w:type="dxa"/>
          </w:tcPr>
          <w:p>
            <w:pPr>
              <w:pStyle w:val="TableParagraph"/>
              <w:ind w:left="833" w:right="788"/>
              <w:jc w:val="center"/>
              <w:rPr>
                <w:sz w:val="18"/>
              </w:rPr>
            </w:pPr>
            <w:r>
              <w:rPr>
                <w:sz w:val="18"/>
              </w:rPr>
              <w:t>11.668</w:t>
            </w:r>
          </w:p>
        </w:tc>
        <w:tc>
          <w:tcPr>
            <w:tcW w:w="2445" w:type="dxa"/>
          </w:tcPr>
          <w:p>
            <w:pPr>
              <w:pStyle w:val="TableParagraph"/>
              <w:ind w:left="841" w:right="796"/>
              <w:jc w:val="center"/>
              <w:rPr>
                <w:sz w:val="18"/>
              </w:rPr>
            </w:pPr>
            <w:r>
              <w:rPr>
                <w:sz w:val="18"/>
              </w:rPr>
              <w:t>12.632</w:t>
            </w:r>
          </w:p>
        </w:tc>
        <w:tc>
          <w:tcPr>
            <w:tcW w:w="1950" w:type="dxa"/>
          </w:tcPr>
          <w:p>
            <w:pPr>
              <w:pStyle w:val="TableParagraph"/>
              <w:ind w:left="446" w:right="401"/>
              <w:jc w:val="center"/>
              <w:rPr>
                <w:sz w:val="18"/>
              </w:rPr>
            </w:pPr>
            <w:r>
              <w:rPr>
                <w:sz w:val="18"/>
              </w:rPr>
              <w:t>3.971.194</w:t>
            </w:r>
          </w:p>
        </w:tc>
        <w:tc>
          <w:tcPr>
            <w:tcW w:w="1980" w:type="dxa"/>
          </w:tcPr>
          <w:p>
            <w:pPr>
              <w:pStyle w:val="TableParagraph"/>
              <w:ind w:left="461" w:right="416"/>
              <w:jc w:val="center"/>
              <w:rPr>
                <w:sz w:val="18"/>
              </w:rPr>
            </w:pPr>
            <w:r>
              <w:rPr>
                <w:sz w:val="18"/>
              </w:rPr>
              <w:t>4.777.375</w:t>
            </w:r>
          </w:p>
        </w:tc>
      </w:tr>
      <w:tr>
        <w:trPr>
          <w:trHeight w:val="389" w:hRule="atLeast"/>
        </w:trPr>
        <w:tc>
          <w:tcPr>
            <w:tcW w:w="202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Укупно</w:t>
            </w:r>
          </w:p>
        </w:tc>
        <w:tc>
          <w:tcPr>
            <w:tcW w:w="2430" w:type="dxa"/>
          </w:tcPr>
          <w:p>
            <w:pPr>
              <w:pStyle w:val="TableParagraph"/>
              <w:ind w:left="833" w:right="788"/>
              <w:jc w:val="center"/>
              <w:rPr>
                <w:sz w:val="18"/>
              </w:rPr>
            </w:pPr>
            <w:r>
              <w:rPr>
                <w:sz w:val="18"/>
              </w:rPr>
              <w:t>305.248</w:t>
            </w:r>
          </w:p>
        </w:tc>
        <w:tc>
          <w:tcPr>
            <w:tcW w:w="2445" w:type="dxa"/>
          </w:tcPr>
          <w:p>
            <w:pPr>
              <w:pStyle w:val="TableParagraph"/>
              <w:ind w:left="841" w:right="796"/>
              <w:jc w:val="center"/>
              <w:rPr>
                <w:sz w:val="18"/>
              </w:rPr>
            </w:pPr>
            <w:r>
              <w:rPr>
                <w:sz w:val="18"/>
              </w:rPr>
              <w:t>317.169</w:t>
            </w:r>
          </w:p>
        </w:tc>
        <w:tc>
          <w:tcPr>
            <w:tcW w:w="1950" w:type="dxa"/>
          </w:tcPr>
          <w:p>
            <w:pPr>
              <w:pStyle w:val="TableParagraph"/>
              <w:ind w:left="446" w:right="401"/>
              <w:jc w:val="center"/>
              <w:rPr>
                <w:sz w:val="18"/>
              </w:rPr>
            </w:pPr>
            <w:r>
              <w:rPr>
                <w:sz w:val="18"/>
              </w:rPr>
              <w:t>10.839.459</w:t>
            </w:r>
          </w:p>
        </w:tc>
        <w:tc>
          <w:tcPr>
            <w:tcW w:w="1980" w:type="dxa"/>
          </w:tcPr>
          <w:p>
            <w:pPr>
              <w:pStyle w:val="TableParagraph"/>
              <w:ind w:left="461" w:right="416"/>
              <w:jc w:val="center"/>
              <w:rPr>
                <w:sz w:val="18"/>
              </w:rPr>
            </w:pPr>
            <w:r>
              <w:rPr>
                <w:sz w:val="18"/>
              </w:rPr>
              <w:t>11.834.598</w:t>
            </w:r>
          </w:p>
        </w:tc>
      </w:tr>
    </w:tbl>
    <w:p>
      <w:pPr>
        <w:pStyle w:val="BodyText"/>
        <w:spacing w:before="0"/>
        <w:ind w:left="599"/>
      </w:pPr>
      <w:r>
        <w:rPr/>
        <w:t>Извор: Републичка агенција за поштанске услуге</w:t>
      </w:r>
    </w:p>
    <w:p>
      <w:pPr>
        <w:pStyle w:val="BodyText"/>
        <w:spacing w:line="230" w:lineRule="auto" w:before="132"/>
        <w:ind w:right="102" w:firstLine="480"/>
      </w:pPr>
      <w:r>
        <w:rPr/>
        <w:t>Од укупног броја поштанских услуга на тржишту Републике Србије, око 96% или 304,5 милиона, су услуге</w:t>
      </w:r>
      <w:r>
        <w:rPr>
          <w:spacing w:val="1"/>
        </w:rPr>
        <w:t> </w:t>
      </w:r>
      <w:r>
        <w:rPr/>
        <w:t>из домена УПУ, чији се број повећао за 4%, а приходи за 3% у односу на 2010. годину. У структури прихода УПУ,</w:t>
      </w:r>
      <w:r>
        <w:rPr>
          <w:spacing w:val="-61"/>
        </w:rPr>
        <w:t> </w:t>
      </w:r>
      <w:r>
        <w:rPr/>
        <w:t>93% су приходи од РПУ (писмоносне услуге до 100 g и упутнице), док се 7% прихода остварује од осталих</w:t>
      </w:r>
      <w:r>
        <w:rPr>
          <w:spacing w:val="1"/>
        </w:rPr>
        <w:t> </w:t>
      </w:r>
      <w:r>
        <w:rPr/>
        <w:t>поштанских услуга из домена УПУ (писмоносне услуге масе 100 – 2.000 g и пакети) (Табела 2.2).</w:t>
      </w:r>
    </w:p>
    <w:p>
      <w:pPr>
        <w:pStyle w:val="BodyText"/>
        <w:spacing w:before="143"/>
        <w:ind w:left="599"/>
      </w:pPr>
      <w:r>
        <w:rPr/>
        <w:t>Табела 2.3 Структура тржишта по врстама услуга осталих поштанских оператора 2011/2010.</w:t>
      </w:r>
    </w:p>
    <w:p>
      <w:pPr>
        <w:pStyle w:val="BodyText"/>
        <w:spacing w:before="9"/>
        <w:ind w:left="0"/>
        <w:rPr>
          <w:sz w:val="9"/>
        </w:rPr>
      </w:pPr>
      <w:r>
        <w:rPr/>
        <w:pict>
          <v:shape style="position:absolute;margin-left:34.999001pt;margin-top:7.872205pt;width:542.25pt;height:11.25pt;mso-position-horizontal-relative:page;mso-position-vertical-relative:paragraph;z-index:-15725056;mso-wrap-distance-left:0;mso-wrap-distance-right:0" coordorigin="700,157" coordsize="10845,225" path="m11545,157l11545,157,700,157,700,172,700,382,715,382,715,172,4795,172,4795,382,4810,382,4810,172,8215,172,8215,382,8230,382,8230,172,11530,172,11530,382,11545,382,11545,172,11545,157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9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9"/>
        <w:ind w:left="0"/>
        <w:rPr>
          <w:sz w:val="6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95"/>
        <w:gridCol w:w="1695"/>
        <w:gridCol w:w="1725"/>
        <w:gridCol w:w="1650"/>
        <w:gridCol w:w="1665"/>
      </w:tblGrid>
      <w:tr>
        <w:trPr>
          <w:trHeight w:val="584" w:hRule="atLeast"/>
        </w:trPr>
        <w:tc>
          <w:tcPr>
            <w:tcW w:w="4095" w:type="dxa"/>
            <w:vMerge w:val="restart"/>
            <w:tcBorders>
              <w:top w:val="nil"/>
            </w:tcBorders>
          </w:tcPr>
          <w:p>
            <w:pPr>
              <w:pStyle w:val="TableParagraph"/>
              <w:spacing w:line="240" w:lineRule="auto"/>
              <w:ind w:left="837"/>
              <w:rPr>
                <w:sz w:val="18"/>
              </w:rPr>
            </w:pPr>
            <w:r>
              <w:rPr>
                <w:sz w:val="18"/>
              </w:rPr>
              <w:t>Услуге осталих оператора</w:t>
            </w:r>
          </w:p>
        </w:tc>
        <w:tc>
          <w:tcPr>
            <w:tcW w:w="3420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14" w:lineRule="exact"/>
              <w:ind w:left="628" w:right="644"/>
              <w:jc w:val="center"/>
              <w:rPr>
                <w:sz w:val="18"/>
              </w:rPr>
            </w:pPr>
            <w:r>
              <w:rPr>
                <w:sz w:val="18"/>
              </w:rPr>
              <w:t>Обим услуга</w:t>
            </w:r>
          </w:p>
          <w:p>
            <w:pPr>
              <w:pStyle w:val="TableParagraph"/>
              <w:spacing w:line="214" w:lineRule="exact"/>
              <w:ind w:left="689" w:right="644"/>
              <w:jc w:val="center"/>
              <w:rPr>
                <w:sz w:val="18"/>
              </w:rPr>
            </w:pPr>
            <w:r>
              <w:rPr>
                <w:sz w:val="18"/>
              </w:rPr>
              <w:t>у хиљадама јединица</w:t>
            </w:r>
          </w:p>
        </w:tc>
        <w:tc>
          <w:tcPr>
            <w:tcW w:w="3315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14" w:lineRule="exact"/>
              <w:ind w:left="666" w:right="682"/>
              <w:jc w:val="center"/>
              <w:rPr>
                <w:sz w:val="18"/>
              </w:rPr>
            </w:pPr>
            <w:r>
              <w:rPr>
                <w:sz w:val="18"/>
              </w:rPr>
              <w:t>Приход</w:t>
            </w:r>
          </w:p>
          <w:p>
            <w:pPr>
              <w:pStyle w:val="TableParagraph"/>
              <w:spacing w:line="214" w:lineRule="exact"/>
              <w:ind w:left="726" w:right="682"/>
              <w:jc w:val="center"/>
              <w:rPr>
                <w:sz w:val="18"/>
              </w:rPr>
            </w:pPr>
            <w:r>
              <w:rPr>
                <w:sz w:val="18"/>
              </w:rPr>
              <w:t>у хиљадама динара</w:t>
            </w:r>
          </w:p>
        </w:tc>
      </w:tr>
      <w:tr>
        <w:trPr>
          <w:trHeight w:val="389" w:hRule="atLeast"/>
        </w:trPr>
        <w:tc>
          <w:tcPr>
            <w:tcW w:w="40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5" w:type="dxa"/>
          </w:tcPr>
          <w:p>
            <w:pPr>
              <w:pStyle w:val="TableParagraph"/>
              <w:spacing w:line="240" w:lineRule="auto" w:before="15"/>
              <w:ind w:left="580" w:right="535"/>
              <w:jc w:val="center"/>
              <w:rPr>
                <w:sz w:val="18"/>
              </w:rPr>
            </w:pPr>
            <w:r>
              <w:rPr>
                <w:sz w:val="18"/>
              </w:rPr>
              <w:t>2010.</w:t>
            </w:r>
          </w:p>
        </w:tc>
        <w:tc>
          <w:tcPr>
            <w:tcW w:w="1725" w:type="dxa"/>
          </w:tcPr>
          <w:p>
            <w:pPr>
              <w:pStyle w:val="TableParagraph"/>
              <w:spacing w:line="240" w:lineRule="auto" w:before="15"/>
              <w:ind w:left="595" w:right="550"/>
              <w:jc w:val="center"/>
              <w:rPr>
                <w:sz w:val="18"/>
              </w:rPr>
            </w:pPr>
            <w:r>
              <w:rPr>
                <w:sz w:val="18"/>
              </w:rPr>
              <w:t>2011.</w:t>
            </w:r>
          </w:p>
        </w:tc>
        <w:tc>
          <w:tcPr>
            <w:tcW w:w="1650" w:type="dxa"/>
          </w:tcPr>
          <w:p>
            <w:pPr>
              <w:pStyle w:val="TableParagraph"/>
              <w:spacing w:line="240" w:lineRule="auto" w:before="15"/>
              <w:ind w:left="354" w:right="309"/>
              <w:jc w:val="center"/>
              <w:rPr>
                <w:sz w:val="18"/>
              </w:rPr>
            </w:pPr>
            <w:r>
              <w:rPr>
                <w:sz w:val="18"/>
              </w:rPr>
              <w:t>2010.</w:t>
            </w:r>
          </w:p>
        </w:tc>
        <w:tc>
          <w:tcPr>
            <w:tcW w:w="1665" w:type="dxa"/>
          </w:tcPr>
          <w:p>
            <w:pPr>
              <w:pStyle w:val="TableParagraph"/>
              <w:spacing w:line="240" w:lineRule="auto" w:before="15"/>
              <w:ind w:left="344" w:right="299"/>
              <w:jc w:val="center"/>
              <w:rPr>
                <w:sz w:val="18"/>
              </w:rPr>
            </w:pPr>
            <w:r>
              <w:rPr>
                <w:sz w:val="18"/>
              </w:rPr>
              <w:t>2011.</w:t>
            </w:r>
          </w:p>
        </w:tc>
      </w:tr>
      <w:tr>
        <w:trPr>
          <w:trHeight w:val="389" w:hRule="atLeast"/>
        </w:trPr>
        <w:tc>
          <w:tcPr>
            <w:tcW w:w="4095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Експрес услуге у УПС</w:t>
            </w:r>
          </w:p>
        </w:tc>
        <w:tc>
          <w:tcPr>
            <w:tcW w:w="1695" w:type="dxa"/>
          </w:tcPr>
          <w:p>
            <w:pPr>
              <w:pStyle w:val="TableParagraph"/>
              <w:spacing w:line="240" w:lineRule="auto" w:before="15"/>
              <w:ind w:left="580" w:right="535"/>
              <w:jc w:val="center"/>
              <w:rPr>
                <w:sz w:val="18"/>
              </w:rPr>
            </w:pPr>
            <w:r>
              <w:rPr>
                <w:sz w:val="18"/>
              </w:rPr>
              <w:t>7.704</w:t>
            </w:r>
          </w:p>
        </w:tc>
        <w:tc>
          <w:tcPr>
            <w:tcW w:w="1725" w:type="dxa"/>
          </w:tcPr>
          <w:p>
            <w:pPr>
              <w:pStyle w:val="TableParagraph"/>
              <w:spacing w:line="240" w:lineRule="auto" w:before="15"/>
              <w:ind w:left="595" w:right="550"/>
              <w:jc w:val="center"/>
              <w:rPr>
                <w:sz w:val="18"/>
              </w:rPr>
            </w:pPr>
            <w:r>
              <w:rPr>
                <w:sz w:val="18"/>
              </w:rPr>
              <w:t>7.747</w:t>
            </w:r>
          </w:p>
        </w:tc>
        <w:tc>
          <w:tcPr>
            <w:tcW w:w="1650" w:type="dxa"/>
          </w:tcPr>
          <w:p>
            <w:pPr>
              <w:pStyle w:val="TableParagraph"/>
              <w:spacing w:line="240" w:lineRule="auto" w:before="15"/>
              <w:ind w:left="354" w:right="309"/>
              <w:jc w:val="center"/>
              <w:rPr>
                <w:sz w:val="18"/>
              </w:rPr>
            </w:pPr>
            <w:r>
              <w:rPr>
                <w:sz w:val="18"/>
              </w:rPr>
              <w:t>2.087.348</w:t>
            </w:r>
          </w:p>
        </w:tc>
        <w:tc>
          <w:tcPr>
            <w:tcW w:w="1665" w:type="dxa"/>
          </w:tcPr>
          <w:p>
            <w:pPr>
              <w:pStyle w:val="TableParagraph"/>
              <w:spacing w:line="240" w:lineRule="auto" w:before="15"/>
              <w:ind w:left="344" w:right="299"/>
              <w:jc w:val="center"/>
              <w:rPr>
                <w:sz w:val="18"/>
              </w:rPr>
            </w:pPr>
            <w:r>
              <w:rPr>
                <w:sz w:val="18"/>
              </w:rPr>
              <w:t>2.540.556</w:t>
            </w:r>
          </w:p>
        </w:tc>
      </w:tr>
      <w:tr>
        <w:trPr>
          <w:trHeight w:val="389" w:hRule="atLeast"/>
        </w:trPr>
        <w:tc>
          <w:tcPr>
            <w:tcW w:w="4095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Експрес услуге у МПС</w:t>
            </w:r>
          </w:p>
        </w:tc>
        <w:tc>
          <w:tcPr>
            <w:tcW w:w="1695" w:type="dxa"/>
          </w:tcPr>
          <w:p>
            <w:pPr>
              <w:pStyle w:val="TableParagraph"/>
              <w:spacing w:line="240" w:lineRule="auto" w:before="15"/>
              <w:ind w:left="580" w:right="535"/>
              <w:jc w:val="center"/>
              <w:rPr>
                <w:sz w:val="18"/>
              </w:rPr>
            </w:pPr>
            <w:r>
              <w:rPr>
                <w:sz w:val="18"/>
              </w:rPr>
              <w:t>371</w:t>
            </w:r>
          </w:p>
        </w:tc>
        <w:tc>
          <w:tcPr>
            <w:tcW w:w="1725" w:type="dxa"/>
          </w:tcPr>
          <w:p>
            <w:pPr>
              <w:pStyle w:val="TableParagraph"/>
              <w:spacing w:line="240" w:lineRule="auto" w:before="15"/>
              <w:ind w:left="595" w:right="550"/>
              <w:jc w:val="center"/>
              <w:rPr>
                <w:sz w:val="18"/>
              </w:rPr>
            </w:pPr>
            <w:r>
              <w:rPr>
                <w:sz w:val="18"/>
              </w:rPr>
              <w:t>391</w:t>
            </w:r>
          </w:p>
        </w:tc>
        <w:tc>
          <w:tcPr>
            <w:tcW w:w="1650" w:type="dxa"/>
          </w:tcPr>
          <w:p>
            <w:pPr>
              <w:pStyle w:val="TableParagraph"/>
              <w:spacing w:line="240" w:lineRule="auto" w:before="15"/>
              <w:ind w:left="354" w:right="309"/>
              <w:jc w:val="center"/>
              <w:rPr>
                <w:sz w:val="18"/>
              </w:rPr>
            </w:pPr>
            <w:r>
              <w:rPr>
                <w:sz w:val="18"/>
              </w:rPr>
              <w:t>861.456</w:t>
            </w:r>
          </w:p>
        </w:tc>
        <w:tc>
          <w:tcPr>
            <w:tcW w:w="1665" w:type="dxa"/>
          </w:tcPr>
          <w:p>
            <w:pPr>
              <w:pStyle w:val="TableParagraph"/>
              <w:spacing w:line="240" w:lineRule="auto" w:before="15"/>
              <w:ind w:left="344" w:right="299"/>
              <w:jc w:val="center"/>
              <w:rPr>
                <w:sz w:val="18"/>
              </w:rPr>
            </w:pPr>
            <w:r>
              <w:rPr>
                <w:sz w:val="18"/>
              </w:rPr>
              <w:t>942.456</w:t>
            </w:r>
          </w:p>
        </w:tc>
      </w:tr>
      <w:tr>
        <w:trPr>
          <w:trHeight w:val="389" w:hRule="atLeast"/>
        </w:trPr>
        <w:tc>
          <w:tcPr>
            <w:tcW w:w="4095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Укупно</w:t>
            </w:r>
          </w:p>
        </w:tc>
        <w:tc>
          <w:tcPr>
            <w:tcW w:w="1695" w:type="dxa"/>
          </w:tcPr>
          <w:p>
            <w:pPr>
              <w:pStyle w:val="TableParagraph"/>
              <w:spacing w:line="240" w:lineRule="auto" w:before="15"/>
              <w:ind w:left="580" w:right="535"/>
              <w:jc w:val="center"/>
              <w:rPr>
                <w:sz w:val="18"/>
              </w:rPr>
            </w:pPr>
            <w:r>
              <w:rPr>
                <w:sz w:val="18"/>
              </w:rPr>
              <w:t>8.075</w:t>
            </w:r>
          </w:p>
        </w:tc>
        <w:tc>
          <w:tcPr>
            <w:tcW w:w="1725" w:type="dxa"/>
          </w:tcPr>
          <w:p>
            <w:pPr>
              <w:pStyle w:val="TableParagraph"/>
              <w:spacing w:line="240" w:lineRule="auto" w:before="15"/>
              <w:ind w:left="595" w:right="550"/>
              <w:jc w:val="center"/>
              <w:rPr>
                <w:sz w:val="18"/>
              </w:rPr>
            </w:pPr>
            <w:r>
              <w:rPr>
                <w:sz w:val="18"/>
              </w:rPr>
              <w:t>8.137</w:t>
            </w:r>
          </w:p>
        </w:tc>
        <w:tc>
          <w:tcPr>
            <w:tcW w:w="1650" w:type="dxa"/>
          </w:tcPr>
          <w:p>
            <w:pPr>
              <w:pStyle w:val="TableParagraph"/>
              <w:spacing w:line="240" w:lineRule="auto" w:before="15"/>
              <w:ind w:left="354" w:right="309"/>
              <w:jc w:val="center"/>
              <w:rPr>
                <w:sz w:val="18"/>
              </w:rPr>
            </w:pPr>
            <w:r>
              <w:rPr>
                <w:sz w:val="18"/>
              </w:rPr>
              <w:t>2.948.804</w:t>
            </w:r>
          </w:p>
        </w:tc>
        <w:tc>
          <w:tcPr>
            <w:tcW w:w="1665" w:type="dxa"/>
          </w:tcPr>
          <w:p>
            <w:pPr>
              <w:pStyle w:val="TableParagraph"/>
              <w:spacing w:line="240" w:lineRule="auto" w:before="15"/>
              <w:ind w:left="344" w:right="299"/>
              <w:jc w:val="center"/>
              <w:rPr>
                <w:sz w:val="18"/>
              </w:rPr>
            </w:pPr>
            <w:r>
              <w:rPr>
                <w:sz w:val="18"/>
              </w:rPr>
              <w:t>3.483.012</w:t>
            </w:r>
          </w:p>
        </w:tc>
      </w:tr>
    </w:tbl>
    <w:p>
      <w:pPr>
        <w:pStyle w:val="BodyText"/>
        <w:spacing w:before="0"/>
        <w:ind w:left="599"/>
      </w:pPr>
      <w:r>
        <w:rPr/>
        <w:t>Извор: Републичка агенција за поштанске услуге</w:t>
      </w:r>
    </w:p>
    <w:p>
      <w:pPr>
        <w:pStyle w:val="BodyText"/>
        <w:spacing w:line="230" w:lineRule="auto" w:before="149"/>
        <w:ind w:right="498" w:firstLine="480"/>
      </w:pPr>
      <w:r>
        <w:rPr/>
        <w:t>У претходне три године није дошло до промене цена УПУ иако су скоро сви макроекономски параметри</w:t>
      </w:r>
      <w:r>
        <w:rPr>
          <w:spacing w:val="1"/>
        </w:rPr>
        <w:t> </w:t>
      </w:r>
      <w:r>
        <w:rPr/>
        <w:t>имали негативан тренд. Методологијом обрачуна цена за УПУ дефинисане су цене засноване на реалним</w:t>
      </w:r>
      <w:r>
        <w:rPr>
          <w:spacing w:val="1"/>
        </w:rPr>
        <w:t> </w:t>
      </w:r>
      <w:r>
        <w:rPr/>
        <w:t>трошковима</w:t>
      </w:r>
      <w:r>
        <w:rPr>
          <w:spacing w:val="-2"/>
        </w:rPr>
        <w:t> </w:t>
      </w:r>
      <w:r>
        <w:rPr/>
        <w:t>реализације,</w:t>
      </w:r>
      <w:r>
        <w:rPr>
          <w:spacing w:val="-1"/>
        </w:rPr>
        <w:t> </w:t>
      </w:r>
      <w:r>
        <w:rPr/>
        <w:t>тако</w:t>
      </w:r>
      <w:r>
        <w:rPr>
          <w:spacing w:val="-1"/>
        </w:rPr>
        <w:t> </w:t>
      </w:r>
      <w:r>
        <w:rPr/>
        <w:t>да</w:t>
      </w:r>
      <w:r>
        <w:rPr>
          <w:spacing w:val="-2"/>
        </w:rPr>
        <w:t> </w:t>
      </w:r>
      <w:r>
        <w:rPr/>
        <w:t>се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наредном</w:t>
      </w:r>
      <w:r>
        <w:rPr>
          <w:spacing w:val="-1"/>
        </w:rPr>
        <w:t> </w:t>
      </w:r>
      <w:r>
        <w:rPr/>
        <w:t>периоду</w:t>
      </w:r>
      <w:r>
        <w:rPr>
          <w:spacing w:val="-2"/>
        </w:rPr>
        <w:t> </w:t>
      </w:r>
      <w:r>
        <w:rPr/>
        <w:t>не</w:t>
      </w:r>
      <w:r>
        <w:rPr>
          <w:spacing w:val="-1"/>
        </w:rPr>
        <w:t> </w:t>
      </w:r>
      <w:r>
        <w:rPr/>
        <w:t>може</w:t>
      </w:r>
      <w:r>
        <w:rPr>
          <w:spacing w:val="-1"/>
        </w:rPr>
        <w:t> </w:t>
      </w:r>
      <w:r>
        <w:rPr/>
        <w:t>очекивати</w:t>
      </w:r>
      <w:r>
        <w:rPr>
          <w:spacing w:val="-1"/>
        </w:rPr>
        <w:t> </w:t>
      </w:r>
      <w:r>
        <w:rPr/>
        <w:t>значајније</w:t>
      </w:r>
      <w:r>
        <w:rPr>
          <w:spacing w:val="-2"/>
        </w:rPr>
        <w:t> </w:t>
      </w:r>
      <w:r>
        <w:rPr/>
        <w:t>повећање</w:t>
      </w:r>
      <w:r>
        <w:rPr>
          <w:spacing w:val="-1"/>
        </w:rPr>
        <w:t> </w:t>
      </w:r>
      <w:r>
        <w:rPr/>
        <w:t>прихода</w:t>
      </w:r>
      <w:r>
        <w:rPr>
          <w:spacing w:val="-1"/>
        </w:rPr>
        <w:t> </w:t>
      </w:r>
      <w:r>
        <w:rPr/>
        <w:t>из</w:t>
      </w:r>
      <w:r>
        <w:rPr>
          <w:spacing w:val="-60"/>
        </w:rPr>
        <w:t> </w:t>
      </w:r>
      <w:r>
        <w:rPr/>
        <w:t>овог тржишног сегмента, имајући у виду да УПУ нису профитабилне услуге.</w:t>
      </w:r>
    </w:p>
    <w:p>
      <w:pPr>
        <w:pStyle w:val="BodyText"/>
        <w:spacing w:line="230" w:lineRule="auto"/>
        <w:ind w:right="122" w:firstLine="480"/>
      </w:pPr>
      <w:r>
        <w:rPr/>
        <w:t>Повећање броја експрес услуга (Табела 2.3), које су реализовали ПО, утицало је на значајно повећање</w:t>
      </w:r>
      <w:r>
        <w:rPr>
          <w:spacing w:val="1"/>
        </w:rPr>
        <w:t> </w:t>
      </w:r>
      <w:r>
        <w:rPr/>
        <w:t>прихода од ових услуга: порастом од 0,55% експрес услуга у УПС повећан је приход од 22%; порастом од 5,53%</w:t>
      </w:r>
      <w:r>
        <w:rPr>
          <w:spacing w:val="-61"/>
        </w:rPr>
        <w:t> </w:t>
      </w:r>
      <w:r>
        <w:rPr/>
        <w:t>експрес услуга у МПС повећан је приход од 9%.</w:t>
      </w:r>
    </w:p>
    <w:p>
      <w:pPr>
        <w:pStyle w:val="BodyText"/>
        <w:spacing w:line="230" w:lineRule="auto"/>
        <w:ind w:right="254" w:firstLine="480"/>
      </w:pPr>
      <w:r>
        <w:rPr/>
        <w:t>За посматрани временски период уочена је несразмера између обима услуга из домена УПУ и прихода који</w:t>
      </w:r>
      <w:r>
        <w:rPr>
          <w:spacing w:val="-61"/>
        </w:rPr>
        <w:t> </w:t>
      </w:r>
      <w:r>
        <w:rPr/>
        <w:t>се остварује од ових услуга, са упоредивим параметрима поштанских услуга из домена комерцијалних услуга.</w:t>
      </w:r>
    </w:p>
    <w:p>
      <w:pPr>
        <w:pStyle w:val="BodyText"/>
        <w:spacing w:line="230" w:lineRule="auto"/>
        <w:ind w:right="240" w:firstLine="480"/>
      </w:pPr>
      <w:r>
        <w:rPr/>
        <w:t>Одређене промене у поштанском сектору (пад услуга у 2009. години, успорен раст обима услуга, смањење</w:t>
      </w:r>
      <w:r>
        <w:rPr>
          <w:spacing w:val="-61"/>
        </w:rPr>
        <w:t> </w:t>
      </w:r>
      <w:r>
        <w:rPr/>
        <w:t>и спорији раст прихода) у извесној мери могу се приписати финансијској кризи, која је почела 2008. године.</w:t>
      </w:r>
    </w:p>
    <w:p>
      <w:pPr>
        <w:pStyle w:val="BodyText"/>
        <w:spacing w:line="230" w:lineRule="auto" w:before="0"/>
        <w:ind w:right="309"/>
      </w:pPr>
      <w:r>
        <w:rPr/>
        <w:t>Финансијска криза различито је утицала на поједине сегменте поштанских услуга. Највећи негативни утицај се</w:t>
      </w:r>
      <w:r>
        <w:rPr>
          <w:spacing w:val="-61"/>
        </w:rPr>
        <w:t> </w:t>
      </w:r>
      <w:r>
        <w:rPr/>
        <w:t>манифестовао на сегмент поштанских пошиљака које шаљу физичка лица, док је нешто мањи утицај на</w:t>
      </w:r>
      <w:r>
        <w:rPr>
          <w:spacing w:val="1"/>
        </w:rPr>
        <w:t> </w:t>
      </w:r>
      <w:r>
        <w:rPr/>
        <w:t>пошиљке правних лица, као и на међународне пошиљке.</w:t>
      </w:r>
    </w:p>
    <w:p>
      <w:pPr>
        <w:pStyle w:val="BodyText"/>
        <w:spacing w:line="230" w:lineRule="auto"/>
        <w:ind w:right="302" w:firstLine="480"/>
      </w:pPr>
      <w:r>
        <w:rPr/>
        <w:t>Такође, у овом периоду, на глобалном нивоу приметан је пораст или задржавање постојећег нивоа, код</w:t>
      </w:r>
      <w:r>
        <w:rPr>
          <w:spacing w:val="1"/>
        </w:rPr>
        <w:t> </w:t>
      </w:r>
      <w:r>
        <w:rPr/>
        <w:t>пакетских пошиљака, што је директна последица раста </w:t>
      </w:r>
      <w:r>
        <w:rPr>
          <w:i/>
        </w:rPr>
        <w:t>on-line </w:t>
      </w:r>
      <w:r>
        <w:rPr/>
        <w:t>трговине која је мотивисана ниским трошковима</w:t>
      </w:r>
      <w:r>
        <w:rPr>
          <w:spacing w:val="-62"/>
        </w:rPr>
        <w:t> </w:t>
      </w:r>
      <w:r>
        <w:rPr/>
        <w:t>интернет претраге и нижим ценама самих производа.</w:t>
      </w:r>
    </w:p>
    <w:p>
      <w:pPr>
        <w:pStyle w:val="BodyText"/>
        <w:spacing w:line="268" w:lineRule="auto" w:before="142"/>
        <w:ind w:right="165" w:firstLine="480"/>
        <w:rPr>
          <w:sz w:val="15"/>
        </w:rPr>
      </w:pPr>
      <w:r>
        <w:rPr/>
        <w:t>У сегменту експрес и курирских услуга у ЕУ забележен је раст код НПО који пружају ове услуге јер је</w:t>
      </w:r>
      <w:r>
        <w:rPr>
          <w:spacing w:val="1"/>
        </w:rPr>
        <w:t> </w:t>
      </w:r>
      <w:r>
        <w:rPr/>
        <w:t>одређен</w:t>
      </w:r>
      <w:r>
        <w:rPr>
          <w:spacing w:val="-2"/>
        </w:rPr>
        <w:t> </w:t>
      </w:r>
      <w:r>
        <w:rPr/>
        <w:t>број</w:t>
      </w:r>
      <w:r>
        <w:rPr>
          <w:spacing w:val="-1"/>
        </w:rPr>
        <w:t> </w:t>
      </w:r>
      <w:r>
        <w:rPr/>
        <w:t>пословних</w:t>
      </w:r>
      <w:r>
        <w:rPr>
          <w:spacing w:val="-2"/>
        </w:rPr>
        <w:t> </w:t>
      </w:r>
      <w:r>
        <w:rPr/>
        <w:t>корисника</w:t>
      </w:r>
      <w:r>
        <w:rPr>
          <w:spacing w:val="-1"/>
        </w:rPr>
        <w:t> </w:t>
      </w:r>
      <w:r>
        <w:rPr/>
        <w:t>заменио</w:t>
      </w:r>
      <w:r>
        <w:rPr>
          <w:spacing w:val="-1"/>
        </w:rPr>
        <w:t> </w:t>
      </w:r>
      <w:r>
        <w:rPr/>
        <w:t>скупе</w:t>
      </w:r>
      <w:r>
        <w:rPr>
          <w:spacing w:val="-2"/>
        </w:rPr>
        <w:t> </w:t>
      </w:r>
      <w:r>
        <w:rPr/>
        <w:t>услуге</w:t>
      </w:r>
      <w:r>
        <w:rPr>
          <w:spacing w:val="-1"/>
        </w:rPr>
        <w:t> </w:t>
      </w:r>
      <w:r>
        <w:rPr/>
        <w:t>интегратора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нешто</w:t>
      </w:r>
      <w:r>
        <w:rPr>
          <w:spacing w:val="-1"/>
        </w:rPr>
        <w:t> </w:t>
      </w:r>
      <w:r>
        <w:rPr/>
        <w:t>приступачнијим</w:t>
      </w:r>
      <w:r>
        <w:rPr>
          <w:spacing w:val="-1"/>
        </w:rPr>
        <w:t> </w:t>
      </w:r>
      <w:r>
        <w:rPr/>
        <w:t>услугама</w:t>
      </w:r>
      <w:r>
        <w:rPr>
          <w:spacing w:val="-2"/>
        </w:rPr>
        <w:t> </w:t>
      </w:r>
      <w:r>
        <w:rPr/>
        <w:t>НПО.</w:t>
      </w:r>
      <w:r>
        <w:rPr>
          <w:position w:val="7"/>
          <w:sz w:val="15"/>
        </w:rPr>
        <w:t>5</w:t>
      </w:r>
    </w:p>
    <w:p>
      <w:pPr>
        <w:pStyle w:val="BodyText"/>
        <w:spacing w:before="116"/>
        <w:ind w:left="599"/>
      </w:pPr>
      <w:r>
        <w:rPr/>
        <w:t>––––––––––––</w:t>
      </w:r>
    </w:p>
    <w:p>
      <w:pPr>
        <w:spacing w:line="400" w:lineRule="auto" w:before="86"/>
        <w:ind w:left="119" w:right="3653" w:firstLine="0"/>
        <w:jc w:val="left"/>
        <w:rPr>
          <w:i/>
          <w:sz w:val="18"/>
        </w:rPr>
      </w:pPr>
      <w:r>
        <w:rPr>
          <w:i/>
          <w:position w:val="7"/>
          <w:sz w:val="18"/>
        </w:rPr>
        <w:t>1 </w:t>
      </w:r>
      <w:r>
        <w:rPr>
          <w:i/>
          <w:sz w:val="18"/>
        </w:rPr>
        <w:t>Извор: Републички завод за статистику, Извештај о раду РАПУС-а за 2011.</w:t>
      </w:r>
      <w:r>
        <w:rPr>
          <w:i/>
          <w:spacing w:val="-61"/>
          <w:sz w:val="18"/>
        </w:rPr>
        <w:t> </w:t>
      </w:r>
      <w:r>
        <w:rPr>
          <w:i/>
          <w:position w:val="7"/>
          <w:sz w:val="18"/>
        </w:rPr>
        <w:t>2</w:t>
      </w:r>
      <w:r>
        <w:rPr>
          <w:i/>
          <w:spacing w:val="-1"/>
          <w:position w:val="7"/>
          <w:sz w:val="18"/>
        </w:rPr>
        <w:t> </w:t>
      </w:r>
      <w:r>
        <w:rPr>
          <w:i/>
          <w:sz w:val="18"/>
        </w:rPr>
        <w:t>Извор: DG MARKT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Main developments in the postal sector (2008 – 2010)</w:t>
      </w:r>
    </w:p>
    <w:p>
      <w:pPr>
        <w:spacing w:line="400" w:lineRule="auto" w:before="0"/>
        <w:ind w:left="119" w:right="2947" w:firstLine="0"/>
        <w:jc w:val="left"/>
        <w:rPr>
          <w:i/>
          <w:sz w:val="18"/>
        </w:rPr>
      </w:pPr>
      <w:r>
        <w:rPr>
          <w:i/>
          <w:position w:val="7"/>
          <w:sz w:val="18"/>
        </w:rPr>
        <w:t>3 </w:t>
      </w:r>
      <w:r>
        <w:rPr>
          <w:i/>
          <w:sz w:val="18"/>
        </w:rPr>
        <w:t>Извор: Републички завод за статистику, Извештај о раду РАПУС-а за 2011. годину</w:t>
      </w:r>
      <w:r>
        <w:rPr>
          <w:i/>
          <w:spacing w:val="-61"/>
          <w:sz w:val="18"/>
        </w:rPr>
        <w:t> </w:t>
      </w:r>
      <w:r>
        <w:rPr>
          <w:i/>
          <w:position w:val="7"/>
          <w:sz w:val="18"/>
        </w:rPr>
        <w:t>4</w:t>
      </w:r>
      <w:r>
        <w:rPr>
          <w:i/>
          <w:spacing w:val="-1"/>
          <w:position w:val="7"/>
          <w:sz w:val="18"/>
        </w:rPr>
        <w:t> </w:t>
      </w:r>
      <w:r>
        <w:rPr>
          <w:i/>
          <w:sz w:val="18"/>
        </w:rPr>
        <w:t>Извештај о раду РАПУС-а за 2011.</w:t>
      </w:r>
    </w:p>
    <w:p>
      <w:pPr>
        <w:pStyle w:val="ListParagraph"/>
        <w:numPr>
          <w:ilvl w:val="0"/>
          <w:numId w:val="7"/>
        </w:numPr>
        <w:tabs>
          <w:tab w:pos="298" w:val="left" w:leader="none"/>
        </w:tabs>
        <w:spacing w:line="288" w:lineRule="exact" w:before="0" w:after="0"/>
        <w:ind w:left="297" w:right="0" w:hanging="179"/>
        <w:jc w:val="left"/>
        <w:rPr>
          <w:i/>
          <w:sz w:val="18"/>
        </w:rPr>
      </w:pPr>
      <w:r>
        <w:rPr>
          <w:i/>
          <w:sz w:val="18"/>
        </w:rPr>
        <w:t>DG MARKT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Main developments in the postal sector (2008 – 2010)</w:t>
      </w:r>
    </w:p>
    <w:p>
      <w:pPr>
        <w:pStyle w:val="BodyText"/>
        <w:spacing w:before="1"/>
        <w:ind w:left="0"/>
        <w:rPr>
          <w:i/>
          <w:sz w:val="23"/>
        </w:rPr>
      </w:pPr>
    </w:p>
    <w:p>
      <w:pPr>
        <w:pStyle w:val="ListParagraph"/>
        <w:numPr>
          <w:ilvl w:val="1"/>
          <w:numId w:val="4"/>
        </w:numPr>
        <w:tabs>
          <w:tab w:pos="3597" w:val="left" w:leader="none"/>
        </w:tabs>
        <w:spacing w:line="240" w:lineRule="auto" w:before="100" w:after="0"/>
        <w:ind w:left="3596" w:right="0" w:hanging="424"/>
        <w:jc w:val="left"/>
        <w:rPr>
          <w:i/>
          <w:sz w:val="18"/>
        </w:rPr>
      </w:pPr>
      <w:r>
        <w:rPr>
          <w:i/>
          <w:sz w:val="18"/>
        </w:rPr>
        <w:t>Законска регулатива у области поштанских услуга</w:t>
      </w:r>
    </w:p>
    <w:p>
      <w:pPr>
        <w:pStyle w:val="BodyText"/>
        <w:spacing w:line="230" w:lineRule="auto" w:before="118"/>
        <w:ind w:right="136" w:firstLine="480"/>
      </w:pPr>
      <w:r>
        <w:rPr/>
        <w:t>Правни оквир који регулише област поштанских услуга у Републици Србији састоји се од следећих закона и</w:t>
      </w:r>
      <w:r>
        <w:rPr>
          <w:spacing w:val="-61"/>
        </w:rPr>
        <w:t> </w:t>
      </w:r>
      <w:r>
        <w:rPr/>
        <w:t>подзаконских аката:</w:t>
      </w: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150" w:after="0"/>
        <w:ind w:left="119" w:right="167" w:firstLine="480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поштанским</w:t>
      </w:r>
      <w:r>
        <w:rPr>
          <w:spacing w:val="-3"/>
          <w:sz w:val="18"/>
        </w:rPr>
        <w:t> </w:t>
      </w:r>
      <w:r>
        <w:rPr>
          <w:sz w:val="18"/>
        </w:rPr>
        <w:t>услугама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3"/>
          <w:sz w:val="18"/>
        </w:rPr>
        <w:t> </w:t>
      </w:r>
      <w:r>
        <w:rPr>
          <w:sz w:val="18"/>
        </w:rPr>
        <w:t>бр.</w:t>
      </w:r>
      <w:r>
        <w:rPr>
          <w:spacing w:val="-2"/>
          <w:sz w:val="18"/>
        </w:rPr>
        <w:t> </w:t>
      </w:r>
      <w:r>
        <w:rPr>
          <w:sz w:val="18"/>
        </w:rPr>
        <w:t>18/05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30/10)</w:t>
      </w:r>
      <w:r>
        <w:rPr>
          <w:spacing w:val="-3"/>
          <w:sz w:val="18"/>
        </w:rPr>
        <w:t> </w:t>
      </w:r>
      <w:r>
        <w:rPr>
          <w:sz w:val="18"/>
        </w:rPr>
        <w:t>прописује</w:t>
      </w:r>
      <w:r>
        <w:rPr>
          <w:spacing w:val="-2"/>
          <w:sz w:val="18"/>
        </w:rPr>
        <w:t> </w:t>
      </w:r>
      <w:r>
        <w:rPr>
          <w:sz w:val="18"/>
        </w:rPr>
        <w:t>услове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3"/>
          <w:sz w:val="18"/>
        </w:rPr>
        <w:t> </w:t>
      </w:r>
      <w:r>
        <w:rPr>
          <w:sz w:val="18"/>
        </w:rPr>
        <w:t>обављање</w:t>
      </w:r>
      <w:r>
        <w:rPr>
          <w:spacing w:val="-60"/>
          <w:sz w:val="18"/>
        </w:rPr>
        <w:t> </w:t>
      </w:r>
      <w:r>
        <w:rPr>
          <w:sz w:val="18"/>
        </w:rPr>
        <w:t>поштанских услуга, уређује права, обавезе и одговорност давалаца и корисника поштанских услуга, као и</w:t>
      </w:r>
      <w:r>
        <w:rPr>
          <w:spacing w:val="1"/>
          <w:sz w:val="18"/>
        </w:rPr>
        <w:t> </w:t>
      </w:r>
      <w:r>
        <w:rPr>
          <w:sz w:val="18"/>
        </w:rPr>
        <w:t>оснивање РАПУС-а и спровођење надзора над обављањем поштанских услуга;</w:t>
      </w: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150" w:after="0"/>
        <w:ind w:left="119" w:right="170" w:firstLine="480"/>
        <w:jc w:val="left"/>
        <w:rPr>
          <w:sz w:val="18"/>
        </w:rPr>
      </w:pPr>
      <w:hyperlink r:id="rId15">
        <w:r>
          <w:rPr>
            <w:color w:val="008000"/>
            <w:sz w:val="18"/>
          </w:rPr>
          <w:t>Закон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о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потврђивању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аката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Светског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поштанског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савеза</w:t>
        </w:r>
        <w:r>
          <w:rPr>
            <w:color w:val="008000"/>
            <w:spacing w:val="-2"/>
            <w:sz w:val="18"/>
          </w:rPr>
          <w:t> </w:t>
        </w:r>
        <w:r>
          <w:rPr>
            <w:color w:val="008000"/>
            <w:sz w:val="18"/>
          </w:rPr>
          <w:t>(„Службени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гласник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РС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–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Међународни</w:t>
        </w:r>
        <w:r>
          <w:rPr>
            <w:color w:val="008000"/>
            <w:spacing w:val="-3"/>
            <w:sz w:val="18"/>
          </w:rPr>
          <w:t> </w:t>
        </w:r>
        <w:r>
          <w:rPr>
            <w:color w:val="008000"/>
            <w:sz w:val="18"/>
          </w:rPr>
          <w:t>уговори”,</w:t>
        </w:r>
        <w:r>
          <w:rPr>
            <w:color w:val="008000"/>
            <w:spacing w:val="-60"/>
            <w:sz w:val="18"/>
          </w:rPr>
          <w:t> </w:t>
        </w:r>
        <w:r>
          <w:rPr>
            <w:color w:val="008000"/>
            <w:sz w:val="18"/>
          </w:rPr>
          <w:t>број 42/09) </w:t>
        </w:r>
        <w:r>
          <w:rPr>
            <w:sz w:val="18"/>
          </w:rPr>
          <w:t>овим законом</w:t>
        </w:r>
        <w:r>
          <w:rPr>
            <w:spacing w:val="1"/>
            <w:sz w:val="18"/>
          </w:rPr>
          <w:t> </w:t>
        </w:r>
        <w:r>
          <w:rPr>
            <w:sz w:val="18"/>
          </w:rPr>
          <w:t>су ратификована</w:t>
        </w:r>
        <w:r>
          <w:rPr>
            <w:spacing w:val="1"/>
            <w:sz w:val="18"/>
          </w:rPr>
          <w:t> </w:t>
        </w:r>
        <w:r>
          <w:rPr>
            <w:sz w:val="18"/>
          </w:rPr>
          <w:t>акта СПС</w:t>
        </w:r>
        <w:r>
          <w:rPr>
            <w:spacing w:val="1"/>
            <w:sz w:val="18"/>
          </w:rPr>
          <w:t> </w:t>
        </w:r>
        <w:r>
          <w:rPr>
            <w:sz w:val="18"/>
          </w:rPr>
          <w:t>усвојена</w:t>
        </w:r>
        <w:r>
          <w:rPr>
            <w:spacing w:val="1"/>
            <w:sz w:val="18"/>
          </w:rPr>
          <w:t> </w:t>
        </w:r>
        <w:r>
          <w:rPr>
            <w:sz w:val="18"/>
          </w:rPr>
          <w:t>на 24.</w:t>
        </w:r>
        <w:r>
          <w:rPr>
            <w:spacing w:val="1"/>
            <w:sz w:val="18"/>
          </w:rPr>
          <w:t> </w:t>
        </w:r>
        <w:r>
          <w:rPr>
            <w:sz w:val="18"/>
          </w:rPr>
          <w:t>Конгресу, одржаном</w:t>
        </w:r>
        <w:r>
          <w:rPr>
            <w:spacing w:val="1"/>
            <w:sz w:val="18"/>
          </w:rPr>
          <w:t> </w:t>
        </w:r>
        <w:r>
          <w:rPr>
            <w:sz w:val="18"/>
          </w:rPr>
          <w:t>2008. године</w:t>
        </w:r>
        <w:r>
          <w:rPr>
            <w:spacing w:val="1"/>
            <w:sz w:val="18"/>
          </w:rPr>
          <w:t> </w:t>
        </w:r>
        <w:r>
          <w:rPr>
            <w:sz w:val="18"/>
          </w:rPr>
          <w:t>у</w:t>
        </w:r>
      </w:hyperlink>
      <w:r>
        <w:rPr>
          <w:spacing w:val="1"/>
          <w:sz w:val="18"/>
        </w:rPr>
        <w:t> </w:t>
      </w:r>
      <w:r>
        <w:rPr>
          <w:sz w:val="18"/>
        </w:rPr>
        <w:t>Женеви, и то: Осми додатни протокол Уставу Светског поштанског савеза, Први додатни протокол Општем</w:t>
      </w:r>
      <w:r>
        <w:rPr>
          <w:spacing w:val="1"/>
          <w:sz w:val="18"/>
        </w:rPr>
        <w:t> </w:t>
      </w:r>
      <w:r>
        <w:rPr>
          <w:sz w:val="18"/>
        </w:rPr>
        <w:t>правилнику Светског поштанског савеза, Правилник о поступању на Конгресу, Светска поштанска конвенција и</w:t>
      </w:r>
      <w:r>
        <w:rPr>
          <w:spacing w:val="1"/>
          <w:sz w:val="18"/>
        </w:rPr>
        <w:t> </w:t>
      </w:r>
      <w:r>
        <w:rPr>
          <w:sz w:val="18"/>
        </w:rPr>
        <w:t>Завршни протокол Светске поштанске конвенције, Аранжман о поштанско-финансијским услугама;</w:t>
      </w: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150" w:after="0"/>
        <w:ind w:left="119" w:right="232" w:firstLine="480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спречавању</w:t>
      </w:r>
      <w:r>
        <w:rPr>
          <w:spacing w:val="-3"/>
          <w:sz w:val="18"/>
        </w:rPr>
        <w:t> </w:t>
      </w:r>
      <w:r>
        <w:rPr>
          <w:sz w:val="18"/>
        </w:rPr>
        <w:t>прања</w:t>
      </w:r>
      <w:r>
        <w:rPr>
          <w:spacing w:val="-2"/>
          <w:sz w:val="18"/>
        </w:rPr>
        <w:t> </w:t>
      </w:r>
      <w:r>
        <w:rPr>
          <w:sz w:val="18"/>
        </w:rPr>
        <w:t>новца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финансирања</w:t>
      </w:r>
      <w:r>
        <w:rPr>
          <w:spacing w:val="-3"/>
          <w:sz w:val="18"/>
        </w:rPr>
        <w:t> </w:t>
      </w:r>
      <w:r>
        <w:rPr>
          <w:sz w:val="18"/>
        </w:rPr>
        <w:t>тероризма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3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бр.</w:t>
      </w:r>
      <w:r>
        <w:rPr>
          <w:spacing w:val="-3"/>
          <w:sz w:val="18"/>
        </w:rPr>
        <w:t> </w:t>
      </w:r>
      <w:r>
        <w:rPr>
          <w:sz w:val="18"/>
        </w:rPr>
        <w:t>20/09,</w:t>
      </w:r>
      <w:r>
        <w:rPr>
          <w:spacing w:val="-2"/>
          <w:sz w:val="18"/>
        </w:rPr>
        <w:t> </w:t>
      </w:r>
      <w:r>
        <w:rPr>
          <w:sz w:val="18"/>
        </w:rPr>
        <w:t>72/09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60"/>
          <w:sz w:val="18"/>
        </w:rPr>
        <w:t> </w:t>
      </w:r>
      <w:r>
        <w:rPr>
          <w:sz w:val="18"/>
        </w:rPr>
        <w:t>91/10) на основу кога надлежно министарство, преко Инспекције за поштанске услуге, врши надзор над</w:t>
      </w:r>
      <w:r>
        <w:rPr>
          <w:spacing w:val="1"/>
          <w:sz w:val="18"/>
        </w:rPr>
        <w:t> </w:t>
      </w:r>
      <w:r>
        <w:rPr>
          <w:sz w:val="18"/>
        </w:rPr>
        <w:t>применом овог закона у погледу вредносних пошиљака;</w:t>
      </w: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150" w:after="0"/>
        <w:ind w:left="119" w:right="201" w:firstLine="480"/>
        <w:jc w:val="left"/>
        <w:rPr>
          <w:sz w:val="18"/>
        </w:rPr>
      </w:pPr>
      <w:r>
        <w:rPr>
          <w:sz w:val="18"/>
        </w:rPr>
        <w:t>Закон о електронској трговини („Службени гласник РС”, број 41/09) на основу кога надлежно</w:t>
      </w:r>
      <w:r>
        <w:rPr>
          <w:spacing w:val="1"/>
          <w:sz w:val="18"/>
        </w:rPr>
        <w:t> </w:t>
      </w:r>
      <w:r>
        <w:rPr>
          <w:sz w:val="18"/>
        </w:rPr>
        <w:t>министарство, преко Инспекције за поштанске услуге, врши надзор у делу пријема, прераде, превоза и уручења</w:t>
      </w:r>
      <w:r>
        <w:rPr>
          <w:spacing w:val="-61"/>
          <w:sz w:val="18"/>
        </w:rPr>
        <w:t> </w:t>
      </w:r>
      <w:r>
        <w:rPr>
          <w:sz w:val="18"/>
        </w:rPr>
        <w:t>пошиљака;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97" w:after="0"/>
        <w:ind w:left="119" w:right="148" w:firstLine="480"/>
        <w:jc w:val="left"/>
        <w:rPr>
          <w:sz w:val="18"/>
        </w:rPr>
      </w:pPr>
      <w:r>
        <w:rPr>
          <w:sz w:val="18"/>
        </w:rPr>
        <w:t>Правилник</w:t>
      </w:r>
      <w:r>
        <w:rPr>
          <w:spacing w:val="-4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условима</w:t>
      </w:r>
      <w:r>
        <w:rPr>
          <w:spacing w:val="-3"/>
          <w:sz w:val="18"/>
        </w:rPr>
        <w:t> </w:t>
      </w:r>
      <w:r>
        <w:rPr>
          <w:sz w:val="18"/>
        </w:rPr>
        <w:t>за</w:t>
      </w:r>
      <w:r>
        <w:rPr>
          <w:spacing w:val="-3"/>
          <w:sz w:val="18"/>
        </w:rPr>
        <w:t> </w:t>
      </w:r>
      <w:r>
        <w:rPr>
          <w:sz w:val="18"/>
        </w:rPr>
        <w:t>отпочињање</w:t>
      </w:r>
      <w:r>
        <w:rPr>
          <w:spacing w:val="-3"/>
          <w:sz w:val="18"/>
        </w:rPr>
        <w:t> </w:t>
      </w:r>
      <w:r>
        <w:rPr>
          <w:sz w:val="18"/>
        </w:rPr>
        <w:t>обављања</w:t>
      </w:r>
      <w:r>
        <w:rPr>
          <w:spacing w:val="-3"/>
          <w:sz w:val="18"/>
        </w:rPr>
        <w:t> </w:t>
      </w:r>
      <w:r>
        <w:rPr>
          <w:sz w:val="18"/>
        </w:rPr>
        <w:t>делатности</w:t>
      </w:r>
      <w:r>
        <w:rPr>
          <w:spacing w:val="-3"/>
          <w:sz w:val="18"/>
        </w:rPr>
        <w:t> </w:t>
      </w:r>
      <w:r>
        <w:rPr>
          <w:sz w:val="18"/>
        </w:rPr>
        <w:t>поштанских</w:t>
      </w:r>
      <w:r>
        <w:rPr>
          <w:spacing w:val="-3"/>
          <w:sz w:val="18"/>
        </w:rPr>
        <w:t> </w:t>
      </w:r>
      <w:r>
        <w:rPr>
          <w:sz w:val="18"/>
        </w:rPr>
        <w:t>услуга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3"/>
          <w:sz w:val="18"/>
        </w:rPr>
        <w:t> </w:t>
      </w:r>
      <w:r>
        <w:rPr>
          <w:sz w:val="18"/>
        </w:rPr>
        <w:t>РС”,</w:t>
      </w:r>
      <w:r>
        <w:rPr>
          <w:spacing w:val="-61"/>
          <w:sz w:val="18"/>
        </w:rPr>
        <w:t> </w:t>
      </w:r>
      <w:r>
        <w:rPr>
          <w:sz w:val="18"/>
        </w:rPr>
        <w:t>број 51/10) прописује услове које морају да испуњавају ПО;</w:t>
      </w: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150" w:after="0"/>
        <w:ind w:left="119" w:right="1229" w:firstLine="480"/>
        <w:jc w:val="left"/>
        <w:rPr>
          <w:sz w:val="18"/>
        </w:rPr>
      </w:pPr>
      <w:r>
        <w:rPr>
          <w:sz w:val="18"/>
        </w:rPr>
        <w:t>Правилник о условима за одржавање и унапређење обављања универзалне поштанске услуге</w:t>
      </w:r>
      <w:r>
        <w:rPr>
          <w:spacing w:val="-6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 број</w:t>
      </w:r>
      <w:r>
        <w:rPr>
          <w:spacing w:val="-1"/>
          <w:sz w:val="18"/>
        </w:rPr>
        <w:t> </w:t>
      </w:r>
      <w:r>
        <w:rPr>
          <w:sz w:val="18"/>
        </w:rPr>
        <w:t>6/11) прописује</w:t>
      </w:r>
      <w:r>
        <w:rPr>
          <w:spacing w:val="-1"/>
          <w:sz w:val="18"/>
        </w:rPr>
        <w:t> </w:t>
      </w:r>
      <w:r>
        <w:rPr>
          <w:sz w:val="18"/>
        </w:rPr>
        <w:t>услове</w:t>
      </w:r>
      <w:r>
        <w:rPr>
          <w:spacing w:val="-1"/>
          <w:sz w:val="18"/>
        </w:rPr>
        <w:t> </w:t>
      </w:r>
      <w:r>
        <w:rPr>
          <w:sz w:val="18"/>
        </w:rPr>
        <w:t>за одржавање</w:t>
      </w:r>
      <w:r>
        <w:rPr>
          <w:spacing w:val="-1"/>
          <w:sz w:val="18"/>
        </w:rPr>
        <w:t> </w:t>
      </w:r>
      <w:r>
        <w:rPr>
          <w:sz w:val="18"/>
        </w:rPr>
        <w:t>и унапређење</w:t>
      </w:r>
      <w:r>
        <w:rPr>
          <w:spacing w:val="-1"/>
          <w:sz w:val="18"/>
        </w:rPr>
        <w:t> </w:t>
      </w:r>
      <w:r>
        <w:rPr>
          <w:sz w:val="18"/>
        </w:rPr>
        <w:t>УПУ;</w:t>
      </w: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150" w:after="0"/>
        <w:ind w:left="119" w:right="231" w:firstLine="480"/>
        <w:jc w:val="left"/>
        <w:rPr>
          <w:sz w:val="18"/>
        </w:rPr>
      </w:pPr>
      <w:r>
        <w:rPr>
          <w:sz w:val="18"/>
        </w:rPr>
        <w:t>Правилник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условима</w:t>
      </w:r>
      <w:r>
        <w:rPr>
          <w:spacing w:val="-3"/>
          <w:sz w:val="18"/>
        </w:rPr>
        <w:t> </w:t>
      </w:r>
      <w:r>
        <w:rPr>
          <w:sz w:val="18"/>
        </w:rPr>
        <w:t>за</w:t>
      </w:r>
      <w:r>
        <w:rPr>
          <w:spacing w:val="-3"/>
          <w:sz w:val="18"/>
        </w:rPr>
        <w:t> </w:t>
      </w:r>
      <w:r>
        <w:rPr>
          <w:sz w:val="18"/>
        </w:rPr>
        <w:t>обављање</w:t>
      </w:r>
      <w:r>
        <w:rPr>
          <w:spacing w:val="-3"/>
          <w:sz w:val="18"/>
        </w:rPr>
        <w:t> </w:t>
      </w:r>
      <w:r>
        <w:rPr>
          <w:sz w:val="18"/>
        </w:rPr>
        <w:t>универзалне</w:t>
      </w:r>
      <w:r>
        <w:rPr>
          <w:spacing w:val="-3"/>
          <w:sz w:val="18"/>
        </w:rPr>
        <w:t> </w:t>
      </w:r>
      <w:r>
        <w:rPr>
          <w:sz w:val="18"/>
        </w:rPr>
        <w:t>поштанске</w:t>
      </w:r>
      <w:r>
        <w:rPr>
          <w:spacing w:val="-2"/>
          <w:sz w:val="18"/>
        </w:rPr>
        <w:t> </w:t>
      </w:r>
      <w:r>
        <w:rPr>
          <w:sz w:val="18"/>
        </w:rPr>
        <w:t>услуге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3"/>
          <w:sz w:val="18"/>
        </w:rPr>
        <w:t> </w:t>
      </w:r>
      <w:r>
        <w:rPr>
          <w:sz w:val="18"/>
        </w:rPr>
        <w:t>РС”,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3"/>
          <w:sz w:val="18"/>
        </w:rPr>
        <w:t> </w:t>
      </w:r>
      <w:r>
        <w:rPr>
          <w:sz w:val="18"/>
        </w:rPr>
        <w:t>28/10)</w:t>
      </w:r>
      <w:r>
        <w:rPr>
          <w:spacing w:val="-60"/>
          <w:sz w:val="18"/>
        </w:rPr>
        <w:t> </w:t>
      </w:r>
      <w:r>
        <w:rPr>
          <w:sz w:val="18"/>
        </w:rPr>
        <w:t>прописује услове које давалац УПУ мора испунити за добијање лиценце;</w:t>
      </w: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150" w:after="0"/>
        <w:ind w:left="119" w:right="372" w:firstLine="480"/>
        <w:jc w:val="left"/>
        <w:rPr>
          <w:sz w:val="18"/>
        </w:rPr>
      </w:pPr>
      <w:r>
        <w:rPr>
          <w:sz w:val="18"/>
        </w:rPr>
        <w:t>Правилник</w:t>
      </w:r>
      <w:r>
        <w:rPr>
          <w:spacing w:val="-4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одређивању</w:t>
      </w:r>
      <w:r>
        <w:rPr>
          <w:spacing w:val="-3"/>
          <w:sz w:val="18"/>
        </w:rPr>
        <w:t> </w:t>
      </w:r>
      <w:r>
        <w:rPr>
          <w:sz w:val="18"/>
        </w:rPr>
        <w:t>тарифних</w:t>
      </w:r>
      <w:r>
        <w:rPr>
          <w:spacing w:val="-3"/>
          <w:sz w:val="18"/>
        </w:rPr>
        <w:t> </w:t>
      </w:r>
      <w:r>
        <w:rPr>
          <w:sz w:val="18"/>
        </w:rPr>
        <w:t>ставова</w:t>
      </w:r>
      <w:r>
        <w:rPr>
          <w:spacing w:val="-3"/>
          <w:sz w:val="18"/>
        </w:rPr>
        <w:t> </w:t>
      </w:r>
      <w:r>
        <w:rPr>
          <w:sz w:val="18"/>
        </w:rPr>
        <w:t>за</w:t>
      </w:r>
      <w:r>
        <w:rPr>
          <w:spacing w:val="-3"/>
          <w:sz w:val="18"/>
        </w:rPr>
        <w:t> </w:t>
      </w:r>
      <w:r>
        <w:rPr>
          <w:sz w:val="18"/>
        </w:rPr>
        <w:t>Универзалну</w:t>
      </w:r>
      <w:r>
        <w:rPr>
          <w:spacing w:val="-3"/>
          <w:sz w:val="18"/>
        </w:rPr>
        <w:t> </w:t>
      </w:r>
      <w:r>
        <w:rPr>
          <w:sz w:val="18"/>
        </w:rPr>
        <w:t>поштанску</w:t>
      </w:r>
      <w:r>
        <w:rPr>
          <w:spacing w:val="-3"/>
          <w:sz w:val="18"/>
        </w:rPr>
        <w:t> </w:t>
      </w:r>
      <w:r>
        <w:rPr>
          <w:sz w:val="18"/>
        </w:rPr>
        <w:t>услугу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3"/>
          <w:sz w:val="18"/>
        </w:rPr>
        <w:t> </w:t>
      </w:r>
      <w:r>
        <w:rPr>
          <w:sz w:val="18"/>
        </w:rPr>
        <w:t>РС”,</w:t>
      </w:r>
      <w:r>
        <w:rPr>
          <w:spacing w:val="-60"/>
          <w:sz w:val="18"/>
        </w:rPr>
        <w:t> </w:t>
      </w:r>
      <w:r>
        <w:rPr>
          <w:sz w:val="18"/>
        </w:rPr>
        <w:t>бр. 34/10, 58/10, 02/11 и 65/11) утврђује тарифне ставове за УПУ;</w:t>
      </w:r>
    </w:p>
    <w:p>
      <w:pPr>
        <w:pStyle w:val="ListParagraph"/>
        <w:numPr>
          <w:ilvl w:val="1"/>
          <w:numId w:val="7"/>
        </w:numPr>
        <w:tabs>
          <w:tab w:pos="860" w:val="left" w:leader="none"/>
        </w:tabs>
        <w:spacing w:line="230" w:lineRule="auto" w:before="150" w:after="0"/>
        <w:ind w:left="119" w:right="171" w:firstLine="480"/>
        <w:jc w:val="left"/>
        <w:rPr>
          <w:sz w:val="18"/>
        </w:rPr>
      </w:pPr>
      <w:r>
        <w:rPr>
          <w:sz w:val="18"/>
        </w:rPr>
        <w:t>Правилник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општим</w:t>
      </w:r>
      <w:r>
        <w:rPr>
          <w:spacing w:val="-2"/>
          <w:sz w:val="18"/>
        </w:rPr>
        <w:t> </w:t>
      </w:r>
      <w:r>
        <w:rPr>
          <w:sz w:val="18"/>
        </w:rPr>
        <w:t>условима</w:t>
      </w:r>
      <w:r>
        <w:rPr>
          <w:spacing w:val="-3"/>
          <w:sz w:val="18"/>
        </w:rPr>
        <w:t> </w:t>
      </w:r>
      <w:r>
        <w:rPr>
          <w:sz w:val="18"/>
        </w:rPr>
        <w:t>за</w:t>
      </w:r>
      <w:r>
        <w:rPr>
          <w:spacing w:val="-3"/>
          <w:sz w:val="18"/>
        </w:rPr>
        <w:t> </w:t>
      </w:r>
      <w:r>
        <w:rPr>
          <w:sz w:val="18"/>
        </w:rPr>
        <w:t>обављање</w:t>
      </w:r>
      <w:r>
        <w:rPr>
          <w:spacing w:val="-2"/>
          <w:sz w:val="18"/>
        </w:rPr>
        <w:t> </w:t>
      </w:r>
      <w:r>
        <w:rPr>
          <w:sz w:val="18"/>
        </w:rPr>
        <w:t>поштанских</w:t>
      </w:r>
      <w:r>
        <w:rPr>
          <w:spacing w:val="-3"/>
          <w:sz w:val="18"/>
        </w:rPr>
        <w:t> </w:t>
      </w:r>
      <w:r>
        <w:rPr>
          <w:sz w:val="18"/>
        </w:rPr>
        <w:t>услуга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3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бр.</w:t>
      </w:r>
      <w:r>
        <w:rPr>
          <w:spacing w:val="-3"/>
          <w:sz w:val="18"/>
        </w:rPr>
        <w:t> </w:t>
      </w:r>
      <w:r>
        <w:rPr>
          <w:sz w:val="18"/>
        </w:rPr>
        <w:t>2/11,</w:t>
      </w:r>
      <w:r>
        <w:rPr>
          <w:spacing w:val="-2"/>
          <w:sz w:val="18"/>
        </w:rPr>
        <w:t> </w:t>
      </w:r>
      <w:r>
        <w:rPr>
          <w:sz w:val="18"/>
        </w:rPr>
        <w:t>24/10,</w:t>
      </w:r>
      <w:r>
        <w:rPr>
          <w:spacing w:val="-61"/>
          <w:sz w:val="18"/>
        </w:rPr>
        <w:t> </w:t>
      </w:r>
      <w:r>
        <w:rPr>
          <w:sz w:val="18"/>
        </w:rPr>
        <w:t>58/10, 13/11 и 65/11) уређује услове, начин и поступак за вршење поштанских услуга;</w:t>
      </w:r>
    </w:p>
    <w:p>
      <w:pPr>
        <w:pStyle w:val="ListParagraph"/>
        <w:numPr>
          <w:ilvl w:val="1"/>
          <w:numId w:val="7"/>
        </w:numPr>
        <w:tabs>
          <w:tab w:pos="974" w:val="left" w:leader="none"/>
        </w:tabs>
        <w:spacing w:line="230" w:lineRule="auto" w:before="150" w:after="0"/>
        <w:ind w:left="119" w:right="358" w:firstLine="480"/>
        <w:jc w:val="left"/>
        <w:rPr>
          <w:sz w:val="18"/>
        </w:rPr>
      </w:pPr>
      <w:r>
        <w:rPr>
          <w:sz w:val="18"/>
        </w:rPr>
        <w:t>Правилник о стандардима квалитета за обављање универзалне поштанске услуге („Службени гласник</w:t>
      </w:r>
      <w:r>
        <w:rPr>
          <w:spacing w:val="-61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бр. 34/10 и</w:t>
      </w:r>
      <w:r>
        <w:rPr>
          <w:spacing w:val="-1"/>
          <w:sz w:val="18"/>
        </w:rPr>
        <w:t> </w:t>
      </w:r>
      <w:r>
        <w:rPr>
          <w:sz w:val="18"/>
        </w:rPr>
        <w:t>58/10) дефинише стандарде квалитета</w:t>
      </w:r>
      <w:r>
        <w:rPr>
          <w:spacing w:val="-1"/>
          <w:sz w:val="18"/>
        </w:rPr>
        <w:t> </w:t>
      </w:r>
      <w:r>
        <w:rPr>
          <w:sz w:val="18"/>
        </w:rPr>
        <w:t>обављања УПУ;</w:t>
      </w:r>
    </w:p>
    <w:p>
      <w:pPr>
        <w:pStyle w:val="ListParagraph"/>
        <w:numPr>
          <w:ilvl w:val="1"/>
          <w:numId w:val="7"/>
        </w:numPr>
        <w:tabs>
          <w:tab w:pos="974" w:val="left" w:leader="none"/>
        </w:tabs>
        <w:spacing w:line="230" w:lineRule="auto" w:before="150" w:after="0"/>
        <w:ind w:left="119" w:right="386" w:firstLine="480"/>
        <w:jc w:val="left"/>
        <w:rPr>
          <w:sz w:val="18"/>
        </w:rPr>
      </w:pPr>
      <w:r>
        <w:rPr>
          <w:sz w:val="18"/>
        </w:rPr>
        <w:t>Правилник о утврђивању трошкова за издавање дозвола и годишње накнаде за обављање поштанске</w:t>
      </w:r>
      <w:r>
        <w:rPr>
          <w:spacing w:val="-61"/>
          <w:sz w:val="18"/>
        </w:rPr>
        <w:t> </w:t>
      </w:r>
      <w:r>
        <w:rPr>
          <w:sz w:val="18"/>
        </w:rPr>
        <w:t>услуге („Службени гласник РС”, број 14/10) прописује трошкове за издавање дозвола и годишње накнаде за</w:t>
      </w:r>
      <w:r>
        <w:rPr>
          <w:spacing w:val="1"/>
          <w:sz w:val="18"/>
        </w:rPr>
        <w:t> </w:t>
      </w:r>
      <w:r>
        <w:rPr>
          <w:sz w:val="18"/>
        </w:rPr>
        <w:t>обављање поштанске услуге;</w:t>
      </w:r>
    </w:p>
    <w:p>
      <w:pPr>
        <w:pStyle w:val="ListParagraph"/>
        <w:numPr>
          <w:ilvl w:val="1"/>
          <w:numId w:val="7"/>
        </w:numPr>
        <w:tabs>
          <w:tab w:pos="974" w:val="left" w:leader="none"/>
        </w:tabs>
        <w:spacing w:line="230" w:lineRule="auto" w:before="150" w:after="0"/>
        <w:ind w:left="119" w:right="253" w:firstLine="480"/>
        <w:jc w:val="left"/>
        <w:rPr>
          <w:sz w:val="18"/>
        </w:rPr>
      </w:pPr>
      <w:r>
        <w:rPr>
          <w:sz w:val="18"/>
        </w:rPr>
        <w:t>Правилник</w:t>
      </w:r>
      <w:r>
        <w:rPr>
          <w:spacing w:val="-4"/>
          <w:sz w:val="18"/>
        </w:rPr>
        <w:t> </w:t>
      </w:r>
      <w:r>
        <w:rPr>
          <w:sz w:val="18"/>
        </w:rPr>
        <w:t>о</w:t>
      </w:r>
      <w:r>
        <w:rPr>
          <w:spacing w:val="-3"/>
          <w:sz w:val="18"/>
        </w:rPr>
        <w:t> </w:t>
      </w:r>
      <w:r>
        <w:rPr>
          <w:sz w:val="18"/>
        </w:rPr>
        <w:t>методологији</w:t>
      </w:r>
      <w:r>
        <w:rPr>
          <w:spacing w:val="-3"/>
          <w:sz w:val="18"/>
        </w:rPr>
        <w:t> </w:t>
      </w:r>
      <w:r>
        <w:rPr>
          <w:sz w:val="18"/>
        </w:rPr>
        <w:t>формирања</w:t>
      </w:r>
      <w:r>
        <w:rPr>
          <w:spacing w:val="-3"/>
          <w:sz w:val="18"/>
        </w:rPr>
        <w:t> </w:t>
      </w:r>
      <w:r>
        <w:rPr>
          <w:sz w:val="18"/>
        </w:rPr>
        <w:t>цена</w:t>
      </w:r>
      <w:r>
        <w:rPr>
          <w:spacing w:val="-3"/>
          <w:sz w:val="18"/>
        </w:rPr>
        <w:t> </w:t>
      </w:r>
      <w:r>
        <w:rPr>
          <w:sz w:val="18"/>
        </w:rPr>
        <w:t>за</w:t>
      </w:r>
      <w:r>
        <w:rPr>
          <w:spacing w:val="-3"/>
          <w:sz w:val="18"/>
        </w:rPr>
        <w:t> </w:t>
      </w:r>
      <w:r>
        <w:rPr>
          <w:sz w:val="18"/>
        </w:rPr>
        <w:t>универзалну</w:t>
      </w:r>
      <w:r>
        <w:rPr>
          <w:spacing w:val="-3"/>
          <w:sz w:val="18"/>
        </w:rPr>
        <w:t> </w:t>
      </w:r>
      <w:r>
        <w:rPr>
          <w:sz w:val="18"/>
        </w:rPr>
        <w:t>поштанску</w:t>
      </w:r>
      <w:r>
        <w:rPr>
          <w:spacing w:val="-3"/>
          <w:sz w:val="18"/>
        </w:rPr>
        <w:t> </w:t>
      </w:r>
      <w:r>
        <w:rPr>
          <w:sz w:val="18"/>
        </w:rPr>
        <w:t>услугу</w:t>
      </w:r>
      <w:r>
        <w:rPr>
          <w:spacing w:val="-3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3"/>
          <w:sz w:val="18"/>
        </w:rPr>
        <w:t> </w:t>
      </w:r>
      <w:r>
        <w:rPr>
          <w:sz w:val="18"/>
        </w:rPr>
        <w:t>РС”,</w:t>
      </w:r>
      <w:r>
        <w:rPr>
          <w:spacing w:val="-61"/>
          <w:sz w:val="18"/>
        </w:rPr>
        <w:t> </w:t>
      </w:r>
      <w:r>
        <w:rPr>
          <w:sz w:val="18"/>
        </w:rPr>
        <w:t>број 100/11) утврђује методе алокације трошкова и формирања цена са услуге из домена УПУ;</w:t>
      </w:r>
    </w:p>
    <w:p>
      <w:pPr>
        <w:pStyle w:val="ListParagraph"/>
        <w:numPr>
          <w:ilvl w:val="1"/>
          <w:numId w:val="7"/>
        </w:numPr>
        <w:tabs>
          <w:tab w:pos="974" w:val="left" w:leader="none"/>
        </w:tabs>
        <w:spacing w:line="230" w:lineRule="auto" w:before="150" w:after="0"/>
        <w:ind w:left="119" w:right="799" w:firstLine="480"/>
        <w:jc w:val="left"/>
        <w:rPr>
          <w:sz w:val="18"/>
        </w:rPr>
      </w:pPr>
      <w:r>
        <w:rPr>
          <w:sz w:val="18"/>
        </w:rPr>
        <w:t>Правилник о утврђивању плана издавања пригодних поштанских марака и вредносница и мотива</w:t>
      </w:r>
      <w:r>
        <w:rPr>
          <w:spacing w:val="-61"/>
          <w:sz w:val="18"/>
        </w:rPr>
        <w:t> </w:t>
      </w:r>
      <w:r>
        <w:rPr>
          <w:sz w:val="18"/>
        </w:rPr>
        <w:t>редовних издања поштанских марака и вредносница („Службени гласник РС”, бр. 112/12 и 27/13) овим</w:t>
      </w:r>
      <w:r>
        <w:rPr>
          <w:spacing w:val="1"/>
          <w:sz w:val="18"/>
        </w:rPr>
        <w:t> </w:t>
      </w:r>
      <w:r>
        <w:rPr>
          <w:sz w:val="18"/>
        </w:rPr>
        <w:t>правилником се утврђује План издавања пригодних поштанских марака и вредносница и мотива редовних</w:t>
      </w:r>
      <w:r>
        <w:rPr>
          <w:spacing w:val="-61"/>
          <w:sz w:val="18"/>
        </w:rPr>
        <w:t> </w:t>
      </w:r>
      <w:r>
        <w:rPr>
          <w:sz w:val="18"/>
        </w:rPr>
        <w:t>издања поштанских марака и вредносница;</w:t>
      </w:r>
    </w:p>
    <w:p>
      <w:pPr>
        <w:pStyle w:val="ListParagraph"/>
        <w:numPr>
          <w:ilvl w:val="1"/>
          <w:numId w:val="7"/>
        </w:numPr>
        <w:tabs>
          <w:tab w:pos="974" w:val="left" w:leader="none"/>
        </w:tabs>
        <w:spacing w:line="230" w:lineRule="auto" w:before="150" w:after="0"/>
        <w:ind w:left="119" w:right="214" w:firstLine="480"/>
        <w:jc w:val="left"/>
        <w:rPr>
          <w:sz w:val="18"/>
        </w:rPr>
      </w:pPr>
      <w:r>
        <w:rPr>
          <w:sz w:val="18"/>
        </w:rPr>
        <w:t>Смернице за процену ризика од прања новца и финансирања тероризма за обвезнике који врше</w:t>
      </w:r>
      <w:r>
        <w:rPr>
          <w:spacing w:val="1"/>
          <w:sz w:val="18"/>
        </w:rPr>
        <w:t> </w:t>
      </w:r>
      <w:r>
        <w:rPr>
          <w:sz w:val="18"/>
        </w:rPr>
        <w:t>делатност поштанског саобраћаја, објављене на сајту Управе за спречавање прања новца</w:t>
      </w:r>
      <w:r>
        <w:rPr>
          <w:spacing w:val="1"/>
          <w:sz w:val="18"/>
        </w:rPr>
        <w:t> </w:t>
      </w:r>
      <w:hyperlink r:id="rId16">
        <w:r>
          <w:rPr>
            <w:sz w:val="18"/>
          </w:rPr>
          <w:t>(http://www.apml.go</w:t>
        </w:r>
      </w:hyperlink>
      <w:r>
        <w:rPr>
          <w:sz w:val="18"/>
        </w:rPr>
        <w:t>v</w:t>
      </w:r>
      <w:hyperlink r:id="rId16">
        <w:r>
          <w:rPr>
            <w:sz w:val="18"/>
          </w:rPr>
          <w:t>.rs/cyr34/tdoc/</w:t>
        </w:r>
      </w:hyperlink>
      <w:r>
        <w:rPr>
          <w:spacing w:val="-7"/>
          <w:sz w:val="18"/>
        </w:rPr>
        <w:t> </w:t>
      </w:r>
      <w:r>
        <w:rPr>
          <w:sz w:val="18"/>
        </w:rPr>
        <w:t>Управа-за-спречавање-прања-новца.html),</w:t>
      </w:r>
      <w:r>
        <w:rPr>
          <w:spacing w:val="-6"/>
          <w:sz w:val="18"/>
        </w:rPr>
        <w:t> </w:t>
      </w:r>
      <w:r>
        <w:rPr>
          <w:sz w:val="18"/>
        </w:rPr>
        <w:t>чији</w:t>
      </w:r>
      <w:r>
        <w:rPr>
          <w:spacing w:val="-6"/>
          <w:sz w:val="18"/>
        </w:rPr>
        <w:t> </w:t>
      </w:r>
      <w:r>
        <w:rPr>
          <w:sz w:val="18"/>
        </w:rPr>
        <w:t>је</w:t>
      </w:r>
      <w:r>
        <w:rPr>
          <w:spacing w:val="-6"/>
          <w:sz w:val="18"/>
        </w:rPr>
        <w:t> </w:t>
      </w:r>
      <w:r>
        <w:rPr>
          <w:sz w:val="18"/>
        </w:rPr>
        <w:t>основни</w:t>
      </w:r>
      <w:r>
        <w:rPr>
          <w:spacing w:val="-7"/>
          <w:sz w:val="18"/>
        </w:rPr>
        <w:t> </w:t>
      </w:r>
      <w:r>
        <w:rPr>
          <w:sz w:val="18"/>
        </w:rPr>
        <w:t>циљ</w:t>
      </w:r>
      <w:r>
        <w:rPr>
          <w:spacing w:val="-6"/>
          <w:sz w:val="18"/>
        </w:rPr>
        <w:t> </w:t>
      </w:r>
      <w:r>
        <w:rPr>
          <w:sz w:val="18"/>
        </w:rPr>
        <w:t>утврђивање</w:t>
      </w:r>
      <w:r>
        <w:rPr>
          <w:spacing w:val="-60"/>
          <w:sz w:val="18"/>
        </w:rPr>
        <w:t> </w:t>
      </w:r>
      <w:r>
        <w:rPr>
          <w:sz w:val="18"/>
        </w:rPr>
        <w:t>минималног стандарда поступања поштанских оператора, ради успостављања и унапређења ефикасног система</w:t>
      </w:r>
      <w:r>
        <w:rPr>
          <w:spacing w:val="-61"/>
          <w:sz w:val="18"/>
        </w:rPr>
        <w:t> </w:t>
      </w:r>
      <w:r>
        <w:rPr>
          <w:sz w:val="18"/>
        </w:rPr>
        <w:t>за спречавање прања новца и финансирања тероризма, а посебно при изради и примени процедура које се</w:t>
      </w:r>
      <w:r>
        <w:rPr>
          <w:spacing w:val="1"/>
          <w:sz w:val="18"/>
        </w:rPr>
        <w:t> </w:t>
      </w:r>
      <w:r>
        <w:rPr>
          <w:sz w:val="18"/>
        </w:rPr>
        <w:t>заснивају на анализи процене ризика.</w:t>
      </w:r>
    </w:p>
    <w:p>
      <w:pPr>
        <w:pStyle w:val="BodyText"/>
        <w:spacing w:line="230" w:lineRule="auto"/>
        <w:ind w:right="605" w:firstLine="480"/>
      </w:pPr>
      <w:r>
        <w:rPr/>
        <w:t>У смислу закона и других прописа, као и у смислу надзора над применом истих, Република Србија</w:t>
      </w:r>
      <w:r>
        <w:rPr>
          <w:spacing w:val="1"/>
        </w:rPr>
        <w:t> </w:t>
      </w:r>
      <w:r>
        <w:rPr/>
        <w:t>напредује у процесу усклађивања са важећим директивама ЕУ, истовремено поступајући у складу са актима</w:t>
      </w:r>
      <w:r>
        <w:rPr>
          <w:spacing w:val="-61"/>
        </w:rPr>
        <w:t> </w:t>
      </w:r>
      <w:r>
        <w:rPr/>
        <w:t>СПС.</w:t>
      </w:r>
    </w:p>
    <w:p>
      <w:pPr>
        <w:pStyle w:val="BodyText"/>
        <w:spacing w:line="230" w:lineRule="auto"/>
        <w:ind w:right="146" w:firstLine="480"/>
      </w:pPr>
      <w:r>
        <w:rPr/>
        <w:t>Лимите по маси и цени за РПУ утврђује РАПУС уз сагласност Владе, а услуге ван домена РПУ (Табела 2.4) су</w:t>
      </w:r>
      <w:r>
        <w:rPr>
          <w:spacing w:val="-61"/>
        </w:rPr>
        <w:t> </w:t>
      </w:r>
      <w:r>
        <w:rPr/>
        <w:t>отворене за конкуренцију. Тарифне ставове утврђује регулатор. Давалац УПУ одређује поштарине, на основу</w:t>
      </w:r>
      <w:r>
        <w:rPr>
          <w:spacing w:val="1"/>
        </w:rPr>
        <w:t> </w:t>
      </w:r>
      <w:r>
        <w:rPr/>
        <w:t>Методологије формирања</w:t>
      </w:r>
      <w:r>
        <w:rPr>
          <w:spacing w:val="1"/>
        </w:rPr>
        <w:t> </w:t>
      </w:r>
      <w:r>
        <w:rPr/>
        <w:t>цена</w:t>
      </w:r>
      <w:r>
        <w:rPr>
          <w:spacing w:val="1"/>
        </w:rPr>
        <w:t> </w:t>
      </w:r>
      <w:r>
        <w:rPr/>
        <w:t>за УПУ,</w:t>
      </w:r>
      <w:r>
        <w:rPr>
          <w:spacing w:val="1"/>
        </w:rPr>
        <w:t> </w:t>
      </w:r>
      <w:r>
        <w:rPr/>
        <w:t>полазећи</w:t>
      </w:r>
      <w:r>
        <w:rPr>
          <w:spacing w:val="1"/>
        </w:rPr>
        <w:t> </w:t>
      </w:r>
      <w:r>
        <w:rPr/>
        <w:t>од реалних</w:t>
      </w:r>
      <w:r>
        <w:rPr>
          <w:spacing w:val="1"/>
        </w:rPr>
        <w:t> </w:t>
      </w:r>
      <w:r>
        <w:rPr/>
        <w:t>трошкова,</w:t>
      </w:r>
      <w:r>
        <w:rPr>
          <w:spacing w:val="1"/>
        </w:rPr>
        <w:t> </w:t>
      </w:r>
      <w:r>
        <w:rPr/>
        <w:t>уважавајући</w:t>
      </w:r>
      <w:r>
        <w:rPr>
          <w:spacing w:val="1"/>
        </w:rPr>
        <w:t> </w:t>
      </w:r>
      <w:r>
        <w:rPr/>
        <w:t>принцип да</w:t>
      </w:r>
      <w:r>
        <w:rPr>
          <w:spacing w:val="1"/>
        </w:rPr>
        <w:t> </w:t>
      </w:r>
      <w:r>
        <w:rPr/>
        <w:t>поштарина</w:t>
      </w:r>
      <w:r>
        <w:rPr>
          <w:spacing w:val="1"/>
        </w:rPr>
        <w:t> </w:t>
      </w:r>
      <w:r>
        <w:rPr/>
        <w:t>треба да буде приступачна за кориснике, осим у случају поштарина РПУ, на које сагласност даје Влада.</w:t>
      </w:r>
    </w:p>
    <w:p>
      <w:pPr>
        <w:pStyle w:val="BodyText"/>
        <w:spacing w:line="230" w:lineRule="auto"/>
        <w:ind w:right="157" w:firstLine="480"/>
        <w:jc w:val="both"/>
      </w:pPr>
      <w:r>
        <w:rPr/>
        <w:t>У овом контексту законодавство које регулише област поштанских услуга је прилагођено регулативи ЕУ, а у</w:t>
      </w:r>
      <w:r>
        <w:rPr>
          <w:spacing w:val="-61"/>
        </w:rPr>
        <w:t> </w:t>
      </w:r>
      <w:r>
        <w:rPr/>
        <w:t>току су и припреме за даље прилагођавање. Процес хармонизације се тренутно спроводи путем измена и допуна</w:t>
      </w:r>
      <w:r>
        <w:rPr>
          <w:spacing w:val="-61"/>
        </w:rPr>
        <w:t> </w:t>
      </w:r>
      <w:r>
        <w:rPr/>
        <w:t>важећих прописа.</w:t>
      </w:r>
    </w:p>
    <w:p>
      <w:pPr>
        <w:pStyle w:val="BodyText"/>
        <w:spacing w:line="230" w:lineRule="auto"/>
        <w:ind w:right="216" w:firstLine="480"/>
      </w:pPr>
      <w:r>
        <w:rPr/>
        <w:t>Следећи посебно значајан корак у правцу даље хармонизације регулативе са важећим директивама ЕУ, а у</w:t>
      </w:r>
      <w:r>
        <w:rPr>
          <w:spacing w:val="-61"/>
        </w:rPr>
        <w:t> </w:t>
      </w:r>
      <w:r>
        <w:rPr/>
        <w:t>циљу редефинисања РПУ, веће промоције пословног окружења и либерализације тржишта, биће доношење</w:t>
      </w:r>
      <w:r>
        <w:rPr>
          <w:spacing w:val="1"/>
        </w:rPr>
        <w:t> </w:t>
      </w:r>
      <w:r>
        <w:rPr/>
        <w:t>новог Закона о поштанским услугама до краја 2014. године или доношење одлуке од стране РАПУС-а.</w:t>
      </w:r>
    </w:p>
    <w:p>
      <w:pPr>
        <w:pStyle w:val="BodyText"/>
        <w:spacing w:line="230" w:lineRule="auto"/>
        <w:ind w:right="134" w:firstLine="480"/>
      </w:pPr>
      <w:r>
        <w:rPr/>
        <w:t>ЈПО има обавезу пружања УПУ на целокупној територији Републике Србије, у оквиру прописаног квалитета,</w:t>
      </w:r>
      <w:r>
        <w:rPr>
          <w:spacing w:val="-61"/>
        </w:rPr>
        <w:t> </w:t>
      </w:r>
      <w:r>
        <w:rPr/>
        <w:t>по приступачним ценама и под једнаким условима за све кориснике. УПУ обавља ЈПО, на основу лиценце, а</w:t>
      </w:r>
      <w:r>
        <w:rPr>
          <w:spacing w:val="1"/>
        </w:rPr>
        <w:t> </w:t>
      </w:r>
      <w:r>
        <w:rPr/>
        <w:t>други ПО могу обављати УПУ на основу лиценце, осим РПУ.</w:t>
      </w:r>
    </w:p>
    <w:p>
      <w:pPr>
        <w:pStyle w:val="BodyText"/>
        <w:spacing w:before="142"/>
        <w:ind w:left="599"/>
      </w:pPr>
      <w:r>
        <w:rPr/>
        <w:t>Табела 2.4 Подела поштанских услуга на тржишту Републике Србије</w:t>
      </w:r>
    </w:p>
    <w:p>
      <w:pPr>
        <w:pStyle w:val="BodyText"/>
        <w:spacing w:before="11" w:after="1"/>
        <w:ind w:left="0"/>
        <w:rPr>
          <w:sz w:val="12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0"/>
        <w:gridCol w:w="3705"/>
        <w:gridCol w:w="3465"/>
      </w:tblGrid>
      <w:tr>
        <w:trPr>
          <w:trHeight w:val="389" w:hRule="atLeast"/>
        </w:trPr>
        <w:tc>
          <w:tcPr>
            <w:tcW w:w="7365" w:type="dxa"/>
            <w:gridSpan w:val="2"/>
          </w:tcPr>
          <w:p>
            <w:pPr>
              <w:pStyle w:val="TableParagraph"/>
              <w:ind w:left="1983" w:right="1938"/>
              <w:jc w:val="center"/>
              <w:rPr>
                <w:sz w:val="18"/>
              </w:rPr>
            </w:pPr>
            <w:r>
              <w:rPr>
                <w:sz w:val="18"/>
              </w:rPr>
              <w:t>УНИВЕРЗАЛНА ПОШТАНСКА УСЛУГА</w:t>
            </w:r>
          </w:p>
        </w:tc>
        <w:tc>
          <w:tcPr>
            <w:tcW w:w="346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3660" w:type="dxa"/>
            <w:vMerge w:val="restart"/>
          </w:tcPr>
          <w:p>
            <w:pPr>
              <w:pStyle w:val="TableParagraph"/>
              <w:spacing w:line="240" w:lineRule="auto" w:before="7"/>
              <w:ind w:left="0"/>
              <w:rPr>
                <w:sz w:val="24"/>
              </w:rPr>
            </w:pPr>
          </w:p>
          <w:p>
            <w:pPr>
              <w:pStyle w:val="TableParagraph"/>
              <w:spacing w:line="240" w:lineRule="auto"/>
              <w:ind w:left="917"/>
              <w:rPr>
                <w:sz w:val="18"/>
              </w:rPr>
            </w:pPr>
            <w:r>
              <w:rPr>
                <w:sz w:val="18"/>
              </w:rPr>
              <w:t>Резервисане услуге</w:t>
            </w:r>
          </w:p>
        </w:tc>
        <w:tc>
          <w:tcPr>
            <w:tcW w:w="7170" w:type="dxa"/>
            <w:gridSpan w:val="2"/>
          </w:tcPr>
          <w:p>
            <w:pPr>
              <w:pStyle w:val="TableParagraph"/>
              <w:ind w:left="2584" w:right="2540"/>
              <w:jc w:val="center"/>
              <w:rPr>
                <w:sz w:val="18"/>
              </w:rPr>
            </w:pPr>
            <w:r>
              <w:rPr>
                <w:sz w:val="18"/>
              </w:rPr>
              <w:t>Комерцијалне услуге</w:t>
            </w:r>
          </w:p>
        </w:tc>
      </w:tr>
      <w:tr>
        <w:trPr>
          <w:trHeight w:val="599" w:hRule="atLeast"/>
        </w:trPr>
        <w:tc>
          <w:tcPr>
            <w:tcW w:w="36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5" w:type="dxa"/>
          </w:tcPr>
          <w:p>
            <w:pPr>
              <w:pStyle w:val="TableParagraph"/>
              <w:spacing w:line="240" w:lineRule="auto" w:before="104"/>
              <w:ind w:left="153"/>
              <w:rPr>
                <w:sz w:val="18"/>
              </w:rPr>
            </w:pPr>
            <w:r>
              <w:rPr>
                <w:sz w:val="18"/>
              </w:rPr>
              <w:t>Нерезервисане услуге у домену УПУ</w:t>
            </w:r>
          </w:p>
        </w:tc>
        <w:tc>
          <w:tcPr>
            <w:tcW w:w="3465" w:type="dxa"/>
          </w:tcPr>
          <w:p>
            <w:pPr>
              <w:pStyle w:val="TableParagraph"/>
              <w:spacing w:line="230" w:lineRule="auto" w:before="6"/>
              <w:ind w:left="1569" w:right="66" w:hanging="1439"/>
              <w:rPr>
                <w:sz w:val="18"/>
              </w:rPr>
            </w:pPr>
            <w:r>
              <w:rPr>
                <w:sz w:val="18"/>
              </w:rPr>
              <w:t>Нерезервисане услуге ван домена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УПУ</w:t>
            </w:r>
          </w:p>
        </w:tc>
      </w:tr>
      <w:tr>
        <w:trPr>
          <w:trHeight w:val="1439" w:hRule="atLeast"/>
        </w:trPr>
        <w:tc>
          <w:tcPr>
            <w:tcW w:w="3660" w:type="dxa"/>
          </w:tcPr>
          <w:p>
            <w:pPr>
              <w:pStyle w:val="TableParagraph"/>
              <w:spacing w:line="230" w:lineRule="auto" w:before="6"/>
              <w:ind w:right="70"/>
              <w:rPr>
                <w:sz w:val="18"/>
              </w:rPr>
            </w:pPr>
            <w:r>
              <w:rPr>
                <w:sz w:val="18"/>
              </w:rPr>
              <w:t>Услуге пријема и/или преноса и/или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уручења писмоносних пошиљака до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100 грама, ако је цена нижа или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једнака троструком износу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поштарине за писмо прве стопе масе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 најбржег степена преноса;</w:t>
            </w:r>
          </w:p>
        </w:tc>
        <w:tc>
          <w:tcPr>
            <w:tcW w:w="37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30" w:lineRule="auto" w:before="6"/>
              <w:ind w:right="113"/>
              <w:rPr>
                <w:sz w:val="18"/>
              </w:rPr>
            </w:pPr>
            <w:r>
              <w:rPr>
                <w:sz w:val="18"/>
              </w:rPr>
              <w:t>Услуге пријема, преноса и уручења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писмоносних пошиљака масе преко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100 грама до 2 kg у УПС и МПС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цене преко троструког износа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поштарине за писмо прве стопе масе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 најбржег степена преноса;</w:t>
            </w:r>
          </w:p>
        </w:tc>
        <w:tc>
          <w:tcPr>
            <w:tcW w:w="3465" w:type="dxa"/>
            <w:vMerge w:val="restart"/>
            <w:tcBorders>
              <w:left w:val="single" w:sz="8" w:space="0" w:color="000000"/>
              <w:bottom w:val="nil"/>
            </w:tcBorders>
          </w:tcPr>
          <w:p>
            <w:pPr>
              <w:pStyle w:val="TableParagraph"/>
              <w:spacing w:line="230" w:lineRule="auto" w:before="6"/>
              <w:ind w:left="49" w:right="6"/>
              <w:rPr>
                <w:sz w:val="18"/>
              </w:rPr>
            </w:pPr>
            <w:r>
              <w:rPr>
                <w:sz w:val="18"/>
              </w:rPr>
              <w:t>Услуге пријема, преноса и уручења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поштанских пошиљака масе преко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2 kg у УПС и МПС и цене преко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троструког износа поштарине за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писмо прве стопе масе и најбржег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степена преноса;</w:t>
            </w:r>
          </w:p>
        </w:tc>
      </w:tr>
      <w:tr>
        <w:trPr>
          <w:trHeight w:val="164" w:hRule="atLeast"/>
        </w:trPr>
        <w:tc>
          <w:tcPr>
            <w:tcW w:w="3660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370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3465" w:type="dxa"/>
            <w:vMerge/>
            <w:tcBorders>
              <w:top w:val="nil"/>
              <w:left w:val="single" w:sz="8" w:space="0" w:color="0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9"/>
        <w:ind w:left="0"/>
        <w:rPr>
          <w:sz w:val="6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0"/>
        <w:gridCol w:w="3705"/>
        <w:gridCol w:w="3465"/>
      </w:tblGrid>
      <w:tr>
        <w:trPr>
          <w:trHeight w:val="1005" w:hRule="atLeast"/>
        </w:trPr>
        <w:tc>
          <w:tcPr>
            <w:tcW w:w="3660" w:type="dxa"/>
            <w:tcBorders>
              <w:top w:val="nil"/>
            </w:tcBorders>
          </w:tcPr>
          <w:p>
            <w:pPr>
              <w:pStyle w:val="TableParagraph"/>
              <w:spacing w:line="230" w:lineRule="auto" w:before="7"/>
              <w:ind w:right="135"/>
              <w:rPr>
                <w:sz w:val="18"/>
              </w:rPr>
            </w:pPr>
            <w:r>
              <w:rPr>
                <w:sz w:val="18"/>
              </w:rPr>
              <w:t>Услуге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пријема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и/или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преноса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и/или</w:t>
            </w:r>
            <w:r>
              <w:rPr>
                <w:spacing w:val="-60"/>
                <w:sz w:val="18"/>
              </w:rPr>
              <w:t> </w:t>
            </w:r>
            <w:r>
              <w:rPr>
                <w:sz w:val="18"/>
              </w:rPr>
              <w:t>исплате упутница у класичној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електронској форми;</w:t>
            </w:r>
          </w:p>
        </w:tc>
        <w:tc>
          <w:tcPr>
            <w:tcW w:w="3705" w:type="dxa"/>
            <w:tcBorders>
              <w:top w:val="nil"/>
            </w:tcBorders>
          </w:tcPr>
          <w:p>
            <w:pPr>
              <w:pStyle w:val="TableParagraph"/>
              <w:spacing w:line="230" w:lineRule="auto" w:before="7"/>
              <w:ind w:right="38"/>
              <w:rPr>
                <w:sz w:val="18"/>
              </w:rPr>
            </w:pPr>
            <w:r>
              <w:rPr>
                <w:sz w:val="18"/>
              </w:rPr>
              <w:t>Услуге пријема, преноса и уручења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пакета масе до 10 kg у УПС, услуге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пријема и преноса пакета до 10 kg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уручење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пакета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масе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до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20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kg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у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МПС;</w:t>
            </w:r>
          </w:p>
        </w:tc>
        <w:tc>
          <w:tcPr>
            <w:tcW w:w="3465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1019" w:hRule="atLeast"/>
        </w:trPr>
        <w:tc>
          <w:tcPr>
            <w:tcW w:w="3660" w:type="dxa"/>
          </w:tcPr>
          <w:p>
            <w:pPr>
              <w:pStyle w:val="TableParagraph"/>
              <w:spacing w:line="230" w:lineRule="auto" w:before="22"/>
              <w:ind w:right="135"/>
              <w:rPr>
                <w:sz w:val="18"/>
              </w:rPr>
            </w:pPr>
            <w:r>
              <w:rPr>
                <w:sz w:val="18"/>
              </w:rPr>
              <w:t>Услуге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пријема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и/или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преноса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и/или</w:t>
            </w:r>
            <w:r>
              <w:rPr>
                <w:spacing w:val="-60"/>
                <w:sz w:val="18"/>
              </w:rPr>
              <w:t> </w:t>
            </w:r>
            <w:r>
              <w:rPr>
                <w:sz w:val="18"/>
              </w:rPr>
              <w:t>уручења писмена у судском,,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управном и прекршајном поступку,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без обзира на лимите.</w:t>
            </w:r>
          </w:p>
        </w:tc>
        <w:tc>
          <w:tcPr>
            <w:tcW w:w="3705" w:type="dxa"/>
          </w:tcPr>
          <w:p>
            <w:pPr>
              <w:pStyle w:val="TableParagraph"/>
              <w:spacing w:line="240" w:lineRule="auto" w:before="1"/>
              <w:ind w:left="0"/>
              <w:rPr>
                <w:sz w:val="19"/>
              </w:rPr>
            </w:pPr>
          </w:p>
          <w:p>
            <w:pPr>
              <w:pStyle w:val="TableParagraph"/>
              <w:spacing w:line="230" w:lineRule="auto"/>
              <w:ind w:right="245"/>
              <w:rPr>
                <w:sz w:val="18"/>
              </w:rPr>
            </w:pPr>
            <w:r>
              <w:rPr>
                <w:sz w:val="18"/>
              </w:rPr>
              <w:t>Услуге пријема, преноса и уручења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секограма до 7 kg</w:t>
            </w:r>
          </w:p>
        </w:tc>
        <w:tc>
          <w:tcPr>
            <w:tcW w:w="3465" w:type="dxa"/>
          </w:tcPr>
          <w:p>
            <w:pPr>
              <w:pStyle w:val="TableParagraph"/>
              <w:spacing w:line="230" w:lineRule="auto" w:before="127"/>
              <w:ind w:right="282"/>
              <w:rPr>
                <w:sz w:val="18"/>
              </w:rPr>
            </w:pPr>
            <w:r>
              <w:rPr>
                <w:sz w:val="18"/>
              </w:rPr>
              <w:t>Услуге додатне вредности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(курирске, експресне, убрзане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сл.)</w:t>
            </w:r>
          </w:p>
        </w:tc>
      </w:tr>
    </w:tbl>
    <w:p>
      <w:pPr>
        <w:pStyle w:val="BodyText"/>
        <w:spacing w:before="0"/>
        <w:ind w:left="599"/>
      </w:pPr>
      <w:r>
        <w:rPr/>
        <w:t>Извор:</w:t>
      </w:r>
      <w:r>
        <w:rPr>
          <w:spacing w:val="-2"/>
        </w:rPr>
        <w:t> </w:t>
      </w:r>
      <w:r>
        <w:rPr/>
        <w:t>Закон</w:t>
      </w:r>
      <w:r>
        <w:rPr>
          <w:spacing w:val="-2"/>
        </w:rPr>
        <w:t> </w:t>
      </w:r>
      <w:r>
        <w:rPr/>
        <w:t>о</w:t>
      </w:r>
      <w:r>
        <w:rPr>
          <w:spacing w:val="-1"/>
        </w:rPr>
        <w:t> </w:t>
      </w:r>
      <w:r>
        <w:rPr/>
        <w:t>поштанским</w:t>
      </w:r>
      <w:r>
        <w:rPr>
          <w:spacing w:val="-2"/>
        </w:rPr>
        <w:t> </w:t>
      </w:r>
      <w:r>
        <w:rPr/>
        <w:t>услугама</w:t>
      </w:r>
      <w:r>
        <w:rPr>
          <w:spacing w:val="-1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1"/>
        </w:rPr>
        <w:t> </w:t>
      </w:r>
      <w:r>
        <w:rPr/>
        <w:t>бр.</w:t>
      </w:r>
      <w:r>
        <w:rPr>
          <w:spacing w:val="-2"/>
        </w:rPr>
        <w:t> </w:t>
      </w:r>
      <w:r>
        <w:rPr/>
        <w:t>18/05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30/10)</w:t>
      </w:r>
    </w:p>
    <w:p>
      <w:pPr>
        <w:pStyle w:val="BodyText"/>
        <w:spacing w:line="230" w:lineRule="auto" w:before="149"/>
        <w:ind w:right="165" w:firstLine="480"/>
      </w:pPr>
      <w:r>
        <w:rPr/>
        <w:t>ЈПО обавезан је да свим становницима Републике Србије пружи и РПУ и нерезервисане услуге из домена</w:t>
      </w:r>
      <w:r>
        <w:rPr>
          <w:spacing w:val="1"/>
        </w:rPr>
        <w:t> </w:t>
      </w:r>
      <w:r>
        <w:rPr/>
        <w:t>УПУ, уз могућност пружања и осталих поштанских услуга. Други ПО не могу пружати РПУ, али могу пружати</w:t>
      </w:r>
      <w:r>
        <w:rPr>
          <w:spacing w:val="1"/>
        </w:rPr>
        <w:t> </w:t>
      </w:r>
      <w:r>
        <w:rPr/>
        <w:t>нерезервисане</w:t>
      </w:r>
      <w:r>
        <w:rPr>
          <w:spacing w:val="-2"/>
        </w:rPr>
        <w:t> </w:t>
      </w:r>
      <w:r>
        <w:rPr/>
        <w:t>поштанске</w:t>
      </w:r>
      <w:r>
        <w:rPr>
          <w:spacing w:val="-1"/>
        </w:rPr>
        <w:t> </w:t>
      </w:r>
      <w:r>
        <w:rPr/>
        <w:t>услуге</w:t>
      </w:r>
      <w:r>
        <w:rPr>
          <w:spacing w:val="-1"/>
        </w:rPr>
        <w:t> </w:t>
      </w:r>
      <w:r>
        <w:rPr/>
        <w:t>(Табела</w:t>
      </w:r>
      <w:r>
        <w:rPr>
          <w:spacing w:val="-1"/>
        </w:rPr>
        <w:t> </w:t>
      </w:r>
      <w:r>
        <w:rPr/>
        <w:t>2.4)</w:t>
      </w:r>
      <w:r>
        <w:rPr>
          <w:spacing w:val="-1"/>
        </w:rPr>
        <w:t> </w:t>
      </w:r>
      <w:r>
        <w:rPr/>
        <w:t>из</w:t>
      </w:r>
      <w:r>
        <w:rPr>
          <w:spacing w:val="-1"/>
        </w:rPr>
        <w:t> </w:t>
      </w:r>
      <w:r>
        <w:rPr/>
        <w:t>домена</w:t>
      </w:r>
      <w:r>
        <w:rPr>
          <w:spacing w:val="-1"/>
        </w:rPr>
        <w:t> </w:t>
      </w:r>
      <w:r>
        <w:rPr/>
        <w:t>УПУ,</w:t>
      </w:r>
      <w:r>
        <w:rPr>
          <w:spacing w:val="-1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остале</w:t>
      </w:r>
      <w:r>
        <w:rPr>
          <w:spacing w:val="-1"/>
        </w:rPr>
        <w:t> </w:t>
      </w:r>
      <w:r>
        <w:rPr/>
        <w:t>поштанске</w:t>
      </w:r>
      <w:r>
        <w:rPr>
          <w:spacing w:val="-1"/>
        </w:rPr>
        <w:t> </w:t>
      </w:r>
      <w:r>
        <w:rPr/>
        <w:t>услуге,</w:t>
      </w:r>
      <w:r>
        <w:rPr>
          <w:spacing w:val="-2"/>
        </w:rPr>
        <w:t> </w:t>
      </w:r>
      <w:r>
        <w:rPr/>
        <w:t>ван</w:t>
      </w:r>
      <w:r>
        <w:rPr>
          <w:spacing w:val="-1"/>
        </w:rPr>
        <w:t> </w:t>
      </w:r>
      <w:r>
        <w:rPr/>
        <w:t>домена</w:t>
      </w:r>
      <w:r>
        <w:rPr>
          <w:spacing w:val="-1"/>
        </w:rPr>
        <w:t> </w:t>
      </w:r>
      <w:r>
        <w:rPr/>
        <w:t>УПУ.</w:t>
      </w:r>
    </w:p>
    <w:p>
      <w:pPr>
        <w:pStyle w:val="BodyText"/>
        <w:spacing w:line="230" w:lineRule="auto"/>
        <w:ind w:right="746" w:firstLine="480"/>
      </w:pPr>
      <w:r>
        <w:rPr/>
        <w:t>РПУ</w:t>
      </w:r>
      <w:r>
        <w:rPr>
          <w:spacing w:val="-2"/>
        </w:rPr>
        <w:t> </w:t>
      </w:r>
      <w:r>
        <w:rPr/>
        <w:t>су</w:t>
      </w:r>
      <w:r>
        <w:rPr>
          <w:spacing w:val="-1"/>
        </w:rPr>
        <w:t> </w:t>
      </w:r>
      <w:r>
        <w:rPr/>
        <w:t>услуге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држава</w:t>
      </w:r>
      <w:r>
        <w:rPr>
          <w:spacing w:val="-1"/>
        </w:rPr>
        <w:t> </w:t>
      </w:r>
      <w:r>
        <w:rPr/>
        <w:t>гарантује</w:t>
      </w:r>
      <w:r>
        <w:rPr>
          <w:spacing w:val="-2"/>
        </w:rPr>
        <w:t> </w:t>
      </w:r>
      <w:r>
        <w:rPr/>
        <w:t>поштанском</w:t>
      </w:r>
      <w:r>
        <w:rPr>
          <w:spacing w:val="-1"/>
        </w:rPr>
        <w:t> </w:t>
      </w:r>
      <w:r>
        <w:rPr/>
        <w:t>оператору</w:t>
      </w:r>
      <w:r>
        <w:rPr>
          <w:spacing w:val="-1"/>
        </w:rPr>
        <w:t> </w:t>
      </w:r>
      <w:r>
        <w:rPr/>
        <w:t>даваоцу</w:t>
      </w:r>
      <w:r>
        <w:rPr>
          <w:spacing w:val="-2"/>
        </w:rPr>
        <w:t> </w:t>
      </w:r>
      <w:r>
        <w:rPr/>
        <w:t>УПУ,</w:t>
      </w:r>
      <w:r>
        <w:rPr>
          <w:spacing w:val="-1"/>
        </w:rPr>
        <w:t> </w:t>
      </w:r>
      <w:r>
        <w:rPr/>
        <w:t>као</w:t>
      </w:r>
      <w:r>
        <w:rPr>
          <w:spacing w:val="-1"/>
        </w:rPr>
        <w:t> </w:t>
      </w:r>
      <w:r>
        <w:rPr/>
        <w:t>ексклузивна</w:t>
      </w:r>
      <w:r>
        <w:rPr>
          <w:spacing w:val="-2"/>
        </w:rPr>
        <w:t> </w:t>
      </w:r>
      <w:r>
        <w:rPr/>
        <w:t>права</w:t>
      </w:r>
      <w:r>
        <w:rPr>
          <w:spacing w:val="-1"/>
        </w:rPr>
        <w:t> </w:t>
      </w:r>
      <w:r>
        <w:rPr/>
        <w:t>у</w:t>
      </w:r>
      <w:r>
        <w:rPr>
          <w:spacing w:val="-60"/>
        </w:rPr>
        <w:t> </w:t>
      </w:r>
      <w:r>
        <w:rPr/>
        <w:t>оквирима одређеног лимита по маси и цени.</w:t>
      </w:r>
    </w:p>
    <w:p>
      <w:pPr>
        <w:pStyle w:val="BodyText"/>
        <w:spacing w:line="230" w:lineRule="auto"/>
        <w:ind w:right="486" w:firstLine="480"/>
      </w:pPr>
      <w:r>
        <w:rPr/>
        <w:t>У обликовању националног законодавства које уређује пружање поштанских услуга у Републици Србији</w:t>
      </w:r>
      <w:r>
        <w:rPr>
          <w:spacing w:val="-61"/>
        </w:rPr>
        <w:t> </w:t>
      </w:r>
      <w:r>
        <w:rPr/>
        <w:t>учествују Влада, надлежно министарство и РАПУС, као регулатор у овој области.</w:t>
      </w:r>
    </w:p>
    <w:p>
      <w:pPr>
        <w:pStyle w:val="BodyText"/>
        <w:spacing w:before="142"/>
        <w:ind w:left="599"/>
        <w:rPr>
          <w:i/>
        </w:rPr>
      </w:pPr>
      <w:r>
        <w:rPr/>
        <w:t>Табела 2.5 Преглед усклађености Закона о поштанским услугама са директивом</w:t>
      </w:r>
      <w:r>
        <w:rPr>
          <w:spacing w:val="-1"/>
        </w:rPr>
        <w:t> </w:t>
      </w:r>
      <w:r>
        <w:rPr>
          <w:i/>
        </w:rPr>
        <w:t>2002/39/ЕС</w:t>
      </w:r>
    </w:p>
    <w:p>
      <w:pPr>
        <w:pStyle w:val="BodyText"/>
        <w:spacing w:before="12"/>
        <w:ind w:left="0"/>
        <w:rPr>
          <w:i/>
          <w:sz w:val="12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0"/>
        <w:gridCol w:w="2370"/>
        <w:gridCol w:w="5310"/>
      </w:tblGrid>
      <w:tr>
        <w:trPr>
          <w:trHeight w:val="599" w:hRule="atLeast"/>
        </w:trPr>
        <w:tc>
          <w:tcPr>
            <w:tcW w:w="3150" w:type="dxa"/>
          </w:tcPr>
          <w:p>
            <w:pPr>
              <w:pStyle w:val="TableParagraph"/>
              <w:spacing w:line="230" w:lineRule="auto" w:before="6"/>
              <w:ind w:left="1470" w:right="35" w:hanging="1372"/>
              <w:rPr>
                <w:sz w:val="18"/>
              </w:rPr>
            </w:pPr>
            <w:r>
              <w:rPr>
                <w:sz w:val="18"/>
              </w:rPr>
              <w:t>Препоруке Директиве 2002/39/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ЕС</w:t>
            </w:r>
          </w:p>
        </w:tc>
        <w:tc>
          <w:tcPr>
            <w:tcW w:w="2370" w:type="dxa"/>
          </w:tcPr>
          <w:p>
            <w:pPr>
              <w:pStyle w:val="TableParagraph"/>
              <w:spacing w:line="230" w:lineRule="auto" w:before="6"/>
              <w:ind w:left="675" w:right="489" w:hanging="123"/>
              <w:rPr>
                <w:sz w:val="18"/>
              </w:rPr>
            </w:pPr>
            <w:r>
              <w:rPr>
                <w:sz w:val="18"/>
              </w:rPr>
              <w:t>Усаглашеност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регулативе</w:t>
            </w:r>
          </w:p>
        </w:tc>
        <w:tc>
          <w:tcPr>
            <w:tcW w:w="5310" w:type="dxa"/>
          </w:tcPr>
          <w:p>
            <w:pPr>
              <w:pStyle w:val="TableParagraph"/>
              <w:spacing w:line="240" w:lineRule="auto" w:before="104"/>
              <w:ind w:left="1332"/>
              <w:rPr>
                <w:sz w:val="18"/>
              </w:rPr>
            </w:pPr>
            <w:r>
              <w:rPr>
                <w:sz w:val="18"/>
              </w:rPr>
              <w:t>Одступање у хармонизацији</w:t>
            </w:r>
          </w:p>
        </w:tc>
      </w:tr>
      <w:tr>
        <w:trPr>
          <w:trHeight w:val="389" w:hRule="atLeast"/>
        </w:trPr>
        <w:tc>
          <w:tcPr>
            <w:tcW w:w="31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Универзална услуга</w:t>
            </w: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Потпуно усклађено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 постоји</w:t>
            </w:r>
          </w:p>
        </w:tc>
      </w:tr>
      <w:tr>
        <w:trPr>
          <w:trHeight w:val="389" w:hRule="atLeast"/>
        </w:trPr>
        <w:tc>
          <w:tcPr>
            <w:tcW w:w="31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Резервисане услуге</w:t>
            </w: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Делимично усклађено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Пошиљке до 100 gr</w:t>
            </w:r>
          </w:p>
        </w:tc>
      </w:tr>
      <w:tr>
        <w:trPr>
          <w:trHeight w:val="389" w:hRule="atLeast"/>
        </w:trPr>
        <w:tc>
          <w:tcPr>
            <w:tcW w:w="31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Нерезервисане услуге</w:t>
            </w: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Потпуно усклађено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 постоји</w:t>
            </w:r>
          </w:p>
        </w:tc>
      </w:tr>
      <w:tr>
        <w:trPr>
          <w:trHeight w:val="389" w:hRule="atLeast"/>
        </w:trPr>
        <w:tc>
          <w:tcPr>
            <w:tcW w:w="31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Приступ мрежи</w:t>
            </w: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Делимично усклађено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 постоји акт о приступу</w:t>
            </w:r>
          </w:p>
        </w:tc>
      </w:tr>
      <w:tr>
        <w:trPr>
          <w:trHeight w:val="389" w:hRule="atLeast"/>
        </w:trPr>
        <w:tc>
          <w:tcPr>
            <w:tcW w:w="31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Тарифни ставови</w:t>
            </w: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Потпуно усклађено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 постоји</w:t>
            </w:r>
          </w:p>
        </w:tc>
      </w:tr>
      <w:tr>
        <w:trPr>
          <w:trHeight w:val="389" w:hRule="atLeast"/>
        </w:trPr>
        <w:tc>
          <w:tcPr>
            <w:tcW w:w="315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Стандарди квалитета</w:t>
            </w: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Потпуно усклађено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 постоји</w:t>
            </w:r>
          </w:p>
        </w:tc>
      </w:tr>
      <w:tr>
        <w:trPr>
          <w:trHeight w:val="599" w:hRule="atLeast"/>
        </w:trPr>
        <w:tc>
          <w:tcPr>
            <w:tcW w:w="3150" w:type="dxa"/>
          </w:tcPr>
          <w:p>
            <w:pPr>
              <w:pStyle w:val="TableParagraph"/>
              <w:spacing w:line="240" w:lineRule="auto" w:before="104"/>
              <w:rPr>
                <w:sz w:val="18"/>
              </w:rPr>
            </w:pPr>
            <w:r>
              <w:rPr>
                <w:sz w:val="18"/>
              </w:rPr>
              <w:t>Регулаторно тело</w:t>
            </w:r>
          </w:p>
        </w:tc>
        <w:tc>
          <w:tcPr>
            <w:tcW w:w="2370" w:type="dxa"/>
          </w:tcPr>
          <w:p>
            <w:pPr>
              <w:pStyle w:val="TableParagraph"/>
              <w:spacing w:line="240" w:lineRule="auto" w:before="104"/>
              <w:rPr>
                <w:sz w:val="18"/>
              </w:rPr>
            </w:pPr>
            <w:r>
              <w:rPr>
                <w:sz w:val="18"/>
              </w:rPr>
              <w:t>Делимично усклађено</w:t>
            </w:r>
          </w:p>
        </w:tc>
        <w:tc>
          <w:tcPr>
            <w:tcW w:w="5310" w:type="dxa"/>
          </w:tcPr>
          <w:p>
            <w:pPr>
              <w:pStyle w:val="TableParagraph"/>
              <w:spacing w:line="230" w:lineRule="auto" w:before="6"/>
              <w:ind w:right="1089"/>
              <w:rPr>
                <w:sz w:val="18"/>
              </w:rPr>
            </w:pPr>
            <w:r>
              <w:rPr>
                <w:sz w:val="18"/>
              </w:rPr>
              <w:t>РАПУС предузима мере у циљу унапређења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конкуренције</w:t>
            </w:r>
          </w:p>
        </w:tc>
      </w:tr>
    </w:tbl>
    <w:p>
      <w:pPr>
        <w:pStyle w:val="BodyText"/>
        <w:spacing w:before="0"/>
        <w:ind w:left="599"/>
      </w:pPr>
      <w:r>
        <w:rPr/>
        <w:t>Извор:</w:t>
      </w:r>
      <w:r>
        <w:rPr>
          <w:spacing w:val="-2"/>
        </w:rPr>
        <w:t> </w:t>
      </w:r>
      <w:r>
        <w:rPr/>
        <w:t>Закон</w:t>
      </w:r>
      <w:r>
        <w:rPr>
          <w:spacing w:val="-2"/>
        </w:rPr>
        <w:t> </w:t>
      </w:r>
      <w:r>
        <w:rPr/>
        <w:t>о</w:t>
      </w:r>
      <w:r>
        <w:rPr>
          <w:spacing w:val="-1"/>
        </w:rPr>
        <w:t> </w:t>
      </w:r>
      <w:r>
        <w:rPr/>
        <w:t>поштанским</w:t>
      </w:r>
      <w:r>
        <w:rPr>
          <w:spacing w:val="-2"/>
        </w:rPr>
        <w:t> </w:t>
      </w:r>
      <w:r>
        <w:rPr/>
        <w:t>услугама</w:t>
      </w:r>
      <w:r>
        <w:rPr>
          <w:spacing w:val="-1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1"/>
        </w:rPr>
        <w:t> </w:t>
      </w:r>
      <w:r>
        <w:rPr/>
        <w:t>бр.</w:t>
      </w:r>
      <w:r>
        <w:rPr>
          <w:spacing w:val="-2"/>
        </w:rPr>
        <w:t> </w:t>
      </w:r>
      <w:r>
        <w:rPr/>
        <w:t>18/05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30/10)</w:t>
      </w:r>
    </w:p>
    <w:p>
      <w:pPr>
        <w:pStyle w:val="BodyText"/>
        <w:spacing w:line="230" w:lineRule="auto" w:before="132"/>
        <w:ind w:right="246" w:firstLine="480"/>
      </w:pPr>
      <w:r>
        <w:rPr/>
        <w:t>Табела 2.5 приказује усклађеност Закона о поштанским услугама са другом поштанском директивом ЕУ. Из</w:t>
      </w:r>
      <w:r>
        <w:rPr>
          <w:spacing w:val="-61"/>
        </w:rPr>
        <w:t> </w:t>
      </w:r>
      <w:r>
        <w:rPr/>
        <w:t>приложеног се може закључити да је регулатива делимично усклађена са наведеним препорукама: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347" w:firstLine="480"/>
        <w:jc w:val="left"/>
        <w:rPr>
          <w:sz w:val="18"/>
        </w:rPr>
      </w:pPr>
      <w:r>
        <w:rPr>
          <w:sz w:val="18"/>
        </w:rPr>
        <w:t>Није испуњен услов смањења лимита по маси и цени резервисаних услуга до 50 грама или до цене</w:t>
      </w:r>
      <w:r>
        <w:rPr>
          <w:spacing w:val="1"/>
          <w:sz w:val="18"/>
        </w:rPr>
        <w:t> </w:t>
      </w:r>
      <w:r>
        <w:rPr>
          <w:sz w:val="18"/>
        </w:rPr>
        <w:t>једнаке 2,5-струке цене прве стопе масе и најбржег степена преноса до 2006. године, који није обавезујући за</w:t>
      </w:r>
      <w:r>
        <w:rPr>
          <w:spacing w:val="-61"/>
          <w:sz w:val="18"/>
        </w:rPr>
        <w:t> </w:t>
      </w:r>
      <w:r>
        <w:rPr>
          <w:sz w:val="18"/>
        </w:rPr>
        <w:t>Републику Србију, с обзиром да још увек није држава чланица ЕУ;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174" w:firstLine="480"/>
        <w:jc w:val="left"/>
        <w:rPr>
          <w:sz w:val="18"/>
        </w:rPr>
      </w:pPr>
      <w:r>
        <w:rPr>
          <w:sz w:val="18"/>
        </w:rPr>
        <w:t>Није дефинисан законски оквир за доношење акта о приступу нити постоји акт о приступу. Законски</w:t>
      </w:r>
      <w:r>
        <w:rPr>
          <w:spacing w:val="1"/>
          <w:sz w:val="18"/>
        </w:rPr>
        <w:t> </w:t>
      </w:r>
      <w:r>
        <w:rPr>
          <w:sz w:val="18"/>
        </w:rPr>
        <w:t>оквир ће бити дефинисан доношењем новог Закона о поштанским услугама, а рок за доношење истог дефинисан</w:t>
      </w:r>
      <w:r>
        <w:rPr>
          <w:spacing w:val="-61"/>
          <w:sz w:val="18"/>
        </w:rPr>
        <w:t> </w:t>
      </w:r>
      <w:r>
        <w:rPr>
          <w:sz w:val="18"/>
        </w:rPr>
        <w:t>је Акционим планом за спровођење овог стратешког документа;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278" w:firstLine="480"/>
        <w:jc w:val="left"/>
        <w:rPr>
          <w:sz w:val="18"/>
        </w:rPr>
      </w:pPr>
      <w:r>
        <w:rPr>
          <w:sz w:val="18"/>
        </w:rPr>
        <w:t>Поштанске директиве обавезују државе чланице ЕУ да обезбеде постојање ефикасних механизама на</w:t>
      </w:r>
      <w:r>
        <w:rPr>
          <w:spacing w:val="1"/>
          <w:sz w:val="18"/>
        </w:rPr>
        <w:t> </w:t>
      </w:r>
      <w:r>
        <w:rPr>
          <w:sz w:val="18"/>
        </w:rPr>
        <w:t>државном нивоу под којима било који давалац поштанских услуга на којег се примењује одлука НРТ има право</w:t>
      </w:r>
      <w:r>
        <w:rPr>
          <w:spacing w:val="-61"/>
          <w:sz w:val="18"/>
        </w:rPr>
        <w:t> </w:t>
      </w:r>
      <w:r>
        <w:rPr>
          <w:sz w:val="18"/>
        </w:rPr>
        <w:t>жалбе против дате одлуке органу надлежном за жалбе који је независан у односу на стране у спору. НРТ</w:t>
      </w:r>
      <w:r>
        <w:rPr>
          <w:spacing w:val="1"/>
          <w:sz w:val="18"/>
        </w:rPr>
        <w:t> </w:t>
      </w:r>
      <w:r>
        <w:rPr>
          <w:sz w:val="18"/>
        </w:rPr>
        <w:t>предузима мере у циљу спречавања нелојалне конкуренције и одузима дозволе у случају необављања</w:t>
      </w:r>
      <w:r>
        <w:rPr>
          <w:spacing w:val="1"/>
          <w:sz w:val="18"/>
        </w:rPr>
        <w:t> </w:t>
      </w:r>
      <w:r>
        <w:rPr>
          <w:sz w:val="18"/>
        </w:rPr>
        <w:t>поштанских услуга у складу са законом. Имајући у виду да Република Србија тренутно има статус кандидата за</w:t>
      </w:r>
      <w:r>
        <w:rPr>
          <w:spacing w:val="-61"/>
          <w:sz w:val="18"/>
        </w:rPr>
        <w:t> </w:t>
      </w:r>
      <w:r>
        <w:rPr>
          <w:sz w:val="18"/>
        </w:rPr>
        <w:t>приступање ЕУ и да директиве у том смислу нису обавезујуће, потребне промене спровешће се поступно, након</w:t>
      </w:r>
      <w:r>
        <w:rPr>
          <w:spacing w:val="-61"/>
          <w:sz w:val="18"/>
        </w:rPr>
        <w:t> </w:t>
      </w:r>
      <w:r>
        <w:rPr>
          <w:sz w:val="18"/>
        </w:rPr>
        <w:t>хармонизације системских закона са регулативом ЕУ, у наредном периоду.</w:t>
      </w:r>
    </w:p>
    <w:p>
      <w:pPr>
        <w:pStyle w:val="BodyText"/>
        <w:spacing w:line="230" w:lineRule="auto"/>
        <w:ind w:right="404" w:firstLine="480"/>
      </w:pPr>
      <w:r>
        <w:rPr/>
        <w:t>Детаљно усклађивање поштанске регулативе са актима EУ уследиће након добијања датума отпочињања</w:t>
      </w:r>
      <w:r>
        <w:rPr>
          <w:spacing w:val="-61"/>
        </w:rPr>
        <w:t> </w:t>
      </w:r>
      <w:r>
        <w:rPr/>
        <w:t>преговора, односно сходно динамици преговора о приступању ЕУ.</w:t>
      </w:r>
    </w:p>
    <w:p>
      <w:pPr>
        <w:pStyle w:val="BodyText"/>
        <w:spacing w:before="143"/>
        <w:ind w:left="599"/>
      </w:pPr>
      <w:r>
        <w:rPr/>
        <w:t>Табела 2.6 Преглед примене поштанске регулативе у пракси</w:t>
      </w:r>
    </w:p>
    <w:p>
      <w:pPr>
        <w:pStyle w:val="BodyText"/>
        <w:spacing w:before="11"/>
        <w:ind w:left="0"/>
        <w:rPr>
          <w:sz w:val="12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0"/>
        <w:gridCol w:w="2130"/>
        <w:gridCol w:w="4080"/>
      </w:tblGrid>
      <w:tr>
        <w:trPr>
          <w:trHeight w:val="389" w:hRule="atLeast"/>
        </w:trPr>
        <w:tc>
          <w:tcPr>
            <w:tcW w:w="4620" w:type="dxa"/>
          </w:tcPr>
          <w:p>
            <w:pPr>
              <w:pStyle w:val="TableParagraph"/>
              <w:ind w:left="222"/>
              <w:rPr>
                <w:sz w:val="18"/>
              </w:rPr>
            </w:pPr>
            <w:r>
              <w:rPr>
                <w:sz w:val="18"/>
              </w:rPr>
              <w:t>Закон о поштанским услугама и правилници</w:t>
            </w:r>
          </w:p>
        </w:tc>
        <w:tc>
          <w:tcPr>
            <w:tcW w:w="2130" w:type="dxa"/>
          </w:tcPr>
          <w:p>
            <w:pPr>
              <w:pStyle w:val="TableParagraph"/>
              <w:ind w:left="228"/>
              <w:rPr>
                <w:sz w:val="18"/>
              </w:rPr>
            </w:pPr>
            <w:r>
              <w:rPr>
                <w:sz w:val="18"/>
              </w:rPr>
              <w:t>Примена у пракси</w:t>
            </w:r>
          </w:p>
        </w:tc>
        <w:tc>
          <w:tcPr>
            <w:tcW w:w="4080" w:type="dxa"/>
          </w:tcPr>
          <w:p>
            <w:pPr>
              <w:pStyle w:val="TableParagraph"/>
              <w:ind w:left="753"/>
              <w:rPr>
                <w:sz w:val="18"/>
              </w:rPr>
            </w:pPr>
            <w:r>
              <w:rPr>
                <w:sz w:val="18"/>
              </w:rPr>
              <w:t>Одсуство примене у пракси</w:t>
            </w:r>
          </w:p>
        </w:tc>
      </w:tr>
      <w:tr>
        <w:trPr>
          <w:trHeight w:val="389" w:hRule="atLeast"/>
        </w:trPr>
        <w:tc>
          <w:tcPr>
            <w:tcW w:w="46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Универзална услуга</w:t>
            </w:r>
          </w:p>
        </w:tc>
        <w:tc>
          <w:tcPr>
            <w:tcW w:w="213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Потпуна примена</w:t>
            </w:r>
          </w:p>
        </w:tc>
        <w:tc>
          <w:tcPr>
            <w:tcW w:w="40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 постоји</w:t>
            </w:r>
          </w:p>
        </w:tc>
      </w:tr>
      <w:tr>
        <w:trPr>
          <w:trHeight w:val="389" w:hRule="atLeast"/>
        </w:trPr>
        <w:tc>
          <w:tcPr>
            <w:tcW w:w="46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Резервисане услуге</w:t>
            </w:r>
          </w:p>
        </w:tc>
        <w:tc>
          <w:tcPr>
            <w:tcW w:w="213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Потпуна примена</w:t>
            </w:r>
          </w:p>
        </w:tc>
        <w:tc>
          <w:tcPr>
            <w:tcW w:w="40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 постоји</w:t>
            </w:r>
          </w:p>
        </w:tc>
      </w:tr>
    </w:tbl>
    <w:p>
      <w:pPr>
        <w:spacing w:after="0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9"/>
        <w:ind w:left="0"/>
        <w:rPr>
          <w:sz w:val="6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0"/>
        <w:gridCol w:w="2130"/>
        <w:gridCol w:w="4080"/>
      </w:tblGrid>
      <w:tr>
        <w:trPr>
          <w:trHeight w:val="375" w:hRule="atLeast"/>
        </w:trPr>
        <w:tc>
          <w:tcPr>
            <w:tcW w:w="4620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Приступ мрежи</w:t>
            </w:r>
          </w:p>
        </w:tc>
        <w:tc>
          <w:tcPr>
            <w:tcW w:w="2130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Делимична примена</w:t>
            </w:r>
          </w:p>
        </w:tc>
        <w:tc>
          <w:tcPr>
            <w:tcW w:w="4080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Не постоји акт о приступу мрежи ЈПО</w:t>
            </w:r>
          </w:p>
        </w:tc>
      </w:tr>
      <w:tr>
        <w:trPr>
          <w:trHeight w:val="389" w:hRule="atLeast"/>
        </w:trPr>
        <w:tc>
          <w:tcPr>
            <w:tcW w:w="462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Вођење рачуноводства</w:t>
            </w:r>
          </w:p>
        </w:tc>
        <w:tc>
          <w:tcPr>
            <w:tcW w:w="213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Потпуна примена</w:t>
            </w:r>
          </w:p>
        </w:tc>
        <w:tc>
          <w:tcPr>
            <w:tcW w:w="408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Не постоји</w:t>
            </w:r>
          </w:p>
        </w:tc>
      </w:tr>
      <w:tr>
        <w:trPr>
          <w:trHeight w:val="389" w:hRule="atLeast"/>
        </w:trPr>
        <w:tc>
          <w:tcPr>
            <w:tcW w:w="462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Квалитет услуга</w:t>
            </w:r>
          </w:p>
        </w:tc>
        <w:tc>
          <w:tcPr>
            <w:tcW w:w="213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Делимична примена</w:t>
            </w:r>
          </w:p>
        </w:tc>
        <w:tc>
          <w:tcPr>
            <w:tcW w:w="408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Имплементирани стандарди УПУ у МПС</w:t>
            </w:r>
          </w:p>
        </w:tc>
      </w:tr>
      <w:tr>
        <w:trPr>
          <w:trHeight w:val="389" w:hRule="atLeast"/>
        </w:trPr>
        <w:tc>
          <w:tcPr>
            <w:tcW w:w="462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Независност регулаторног тела</w:t>
            </w:r>
          </w:p>
        </w:tc>
        <w:tc>
          <w:tcPr>
            <w:tcW w:w="213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Потпуна примена</w:t>
            </w:r>
          </w:p>
        </w:tc>
        <w:tc>
          <w:tcPr>
            <w:tcW w:w="4080" w:type="dxa"/>
          </w:tcPr>
          <w:p>
            <w:pPr>
              <w:pStyle w:val="TableParagraph"/>
              <w:spacing w:line="240" w:lineRule="auto" w:before="15"/>
              <w:rPr>
                <w:sz w:val="18"/>
              </w:rPr>
            </w:pPr>
            <w:r>
              <w:rPr>
                <w:sz w:val="18"/>
              </w:rPr>
              <w:t>Не постоји</w:t>
            </w:r>
          </w:p>
        </w:tc>
      </w:tr>
    </w:tbl>
    <w:p>
      <w:pPr>
        <w:pStyle w:val="BodyText"/>
        <w:spacing w:before="0"/>
        <w:ind w:left="599"/>
      </w:pPr>
      <w:r>
        <w:rPr/>
        <w:t>Извор: Министарство спољне и унутрашње трговине и телекомуникација</w:t>
      </w:r>
    </w:p>
    <w:p>
      <w:pPr>
        <w:pStyle w:val="BodyText"/>
        <w:spacing w:line="230" w:lineRule="auto" w:before="149"/>
        <w:ind w:right="606" w:firstLine="480"/>
      </w:pPr>
      <w:r>
        <w:rPr/>
        <w:t>Из приложеног се може закључити да су поштанском регулативом у Републици Србији обухваћени сви</w:t>
      </w:r>
      <w:r>
        <w:rPr>
          <w:spacing w:val="1"/>
        </w:rPr>
        <w:t> </w:t>
      </w:r>
      <w:r>
        <w:rPr/>
        <w:t>неопходни сегменти значајни за обављање универзалне поштанске услуге и других поштанских услуга. ЈПО</w:t>
      </w:r>
      <w:r>
        <w:rPr>
          <w:spacing w:val="-61"/>
        </w:rPr>
        <w:t> </w:t>
      </w:r>
      <w:r>
        <w:rPr/>
        <w:t>обезбеђује већи обим универзалне поштанске услуге од минималног обима утврђеног директивама ЕУ.</w:t>
      </w:r>
    </w:p>
    <w:p>
      <w:pPr>
        <w:pStyle w:val="BodyText"/>
        <w:spacing w:line="230" w:lineRule="auto"/>
        <w:ind w:right="261" w:firstLine="480"/>
      </w:pPr>
      <w:r>
        <w:rPr/>
        <w:t>Поштанско тржиште је још увек резервисано у обиму који је већи од могућности које је прописала друга</w:t>
      </w:r>
      <w:r>
        <w:rPr>
          <w:spacing w:val="1"/>
        </w:rPr>
        <w:t> </w:t>
      </w:r>
      <w:r>
        <w:rPr/>
        <w:t>директива (</w:t>
      </w:r>
      <w:r>
        <w:rPr>
          <w:i/>
        </w:rPr>
        <w:t>Directive 2002/39/ЕС</w:t>
      </w:r>
      <w:r>
        <w:rPr/>
        <w:t>). Такође се може закључити и да је регулатива, осим када је у питању приступ</w:t>
      </w:r>
      <w:r>
        <w:rPr>
          <w:spacing w:val="-61"/>
        </w:rPr>
        <w:t> </w:t>
      </w:r>
      <w:r>
        <w:rPr/>
        <w:t>мрежи јавног поштанског оператора, усклађена са регулаторним оквиром ЕУ.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1"/>
          <w:numId w:val="4"/>
        </w:numPr>
        <w:tabs>
          <w:tab w:pos="4201" w:val="left" w:leader="none"/>
        </w:tabs>
        <w:spacing w:line="240" w:lineRule="auto" w:before="0" w:after="0"/>
        <w:ind w:left="4200" w:right="0" w:hanging="424"/>
        <w:jc w:val="left"/>
        <w:rPr>
          <w:i/>
          <w:sz w:val="18"/>
        </w:rPr>
      </w:pPr>
      <w:r>
        <w:rPr>
          <w:i/>
          <w:sz w:val="18"/>
        </w:rPr>
        <w:t>Улога националног регулаторног тела</w:t>
      </w:r>
    </w:p>
    <w:p>
      <w:pPr>
        <w:pStyle w:val="BodyText"/>
        <w:spacing w:line="230" w:lineRule="auto" w:before="119"/>
        <w:ind w:right="103" w:firstLine="480"/>
      </w:pPr>
      <w:r>
        <w:rPr/>
        <w:t>РАПУС je независно регулаторно тело у области поштанских услуга, које пре свега, има законску обавезу да</w:t>
      </w:r>
      <w:r>
        <w:rPr>
          <w:spacing w:val="-61"/>
        </w:rPr>
        <w:t> </w:t>
      </w:r>
      <w:r>
        <w:rPr/>
        <w:t>кроз одговарајућа подзаконска акта регулише област поштанских услуга, затим да издаје и одузима дозволе за</w:t>
      </w:r>
      <w:r>
        <w:rPr>
          <w:spacing w:val="1"/>
        </w:rPr>
        <w:t> </w:t>
      </w:r>
      <w:r>
        <w:rPr/>
        <w:t>рад, односно да својим деловањем омогући конкуренцију и спречи сваки вид монополског деловања на тржишту</w:t>
      </w:r>
      <w:r>
        <w:rPr>
          <w:spacing w:val="1"/>
        </w:rPr>
        <w:t> </w:t>
      </w:r>
      <w:r>
        <w:rPr/>
        <w:t>поштанских услуга.</w:t>
      </w:r>
    </w:p>
    <w:p>
      <w:pPr>
        <w:pStyle w:val="BodyText"/>
        <w:spacing w:line="230" w:lineRule="auto"/>
        <w:ind w:right="1082" w:firstLine="480"/>
      </w:pPr>
      <w:r>
        <w:rPr/>
        <w:t>Поред поменутих активности задатак овог тела је и гаранција обављања УПУ и свега онога што из</w:t>
      </w:r>
      <w:r>
        <w:rPr>
          <w:spacing w:val="-61"/>
        </w:rPr>
        <w:t> </w:t>
      </w:r>
      <w:r>
        <w:rPr/>
        <w:t>дефиниције ове услуге произилази.</w:t>
      </w:r>
    </w:p>
    <w:p>
      <w:pPr>
        <w:pStyle w:val="BodyText"/>
        <w:spacing w:line="230" w:lineRule="auto"/>
        <w:ind w:right="677" w:firstLine="480"/>
      </w:pPr>
      <w:r>
        <w:rPr/>
        <w:t>Значајно је нагласити чињеницу да тренутно у Европи поред Републике Србије једино Словачка,</w:t>
      </w:r>
      <w:r>
        <w:rPr>
          <w:spacing w:val="1"/>
        </w:rPr>
        <w:t> </w:t>
      </w:r>
      <w:r>
        <w:rPr/>
        <w:t>Македонијa и Босна и Херцеговина имају НРТ који покрива искључиво област поштанских услуга. Европско</w:t>
      </w:r>
      <w:r>
        <w:rPr>
          <w:spacing w:val="-61"/>
        </w:rPr>
        <w:t> </w:t>
      </w:r>
      <w:r>
        <w:rPr/>
        <w:t>искуство бележи следеће случајеве:</w:t>
      </w:r>
    </w:p>
    <w:p>
      <w:pPr>
        <w:pStyle w:val="ListParagraph"/>
        <w:numPr>
          <w:ilvl w:val="0"/>
          <w:numId w:val="9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Поштански регулатор делује заједно са телекомуникационим;</w:t>
      </w:r>
    </w:p>
    <w:p>
      <w:pPr>
        <w:pStyle w:val="ListParagraph"/>
        <w:numPr>
          <w:ilvl w:val="0"/>
          <w:numId w:val="9"/>
        </w:numPr>
        <w:tabs>
          <w:tab w:pos="860" w:val="left" w:leader="none"/>
        </w:tabs>
        <w:spacing w:line="230" w:lineRule="auto" w:before="148" w:after="0"/>
        <w:ind w:left="119" w:right="539" w:firstLine="480"/>
        <w:jc w:val="left"/>
        <w:rPr>
          <w:sz w:val="18"/>
        </w:rPr>
      </w:pPr>
      <w:r>
        <w:rPr>
          <w:sz w:val="18"/>
        </w:rPr>
        <w:t>Поштански регулатор делује заједно са телекомуникационим и радио дифузним и покрива целокупну</w:t>
      </w:r>
      <w:r>
        <w:rPr>
          <w:spacing w:val="-62"/>
          <w:sz w:val="18"/>
        </w:rPr>
        <w:t> </w:t>
      </w:r>
      <w:r>
        <w:rPr>
          <w:sz w:val="18"/>
        </w:rPr>
        <w:t>област комуникација;</w:t>
      </w:r>
    </w:p>
    <w:p>
      <w:pPr>
        <w:pStyle w:val="ListParagraph"/>
        <w:numPr>
          <w:ilvl w:val="0"/>
          <w:numId w:val="9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Јединствени регулатор за све мрежне индустрије (случај Немачке).</w:t>
      </w:r>
    </w:p>
    <w:p>
      <w:pPr>
        <w:pStyle w:val="BodyText"/>
        <w:spacing w:line="230" w:lineRule="auto" w:before="148"/>
        <w:ind w:right="133" w:firstLine="480"/>
      </w:pPr>
      <w:r>
        <w:rPr/>
        <w:t>Активности које спроводе НРТ у европским земљама разликују се од регулатора до регулатора. У табели 2.7</w:t>
      </w:r>
      <w:r>
        <w:rPr>
          <w:spacing w:val="-61"/>
        </w:rPr>
        <w:t> </w:t>
      </w:r>
      <w:r>
        <w:rPr/>
        <w:t>приказане су основне регулаторне активности, као и број европских држава у којима регулатори спроводе или</w:t>
      </w:r>
      <w:r>
        <w:rPr>
          <w:spacing w:val="1"/>
        </w:rPr>
        <w:t> </w:t>
      </w:r>
      <w:r>
        <w:rPr/>
        <w:t>не спроводе дате активности.</w:t>
      </w:r>
    </w:p>
    <w:p>
      <w:pPr>
        <w:pStyle w:val="BodyText"/>
        <w:spacing w:before="143"/>
        <w:ind w:left="599"/>
      </w:pPr>
      <w:r>
        <w:rPr/>
        <w:t>Табела 2.7 Основне регулаторне активности НРТ о одабраним европским земљама</w:t>
      </w:r>
    </w:p>
    <w:p>
      <w:pPr>
        <w:pStyle w:val="BodyText"/>
        <w:spacing w:before="11"/>
        <w:ind w:left="0"/>
        <w:rPr>
          <w:sz w:val="12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15"/>
        <w:gridCol w:w="1590"/>
        <w:gridCol w:w="1425"/>
      </w:tblGrid>
      <w:tr>
        <w:trPr>
          <w:trHeight w:val="809" w:hRule="atLeast"/>
        </w:trPr>
        <w:tc>
          <w:tcPr>
            <w:tcW w:w="781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3007" w:right="2963"/>
              <w:jc w:val="center"/>
              <w:rPr>
                <w:sz w:val="18"/>
              </w:rPr>
            </w:pPr>
            <w:r>
              <w:rPr>
                <w:sz w:val="18"/>
              </w:rPr>
              <w:t>Основне активност</w:t>
            </w:r>
          </w:p>
        </w:tc>
        <w:tc>
          <w:tcPr>
            <w:tcW w:w="1590" w:type="dxa"/>
          </w:tcPr>
          <w:p>
            <w:pPr>
              <w:pStyle w:val="TableParagraph"/>
              <w:spacing w:line="230" w:lineRule="auto" w:before="6"/>
              <w:ind w:left="112" w:right="128" w:hanging="1"/>
              <w:jc w:val="center"/>
              <w:rPr>
                <w:sz w:val="18"/>
              </w:rPr>
            </w:pPr>
            <w:r>
              <w:rPr>
                <w:sz w:val="18"/>
              </w:rPr>
              <w:t>Регулатори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који обављају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425" w:type="dxa"/>
          </w:tcPr>
          <w:p>
            <w:pPr>
              <w:pStyle w:val="TableParagraph"/>
              <w:spacing w:line="230" w:lineRule="auto" w:before="6"/>
              <w:ind w:left="105" w:right="121"/>
              <w:jc w:val="center"/>
              <w:rPr>
                <w:sz w:val="18"/>
              </w:rPr>
            </w:pPr>
            <w:r>
              <w:rPr>
                <w:sz w:val="18"/>
              </w:rPr>
              <w:t>Регулатори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који не раде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</w:tr>
      <w:tr>
        <w:trPr>
          <w:trHeight w:val="389" w:hRule="atLeast"/>
        </w:trPr>
        <w:tc>
          <w:tcPr>
            <w:tcW w:w="781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Усвајање методологије праћења трошкова за универзалну услугу</w:t>
            </w:r>
          </w:p>
        </w:tc>
        <w:tc>
          <w:tcPr>
            <w:tcW w:w="1590" w:type="dxa"/>
          </w:tcPr>
          <w:p>
            <w:pPr>
              <w:pStyle w:val="TableParagraph"/>
              <w:ind w:left="675" w:right="63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42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</w:tr>
      <w:tr>
        <w:trPr>
          <w:trHeight w:val="389" w:hRule="atLeast"/>
        </w:trPr>
        <w:tc>
          <w:tcPr>
            <w:tcW w:w="781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Ревизија алокације трошкова за услуге изван оквира Универзалног сервиса</w:t>
            </w:r>
          </w:p>
        </w:tc>
        <w:tc>
          <w:tcPr>
            <w:tcW w:w="1590" w:type="dxa"/>
          </w:tcPr>
          <w:p>
            <w:pPr>
              <w:pStyle w:val="TableParagraph"/>
              <w:ind w:left="675" w:right="63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425" w:type="dxa"/>
          </w:tcPr>
          <w:p>
            <w:pPr>
              <w:pStyle w:val="TableParagraph"/>
              <w:ind w:left="105" w:right="6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</w:tr>
      <w:tr>
        <w:trPr>
          <w:trHeight w:val="389" w:hRule="atLeast"/>
        </w:trPr>
        <w:tc>
          <w:tcPr>
            <w:tcW w:w="781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Анализа података у вези универзалне услуге</w:t>
            </w:r>
          </w:p>
        </w:tc>
        <w:tc>
          <w:tcPr>
            <w:tcW w:w="1590" w:type="dxa"/>
          </w:tcPr>
          <w:p>
            <w:pPr>
              <w:pStyle w:val="TableParagraph"/>
              <w:ind w:left="675" w:right="63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142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</w:tr>
      <w:tr>
        <w:trPr>
          <w:trHeight w:val="389" w:hRule="atLeast"/>
        </w:trPr>
        <w:tc>
          <w:tcPr>
            <w:tcW w:w="781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Захтев за израде студија тржишта на основу прикупљених података</w:t>
            </w:r>
          </w:p>
        </w:tc>
        <w:tc>
          <w:tcPr>
            <w:tcW w:w="1590" w:type="dxa"/>
          </w:tcPr>
          <w:p>
            <w:pPr>
              <w:pStyle w:val="TableParagraph"/>
              <w:ind w:left="675" w:right="63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142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>
        <w:trPr>
          <w:trHeight w:val="389" w:hRule="atLeast"/>
        </w:trPr>
        <w:tc>
          <w:tcPr>
            <w:tcW w:w="781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Санкционисање неправилног рада оператора</w:t>
            </w:r>
          </w:p>
        </w:tc>
        <w:tc>
          <w:tcPr>
            <w:tcW w:w="1590" w:type="dxa"/>
          </w:tcPr>
          <w:p>
            <w:pPr>
              <w:pStyle w:val="TableParagraph"/>
              <w:ind w:left="675" w:right="63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42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</w:tr>
      <w:tr>
        <w:trPr>
          <w:trHeight w:val="389" w:hRule="atLeast"/>
        </w:trPr>
        <w:tc>
          <w:tcPr>
            <w:tcW w:w="781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Поништавање цена које нису у складу са Законом</w:t>
            </w:r>
          </w:p>
        </w:tc>
        <w:tc>
          <w:tcPr>
            <w:tcW w:w="1590" w:type="dxa"/>
          </w:tcPr>
          <w:p>
            <w:pPr>
              <w:pStyle w:val="TableParagraph"/>
              <w:ind w:left="675" w:right="63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425" w:type="dxa"/>
          </w:tcPr>
          <w:p>
            <w:pPr>
              <w:pStyle w:val="TableParagraph"/>
              <w:ind w:left="105" w:right="6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>
        <w:trPr>
          <w:trHeight w:val="389" w:hRule="atLeast"/>
        </w:trPr>
        <w:tc>
          <w:tcPr>
            <w:tcW w:w="7815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Доношење нових цена за универзалну услугу</w:t>
            </w:r>
          </w:p>
        </w:tc>
        <w:tc>
          <w:tcPr>
            <w:tcW w:w="1590" w:type="dxa"/>
          </w:tcPr>
          <w:p>
            <w:pPr>
              <w:pStyle w:val="TableParagraph"/>
              <w:ind w:left="675" w:right="63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425" w:type="dxa"/>
          </w:tcPr>
          <w:p>
            <w:pPr>
              <w:pStyle w:val="TableParagraph"/>
              <w:ind w:left="105" w:right="6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</w:tbl>
    <w:p>
      <w:pPr>
        <w:spacing w:before="0"/>
        <w:ind w:left="599" w:right="0" w:firstLine="0"/>
        <w:jc w:val="left"/>
        <w:rPr>
          <w:i/>
          <w:sz w:val="18"/>
        </w:rPr>
      </w:pPr>
      <w:r>
        <w:rPr>
          <w:sz w:val="18"/>
        </w:rPr>
        <w:t>Извор:</w:t>
      </w:r>
      <w:r>
        <w:rPr>
          <w:spacing w:val="-1"/>
          <w:sz w:val="18"/>
        </w:rPr>
        <w:t> </w:t>
      </w:r>
      <w:r>
        <w:rPr>
          <w:i/>
          <w:sz w:val="18"/>
        </w:rPr>
        <w:t>Main Developments in postal sector (2008 – 2010)</w:t>
      </w:r>
    </w:p>
    <w:p>
      <w:pPr>
        <w:pStyle w:val="BodyText"/>
        <w:spacing w:line="230" w:lineRule="auto" w:before="132"/>
        <w:ind w:right="172" w:firstLine="480"/>
      </w:pPr>
      <w:r>
        <w:rPr/>
        <w:t>Финансирање РАПУС-а се одвија преко накнада које плаћају оператори поштанских услуга, а сагласност на</w:t>
      </w:r>
      <w:r>
        <w:rPr>
          <w:spacing w:val="-61"/>
        </w:rPr>
        <w:t> </w:t>
      </w:r>
      <w:r>
        <w:rPr/>
        <w:t>финансијски план РАПУС-а даје Влада. На део одлука РАПУС-а (која се односе на постепено укидање</w:t>
      </w:r>
      <w:r>
        <w:rPr>
          <w:spacing w:val="1"/>
        </w:rPr>
        <w:t> </w:t>
      </w:r>
      <w:r>
        <w:rPr/>
        <w:t>резервисаног сервиса) сагласност даје Влада.</w:t>
      </w:r>
    </w:p>
    <w:p>
      <w:pPr>
        <w:pStyle w:val="BodyText"/>
        <w:spacing w:line="230" w:lineRule="auto"/>
        <w:ind w:right="914" w:firstLine="480"/>
      </w:pPr>
      <w:r>
        <w:rPr/>
        <w:t>У Табели 2.8 представљена је упоредна анализа параметара који описују независност регулаторних</w:t>
      </w:r>
      <w:r>
        <w:rPr>
          <w:spacing w:val="-61"/>
        </w:rPr>
        <w:t> </w:t>
      </w:r>
      <w:r>
        <w:rPr/>
        <w:t>институција које се баве поштанским услугама у одабраним земљама Европе.</w:t>
      </w:r>
    </w:p>
    <w:p>
      <w:pPr>
        <w:pStyle w:val="BodyText"/>
        <w:spacing w:before="143"/>
        <w:ind w:left="599"/>
      </w:pPr>
      <w:r>
        <w:rPr/>
        <w:t>Табела 2.8 Ниво независност регулаторних институција у одабраним европским земљама</w:t>
      </w:r>
    </w:p>
    <w:p>
      <w:pPr>
        <w:pStyle w:val="BodyText"/>
        <w:spacing w:before="9"/>
        <w:ind w:left="0"/>
        <w:rPr>
          <w:sz w:val="9"/>
        </w:rPr>
      </w:pPr>
      <w:r>
        <w:rPr/>
        <w:pict>
          <v:shape style="position:absolute;margin-left:34.999001pt;margin-top:7.871847pt;width:542.25pt;height:7.5pt;mso-position-horizontal-relative:page;mso-position-vertical-relative:paragraph;z-index:-15724544;mso-wrap-distance-left:0;mso-wrap-distance-right:0" coordorigin="700,157" coordsize="10845,150" path="m11545,157l11545,157,700,157,700,172,700,307,715,307,715,172,2620,172,2620,307,2635,307,2635,172,4720,172,4720,307,4735,307,4735,172,6805,172,6805,307,6820,307,6820,172,8350,172,8350,307,8365,307,8365,172,10015,172,10015,307,10030,307,10030,172,11530,172,11530,307,11545,307,11545,172,11545,157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9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1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0"/>
        <w:gridCol w:w="2100"/>
        <w:gridCol w:w="2085"/>
        <w:gridCol w:w="1545"/>
        <w:gridCol w:w="1665"/>
        <w:gridCol w:w="1515"/>
      </w:tblGrid>
      <w:tr>
        <w:trPr>
          <w:trHeight w:val="1425" w:hRule="atLeast"/>
        </w:trPr>
        <w:tc>
          <w:tcPr>
            <w:tcW w:w="1920" w:type="dxa"/>
            <w:tcBorders>
              <w:top w:val="nil"/>
            </w:tcBorders>
          </w:tcPr>
          <w:p>
            <w:pPr>
              <w:pStyle w:val="TableParagraph"/>
              <w:spacing w:line="203" w:lineRule="exact"/>
              <w:ind w:left="667"/>
              <w:rPr>
                <w:sz w:val="18"/>
              </w:rPr>
            </w:pPr>
            <w:r>
              <w:rPr>
                <w:sz w:val="18"/>
              </w:rPr>
              <w:t>Земља</w:t>
            </w:r>
          </w:p>
        </w:tc>
        <w:tc>
          <w:tcPr>
            <w:tcW w:w="2100" w:type="dxa"/>
            <w:tcBorders>
              <w:top w:val="nil"/>
            </w:tcBorders>
          </w:tcPr>
          <w:p>
            <w:pPr>
              <w:pStyle w:val="TableParagraph"/>
              <w:spacing w:line="230" w:lineRule="auto"/>
              <w:ind w:left="410" w:right="346" w:firstLine="343"/>
              <w:rPr>
                <w:sz w:val="18"/>
              </w:rPr>
            </w:pPr>
            <w:r>
              <w:rPr>
                <w:sz w:val="18"/>
              </w:rPr>
              <w:t>Извор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финансирања</w:t>
            </w:r>
          </w:p>
        </w:tc>
        <w:tc>
          <w:tcPr>
            <w:tcW w:w="2085" w:type="dxa"/>
            <w:tcBorders>
              <w:top w:val="nil"/>
            </w:tcBorders>
          </w:tcPr>
          <w:p>
            <w:pPr>
              <w:pStyle w:val="TableParagraph"/>
              <w:spacing w:line="230" w:lineRule="auto"/>
              <w:ind w:left="650" w:right="503" w:hanging="147"/>
              <w:rPr>
                <w:sz w:val="18"/>
              </w:rPr>
            </w:pPr>
            <w:r>
              <w:rPr>
                <w:sz w:val="18"/>
              </w:rPr>
              <w:t>Сагласност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на буџет</w:t>
            </w:r>
          </w:p>
        </w:tc>
        <w:tc>
          <w:tcPr>
            <w:tcW w:w="1545" w:type="dxa"/>
            <w:tcBorders>
              <w:top w:val="nil"/>
            </w:tcBorders>
          </w:tcPr>
          <w:p>
            <w:pPr>
              <w:pStyle w:val="TableParagraph"/>
              <w:spacing w:line="230" w:lineRule="auto"/>
              <w:ind w:left="316" w:right="269" w:hanging="64"/>
              <w:jc w:val="center"/>
              <w:rPr>
                <w:sz w:val="18"/>
              </w:rPr>
            </w:pPr>
            <w:r>
              <w:rPr>
                <w:sz w:val="18"/>
              </w:rPr>
              <w:t>Влада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усмерава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рад НРТ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захтев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мишљење</w:t>
            </w:r>
          </w:p>
        </w:tc>
        <w:tc>
          <w:tcPr>
            <w:tcW w:w="1665" w:type="dxa"/>
            <w:tcBorders>
              <w:top w:val="nil"/>
            </w:tcBorders>
          </w:tcPr>
          <w:p>
            <w:pPr>
              <w:pStyle w:val="TableParagraph"/>
              <w:spacing w:line="230" w:lineRule="auto"/>
              <w:ind w:left="299" w:right="316"/>
              <w:jc w:val="center"/>
              <w:rPr>
                <w:sz w:val="18"/>
              </w:rPr>
            </w:pPr>
            <w:r>
              <w:rPr>
                <w:sz w:val="18"/>
              </w:rPr>
              <w:t>Неке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одлуке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захтевају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мишљење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Владе</w:t>
            </w:r>
          </w:p>
        </w:tc>
        <w:tc>
          <w:tcPr>
            <w:tcW w:w="1515" w:type="dxa"/>
            <w:tcBorders>
              <w:top w:val="nil"/>
            </w:tcBorders>
          </w:tcPr>
          <w:p>
            <w:pPr>
              <w:pStyle w:val="TableParagraph"/>
              <w:spacing w:line="230" w:lineRule="auto"/>
              <w:ind w:left="459" w:right="475" w:firstLine="15"/>
              <w:jc w:val="both"/>
              <w:rPr>
                <w:sz w:val="18"/>
              </w:rPr>
            </w:pPr>
            <w:r>
              <w:rPr>
                <w:sz w:val="18"/>
              </w:rPr>
              <w:t>Да ли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Влада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може</w:t>
            </w:r>
          </w:p>
          <w:p>
            <w:pPr>
              <w:pStyle w:val="TableParagraph"/>
              <w:spacing w:line="230" w:lineRule="auto"/>
              <w:ind w:left="321" w:right="337"/>
              <w:jc w:val="center"/>
              <w:rPr>
                <w:sz w:val="18"/>
              </w:rPr>
            </w:pPr>
            <w:r>
              <w:rPr>
                <w:sz w:val="18"/>
              </w:rPr>
              <w:t>да обори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одлуке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НРТ?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Аустрија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Белгија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Бугарска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Кипар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Чешка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Данска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7"/>
              <w:jc w:val="center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Естонија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Финска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Француска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Немачка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Грчка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7"/>
              <w:jc w:val="center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Мађарска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Ирска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Рег. тело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Италија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 и 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51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Летонија</w:t>
            </w:r>
          </w:p>
        </w:tc>
        <w:tc>
          <w:tcPr>
            <w:tcW w:w="2100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Литванија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Луксембург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Малта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 и 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Холандија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Пољска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Португалија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Румунија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Словачка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Словенија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Влада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Шпанија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51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Шведска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 и 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Министарство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</w:tr>
      <w:tr>
        <w:trPr>
          <w:trHeight w:val="599" w:hRule="atLeast"/>
        </w:trPr>
        <w:tc>
          <w:tcPr>
            <w:tcW w:w="1920" w:type="dxa"/>
          </w:tcPr>
          <w:p>
            <w:pPr>
              <w:pStyle w:val="TableParagraph"/>
              <w:spacing w:line="230" w:lineRule="auto" w:before="6"/>
              <w:ind w:right="884"/>
              <w:rPr>
                <w:sz w:val="18"/>
              </w:rPr>
            </w:pPr>
            <w:r>
              <w:rPr>
                <w:sz w:val="18"/>
              </w:rPr>
              <w:t>Велика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Британија</w:t>
            </w:r>
          </w:p>
        </w:tc>
        <w:tc>
          <w:tcPr>
            <w:tcW w:w="2100" w:type="dxa"/>
          </w:tcPr>
          <w:p>
            <w:pPr>
              <w:pStyle w:val="TableParagraph"/>
              <w:spacing w:line="240" w:lineRule="auto" w:before="104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spacing w:line="240" w:lineRule="auto" w:before="104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Влада</w:t>
            </w:r>
          </w:p>
        </w:tc>
        <w:tc>
          <w:tcPr>
            <w:tcW w:w="1545" w:type="dxa"/>
          </w:tcPr>
          <w:p>
            <w:pPr>
              <w:pStyle w:val="TableParagraph"/>
              <w:spacing w:line="240" w:lineRule="auto" w:before="104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spacing w:line="240" w:lineRule="auto" w:before="104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spacing w:line="240" w:lineRule="auto" w:before="104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Исланд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6"/>
              <w:jc w:val="center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Лихтенштајн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51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Норвешка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Парламент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7"/>
              <w:jc w:val="center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Швајцарска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Буџет</w:t>
            </w:r>
          </w:p>
        </w:tc>
        <w:tc>
          <w:tcPr>
            <w:tcW w:w="208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665" w:type="dxa"/>
          </w:tcPr>
          <w:p>
            <w:pPr>
              <w:pStyle w:val="TableParagraph"/>
              <w:ind w:left="790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  <w:tc>
          <w:tcPr>
            <w:tcW w:w="1515" w:type="dxa"/>
          </w:tcPr>
          <w:p>
            <w:pPr>
              <w:pStyle w:val="TableParagraph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–</w:t>
            </w:r>
          </w:p>
        </w:tc>
      </w:tr>
      <w:tr>
        <w:trPr>
          <w:trHeight w:val="389" w:hRule="atLeast"/>
        </w:trPr>
        <w:tc>
          <w:tcPr>
            <w:tcW w:w="192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Србија</w:t>
            </w:r>
          </w:p>
        </w:tc>
        <w:tc>
          <w:tcPr>
            <w:tcW w:w="2100" w:type="dxa"/>
          </w:tcPr>
          <w:p>
            <w:pPr>
              <w:pStyle w:val="TableParagraph"/>
              <w:ind w:left="399" w:right="354"/>
              <w:jc w:val="center"/>
              <w:rPr>
                <w:sz w:val="18"/>
              </w:rPr>
            </w:pPr>
            <w:r>
              <w:rPr>
                <w:sz w:val="18"/>
              </w:rPr>
              <w:t>Такса</w:t>
            </w:r>
          </w:p>
        </w:tc>
        <w:tc>
          <w:tcPr>
            <w:tcW w:w="2085" w:type="dxa"/>
          </w:tcPr>
          <w:p>
            <w:pPr>
              <w:pStyle w:val="TableParagraph"/>
              <w:ind w:left="384" w:right="340"/>
              <w:jc w:val="center"/>
              <w:rPr>
                <w:sz w:val="18"/>
              </w:rPr>
            </w:pPr>
            <w:r>
              <w:rPr>
                <w:sz w:val="18"/>
              </w:rPr>
              <w:t>Влада</w:t>
            </w:r>
          </w:p>
        </w:tc>
        <w:tc>
          <w:tcPr>
            <w:tcW w:w="1545" w:type="dxa"/>
          </w:tcPr>
          <w:p>
            <w:pPr>
              <w:pStyle w:val="TableParagraph"/>
              <w:ind w:left="0" w:right="619"/>
              <w:jc w:val="right"/>
              <w:rPr>
                <w:sz w:val="18"/>
              </w:rPr>
            </w:pPr>
            <w:r>
              <w:rPr>
                <w:sz w:val="18"/>
              </w:rPr>
              <w:t>Не</w:t>
            </w:r>
          </w:p>
        </w:tc>
        <w:tc>
          <w:tcPr>
            <w:tcW w:w="1665" w:type="dxa"/>
          </w:tcPr>
          <w:p>
            <w:pPr>
              <w:pStyle w:val="TableParagraph"/>
              <w:ind w:left="726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1515" w:type="dxa"/>
          </w:tcPr>
          <w:p>
            <w:pPr>
              <w:pStyle w:val="TableParagraph"/>
              <w:ind w:left="321" w:right="277"/>
              <w:jc w:val="center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</w:tr>
    </w:tbl>
    <w:p>
      <w:pPr>
        <w:spacing w:after="0"/>
        <w:jc w:val="center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spacing w:before="90"/>
        <w:ind w:left="599" w:right="0" w:firstLine="0"/>
        <w:jc w:val="left"/>
        <w:rPr>
          <w:i/>
          <w:sz w:val="18"/>
        </w:rPr>
      </w:pPr>
      <w:r>
        <w:rPr>
          <w:sz w:val="18"/>
        </w:rPr>
        <w:t>Извор :</w:t>
      </w:r>
      <w:r>
        <w:rPr>
          <w:spacing w:val="-1"/>
          <w:sz w:val="18"/>
        </w:rPr>
        <w:t> </w:t>
      </w:r>
      <w:r>
        <w:rPr>
          <w:i/>
          <w:sz w:val="18"/>
        </w:rPr>
        <w:t>Main Developments in postal sector (2008 – 2010)</w:t>
      </w:r>
    </w:p>
    <w:p>
      <w:pPr>
        <w:pStyle w:val="BodyText"/>
        <w:spacing w:before="5"/>
        <w:ind w:left="0"/>
        <w:rPr>
          <w:i/>
          <w:sz w:val="26"/>
        </w:rPr>
      </w:pPr>
    </w:p>
    <w:p>
      <w:pPr>
        <w:pStyle w:val="ListParagraph"/>
        <w:numPr>
          <w:ilvl w:val="1"/>
          <w:numId w:val="4"/>
        </w:numPr>
        <w:tabs>
          <w:tab w:pos="4150" w:val="left" w:leader="none"/>
        </w:tabs>
        <w:spacing w:line="240" w:lineRule="auto" w:before="0" w:after="0"/>
        <w:ind w:left="4149" w:right="0" w:hanging="424"/>
        <w:jc w:val="left"/>
        <w:rPr>
          <w:i/>
          <w:sz w:val="18"/>
        </w:rPr>
      </w:pPr>
      <w:r>
        <w:rPr>
          <w:i/>
          <w:sz w:val="18"/>
        </w:rPr>
        <w:t>Позиција јавног поштанског оператора</w:t>
      </w:r>
    </w:p>
    <w:p>
      <w:pPr>
        <w:pStyle w:val="BodyText"/>
        <w:spacing w:line="230" w:lineRule="auto" w:before="118"/>
        <w:ind w:right="150" w:firstLine="480"/>
      </w:pPr>
      <w:r>
        <w:rPr/>
        <w:t>Законом о поштанским услугама, као и Законом о потврђивању аката Светског поштанског савеза, утврђена</w:t>
      </w:r>
      <w:r>
        <w:rPr>
          <w:spacing w:val="-61"/>
        </w:rPr>
        <w:t> </w:t>
      </w:r>
      <w:r>
        <w:rPr/>
        <w:t>је обавеза</w:t>
      </w:r>
      <w:r>
        <w:rPr>
          <w:spacing w:val="1"/>
        </w:rPr>
        <w:t> </w:t>
      </w:r>
      <w:r>
        <w:rPr/>
        <w:t>Републике</w:t>
      </w:r>
      <w:r>
        <w:rPr>
          <w:spacing w:val="1"/>
        </w:rPr>
        <w:t> </w:t>
      </w:r>
      <w:r>
        <w:rPr/>
        <w:t>Србије</w:t>
      </w:r>
      <w:r>
        <w:rPr>
          <w:spacing w:val="1"/>
        </w:rPr>
        <w:t> </w:t>
      </w:r>
      <w:r>
        <w:rPr/>
        <w:t>за обезбеђивање</w:t>
      </w:r>
      <w:r>
        <w:rPr>
          <w:spacing w:val="1"/>
        </w:rPr>
        <w:t> </w:t>
      </w:r>
      <w:r>
        <w:rPr/>
        <w:t>УПУ.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Републици Србији</w:t>
      </w:r>
      <w:r>
        <w:rPr>
          <w:spacing w:val="1"/>
        </w:rPr>
        <w:t> </w:t>
      </w:r>
      <w:r>
        <w:rPr/>
        <w:t>УПУ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овом</w:t>
      </w:r>
      <w:r>
        <w:rPr>
          <w:spacing w:val="1"/>
        </w:rPr>
        <w:t> </w:t>
      </w:r>
      <w:r>
        <w:rPr/>
        <w:t>тренутку обавља</w:t>
      </w:r>
      <w:r>
        <w:rPr>
          <w:spacing w:val="1"/>
        </w:rPr>
        <w:t> </w:t>
      </w:r>
      <w:r>
        <w:rPr/>
        <w:t>ЈПО</w:t>
      </w:r>
      <w:r>
        <w:rPr>
          <w:spacing w:val="1"/>
        </w:rPr>
        <w:t> </w:t>
      </w:r>
      <w:r>
        <w:rPr/>
        <w:t>односно Јавно предузеће ПТТ саобраћаја „Србија” (скраћено Пошта Србије). Оснивач ЈП ПТТ саобраћаја „Србија”</w:t>
      </w:r>
      <w:r>
        <w:rPr>
          <w:spacing w:val="-61"/>
        </w:rPr>
        <w:t> </w:t>
      </w:r>
      <w:r>
        <w:rPr/>
        <w:t>је Република Србија, а оснивачка права у име оснивача, врши Влада. Предузеће послује са средствима која су</w:t>
      </w:r>
      <w:r>
        <w:rPr>
          <w:spacing w:val="1"/>
        </w:rPr>
        <w:t> </w:t>
      </w:r>
      <w:r>
        <w:rPr/>
        <w:t>100% у државној својини.</w:t>
      </w:r>
    </w:p>
    <w:p>
      <w:pPr>
        <w:pStyle w:val="BodyText"/>
        <w:spacing w:line="230" w:lineRule="auto"/>
        <w:ind w:right="379" w:firstLine="480"/>
      </w:pPr>
      <w:r>
        <w:rPr/>
        <w:t>На основу Закона о поштанским услугама ЈПО има право и обавезу пружања УПУ у континуитету, на</w:t>
      </w:r>
      <w:r>
        <w:rPr>
          <w:spacing w:val="1"/>
        </w:rPr>
        <w:t> </w:t>
      </w:r>
      <w:r>
        <w:rPr/>
        <w:t>целокупној територији Републике Србије, по приступачним ценама и под једнаким условима за све кориснике,</w:t>
      </w:r>
      <w:r>
        <w:rPr>
          <w:spacing w:val="-61"/>
        </w:rPr>
        <w:t> </w:t>
      </w:r>
      <w:r>
        <w:rPr/>
        <w:t>без дискриминације. Актуелну позицију ЈПО у 2011. години карактеришу:</w:t>
      </w:r>
    </w:p>
    <w:p>
      <w:pPr>
        <w:pStyle w:val="ListParagraph"/>
        <w:numPr>
          <w:ilvl w:val="0"/>
          <w:numId w:val="10"/>
        </w:numPr>
        <w:tabs>
          <w:tab w:pos="860" w:val="left" w:leader="none"/>
        </w:tabs>
        <w:spacing w:line="268" w:lineRule="auto" w:before="143" w:after="0"/>
        <w:ind w:left="119" w:right="654" w:firstLine="480"/>
        <w:jc w:val="left"/>
        <w:rPr>
          <w:sz w:val="18"/>
        </w:rPr>
      </w:pPr>
      <w:r>
        <w:rPr>
          <w:sz w:val="18"/>
        </w:rPr>
        <w:t>Укупна имовина износи 34,95 милијарде динара од чега 22,03 милијарди динара (63,03%) је стална</w:t>
      </w:r>
      <w:r>
        <w:rPr>
          <w:spacing w:val="-62"/>
          <w:sz w:val="18"/>
        </w:rPr>
        <w:t> </w:t>
      </w:r>
      <w:r>
        <w:rPr>
          <w:sz w:val="18"/>
        </w:rPr>
        <w:t>имовина,</w:t>
      </w:r>
      <w:r>
        <w:rPr>
          <w:spacing w:val="-1"/>
          <w:sz w:val="18"/>
        </w:rPr>
        <w:t> </w:t>
      </w:r>
      <w:r>
        <w:rPr>
          <w:sz w:val="18"/>
        </w:rPr>
        <w:t>а 12,92 милијарди динара (36,97%) обртна имовина</w:t>
      </w:r>
      <w:r>
        <w:rPr>
          <w:position w:val="7"/>
          <w:sz w:val="15"/>
        </w:rPr>
        <w:t>6</w:t>
      </w:r>
      <w:r>
        <w:rPr>
          <w:sz w:val="18"/>
        </w:rPr>
        <w:t>;</w:t>
      </w:r>
    </w:p>
    <w:p>
      <w:pPr>
        <w:pStyle w:val="ListParagraph"/>
        <w:numPr>
          <w:ilvl w:val="0"/>
          <w:numId w:val="10"/>
        </w:numPr>
        <w:tabs>
          <w:tab w:pos="860" w:val="left" w:leader="none"/>
        </w:tabs>
        <w:spacing w:line="240" w:lineRule="auto" w:before="150" w:after="0"/>
        <w:ind w:left="859" w:right="0" w:hanging="261"/>
        <w:jc w:val="left"/>
        <w:rPr>
          <w:sz w:val="18"/>
        </w:rPr>
      </w:pPr>
      <w:r>
        <w:rPr>
          <w:sz w:val="18"/>
        </w:rPr>
        <w:t>Капитал</w:t>
      </w:r>
      <w:r>
        <w:rPr>
          <w:spacing w:val="-1"/>
          <w:sz w:val="18"/>
        </w:rPr>
        <w:t> </w:t>
      </w:r>
      <w:r>
        <w:rPr>
          <w:sz w:val="18"/>
        </w:rPr>
        <w:t>је 24,86 милијарди динара, а дугорочна резервисања и обавезе 10,09 милијарди динара</w:t>
      </w:r>
      <w:r>
        <w:rPr>
          <w:position w:val="7"/>
          <w:sz w:val="15"/>
        </w:rPr>
        <w:t>7</w:t>
      </w:r>
      <w:r>
        <w:rPr>
          <w:sz w:val="18"/>
        </w:rPr>
        <w:t>;</w:t>
      </w:r>
    </w:p>
    <w:p>
      <w:pPr>
        <w:pStyle w:val="ListParagraph"/>
        <w:numPr>
          <w:ilvl w:val="0"/>
          <w:numId w:val="10"/>
        </w:numPr>
        <w:tabs>
          <w:tab w:pos="860" w:val="left" w:leader="none"/>
        </w:tabs>
        <w:spacing w:line="240" w:lineRule="auto" w:before="177" w:after="0"/>
        <w:ind w:left="859" w:right="0" w:hanging="261"/>
        <w:jc w:val="left"/>
        <w:rPr>
          <w:sz w:val="18"/>
        </w:rPr>
      </w:pPr>
      <w:r>
        <w:rPr>
          <w:sz w:val="18"/>
        </w:rPr>
        <w:t>Нето</w:t>
      </w:r>
      <w:r>
        <w:rPr>
          <w:spacing w:val="-1"/>
          <w:sz w:val="18"/>
        </w:rPr>
        <w:t> </w:t>
      </w:r>
      <w:r>
        <w:rPr>
          <w:sz w:val="18"/>
        </w:rPr>
        <w:t>добитак износи 2,05</w:t>
      </w:r>
      <w:r>
        <w:rPr>
          <w:spacing w:val="-1"/>
          <w:sz w:val="18"/>
        </w:rPr>
        <w:t> </w:t>
      </w:r>
      <w:r>
        <w:rPr>
          <w:sz w:val="18"/>
        </w:rPr>
        <w:t>милијарди динара</w:t>
      </w:r>
      <w:r>
        <w:rPr>
          <w:position w:val="7"/>
          <w:sz w:val="15"/>
        </w:rPr>
        <w:t>8</w:t>
      </w:r>
      <w:r>
        <w:rPr>
          <w:sz w:val="18"/>
        </w:rPr>
        <w:t>;</w:t>
      </w:r>
    </w:p>
    <w:p>
      <w:pPr>
        <w:pStyle w:val="ListParagraph"/>
        <w:numPr>
          <w:ilvl w:val="0"/>
          <w:numId w:val="10"/>
        </w:numPr>
        <w:tabs>
          <w:tab w:pos="860" w:val="left" w:leader="none"/>
        </w:tabs>
        <w:spacing w:line="249" w:lineRule="auto" w:before="141" w:after="0"/>
        <w:ind w:left="119" w:right="242" w:firstLine="480"/>
        <w:jc w:val="left"/>
        <w:rPr>
          <w:sz w:val="18"/>
        </w:rPr>
      </w:pPr>
      <w:r>
        <w:rPr>
          <w:sz w:val="18"/>
        </w:rPr>
        <w:t>Пружање услуга се обавља преко 1.509 пошта, од тога 244 уговорне поште (16 франшиза). Једна пошта</w:t>
      </w:r>
      <w:r>
        <w:rPr>
          <w:spacing w:val="-62"/>
          <w:sz w:val="18"/>
        </w:rPr>
        <w:t> </w:t>
      </w:r>
      <w:r>
        <w:rPr>
          <w:sz w:val="18"/>
        </w:rPr>
        <w:t>опслужује у просеку 4.821 становника, просечан број становника по једном шалтеру је 1.868, а просечан број</w:t>
      </w:r>
      <w:r>
        <w:rPr>
          <w:spacing w:val="1"/>
          <w:sz w:val="18"/>
        </w:rPr>
        <w:t> </w:t>
      </w:r>
      <w:r>
        <w:rPr>
          <w:sz w:val="18"/>
        </w:rPr>
        <w:t>становника по</w:t>
      </w:r>
      <w:r>
        <w:rPr>
          <w:spacing w:val="-1"/>
          <w:sz w:val="18"/>
        </w:rPr>
        <w:t> </w:t>
      </w:r>
      <w:r>
        <w:rPr>
          <w:sz w:val="18"/>
        </w:rPr>
        <w:t>доставном рејону је 2.045.</w:t>
      </w:r>
      <w:r>
        <w:rPr>
          <w:position w:val="7"/>
          <w:sz w:val="15"/>
        </w:rPr>
        <w:t>9</w:t>
      </w:r>
      <w:r>
        <w:rPr>
          <w:sz w:val="18"/>
        </w:rPr>
        <w:t>;</w:t>
      </w:r>
    </w:p>
    <w:p>
      <w:pPr>
        <w:pStyle w:val="ListParagraph"/>
        <w:numPr>
          <w:ilvl w:val="0"/>
          <w:numId w:val="10"/>
        </w:numPr>
        <w:tabs>
          <w:tab w:pos="860" w:val="left" w:leader="none"/>
        </w:tabs>
        <w:spacing w:line="268" w:lineRule="auto" w:before="133" w:after="0"/>
        <w:ind w:left="119" w:right="312" w:firstLine="480"/>
        <w:jc w:val="left"/>
        <w:rPr>
          <w:sz w:val="18"/>
        </w:rPr>
      </w:pPr>
      <w:r>
        <w:rPr>
          <w:sz w:val="18"/>
        </w:rPr>
        <w:t>Укупан број запослених је 14.939, при чему је годишња флуктуација око 160 запослених. Више од 50%</w:t>
      </w:r>
      <w:r>
        <w:rPr>
          <w:spacing w:val="-61"/>
          <w:sz w:val="18"/>
        </w:rPr>
        <w:t> </w:t>
      </w:r>
      <w:r>
        <w:rPr>
          <w:sz w:val="18"/>
        </w:rPr>
        <w:t>запослених</w:t>
      </w:r>
      <w:r>
        <w:rPr>
          <w:spacing w:val="-1"/>
          <w:sz w:val="18"/>
        </w:rPr>
        <w:t> </w:t>
      </w:r>
      <w:r>
        <w:rPr>
          <w:sz w:val="18"/>
        </w:rPr>
        <w:t>је са средњом стручном спремом, а однос запослених у администрацији</w:t>
      </w:r>
      <w:r>
        <w:rPr>
          <w:spacing w:val="-1"/>
          <w:sz w:val="18"/>
        </w:rPr>
        <w:t> </w:t>
      </w:r>
      <w:r>
        <w:rPr>
          <w:sz w:val="18"/>
        </w:rPr>
        <w:t>и технологији је 1:6.</w:t>
      </w:r>
      <w:r>
        <w:rPr>
          <w:position w:val="7"/>
          <w:sz w:val="15"/>
        </w:rPr>
        <w:t>10</w:t>
      </w:r>
      <w:r>
        <w:rPr>
          <w:sz w:val="18"/>
        </w:rPr>
        <w:t>;</w:t>
      </w:r>
    </w:p>
    <w:p>
      <w:pPr>
        <w:pStyle w:val="ListParagraph"/>
        <w:numPr>
          <w:ilvl w:val="0"/>
          <w:numId w:val="10"/>
        </w:numPr>
        <w:tabs>
          <w:tab w:pos="860" w:val="left" w:leader="none"/>
        </w:tabs>
        <w:spacing w:line="240" w:lineRule="auto" w:before="115" w:after="0"/>
        <w:ind w:left="859" w:right="0" w:hanging="261"/>
        <w:jc w:val="left"/>
        <w:rPr>
          <w:sz w:val="18"/>
        </w:rPr>
      </w:pPr>
      <w:r>
        <w:rPr>
          <w:sz w:val="18"/>
        </w:rPr>
        <w:t>Забележен је раст већег броја услуга у односу на претходну годину;</w:t>
      </w:r>
    </w:p>
    <w:p>
      <w:pPr>
        <w:pStyle w:val="ListParagraph"/>
        <w:numPr>
          <w:ilvl w:val="0"/>
          <w:numId w:val="10"/>
        </w:numPr>
        <w:tabs>
          <w:tab w:pos="860" w:val="left" w:leader="none"/>
        </w:tabs>
        <w:spacing w:line="249" w:lineRule="auto" w:before="141" w:after="0"/>
        <w:ind w:left="119" w:right="173" w:firstLine="480"/>
        <w:jc w:val="left"/>
        <w:rPr>
          <w:sz w:val="18"/>
        </w:rPr>
      </w:pPr>
      <w:r>
        <w:rPr>
          <w:sz w:val="18"/>
        </w:rPr>
        <w:t>Пошта Србије прати и унапређује квалитет услуга. У 2011. години први пут је спроведено независно</w:t>
      </w:r>
      <w:r>
        <w:rPr>
          <w:spacing w:val="1"/>
          <w:sz w:val="18"/>
        </w:rPr>
        <w:t> </w:t>
      </w:r>
      <w:r>
        <w:rPr>
          <w:sz w:val="18"/>
        </w:rPr>
        <w:t>мерење времена преноса нерегистрованих писама у УПС. На основу резултата мерења 98,57% пошиљака се</w:t>
      </w:r>
      <w:r>
        <w:rPr>
          <w:spacing w:val="1"/>
          <w:sz w:val="18"/>
        </w:rPr>
        <w:t> </w:t>
      </w:r>
      <w:r>
        <w:rPr>
          <w:sz w:val="18"/>
        </w:rPr>
        <w:t>уручи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року</w:t>
      </w:r>
      <w:r>
        <w:rPr>
          <w:spacing w:val="-1"/>
          <w:sz w:val="18"/>
        </w:rPr>
        <w:t> </w:t>
      </w:r>
      <w:r>
        <w:rPr>
          <w:sz w:val="18"/>
        </w:rPr>
        <w:t>Д+3</w:t>
      </w:r>
      <w:r>
        <w:rPr>
          <w:spacing w:val="-1"/>
          <w:sz w:val="18"/>
        </w:rPr>
        <w:t> </w:t>
      </w:r>
      <w:r>
        <w:rPr>
          <w:sz w:val="18"/>
        </w:rPr>
        <w:t>(индикатор</w:t>
      </w:r>
      <w:r>
        <w:rPr>
          <w:spacing w:val="-1"/>
          <w:sz w:val="18"/>
        </w:rPr>
        <w:t> </w:t>
      </w:r>
      <w:r>
        <w:rPr>
          <w:sz w:val="18"/>
        </w:rPr>
        <w:t>квалитета),</w:t>
      </w:r>
      <w:r>
        <w:rPr>
          <w:spacing w:val="-1"/>
          <w:sz w:val="18"/>
        </w:rPr>
        <w:t> </w:t>
      </w:r>
      <w:r>
        <w:rPr>
          <w:sz w:val="18"/>
        </w:rPr>
        <w:t>а</w:t>
      </w:r>
      <w:r>
        <w:rPr>
          <w:spacing w:val="-2"/>
          <w:sz w:val="18"/>
        </w:rPr>
        <w:t> </w:t>
      </w:r>
      <w:r>
        <w:rPr>
          <w:sz w:val="18"/>
        </w:rPr>
        <w:t>99,85%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року</w:t>
      </w:r>
      <w:r>
        <w:rPr>
          <w:spacing w:val="-1"/>
          <w:sz w:val="18"/>
        </w:rPr>
        <w:t> </w:t>
      </w:r>
      <w:r>
        <w:rPr>
          <w:sz w:val="18"/>
        </w:rPr>
        <w:t>Д+5</w:t>
      </w:r>
      <w:r>
        <w:rPr>
          <w:position w:val="7"/>
          <w:sz w:val="15"/>
        </w:rPr>
        <w:t>11</w:t>
      </w:r>
      <w:r>
        <w:rPr>
          <w:spacing w:val="9"/>
          <w:position w:val="7"/>
          <w:sz w:val="15"/>
        </w:rPr>
        <w:t> </w:t>
      </w:r>
      <w:r>
        <w:rPr>
          <w:sz w:val="18"/>
        </w:rPr>
        <w:t>(индикатор</w:t>
      </w:r>
      <w:r>
        <w:rPr>
          <w:spacing w:val="-1"/>
          <w:sz w:val="18"/>
        </w:rPr>
        <w:t> </w:t>
      </w:r>
      <w:r>
        <w:rPr>
          <w:sz w:val="18"/>
        </w:rPr>
        <w:t>поузданости).</w:t>
      </w:r>
      <w:r>
        <w:rPr>
          <w:spacing w:val="-2"/>
          <w:sz w:val="18"/>
        </w:rPr>
        <w:t> </w:t>
      </w:r>
      <w:r>
        <w:rPr>
          <w:sz w:val="18"/>
        </w:rPr>
        <w:t>Остварени</w:t>
      </w:r>
      <w:r>
        <w:rPr>
          <w:spacing w:val="-1"/>
          <w:sz w:val="18"/>
        </w:rPr>
        <w:t> </w:t>
      </w:r>
      <w:r>
        <w:rPr>
          <w:sz w:val="18"/>
        </w:rPr>
        <w:t>резултати</w:t>
      </w:r>
    </w:p>
    <w:p>
      <w:pPr>
        <w:pStyle w:val="BodyText"/>
        <w:spacing w:line="230" w:lineRule="auto" w:before="0"/>
        <w:ind w:right="373"/>
      </w:pPr>
      <w:r>
        <w:rPr/>
        <w:t>су у складу са циљевима РАПУС-а. Поред тога што редовно прати резултате мерења везано за имплементацију</w:t>
      </w:r>
      <w:r>
        <w:rPr>
          <w:spacing w:val="-61"/>
        </w:rPr>
        <w:t> </w:t>
      </w:r>
      <w:r>
        <w:rPr/>
        <w:t>стандарда квалитета који се односе на пошиљке у МПС, ЈПО и активно учествује у мерењима квалитета.</w:t>
      </w:r>
    </w:p>
    <w:p>
      <w:pPr>
        <w:pStyle w:val="BodyText"/>
        <w:spacing w:line="230" w:lineRule="auto" w:before="140"/>
        <w:ind w:right="231" w:firstLine="480"/>
      </w:pPr>
      <w:r>
        <w:rPr/>
        <w:t>ЈПО је у 2011. години од укупно више од 317 милиона поштанских услуга у Републици Србији реализовала</w:t>
      </w:r>
      <w:r>
        <w:rPr>
          <w:spacing w:val="-61"/>
        </w:rPr>
        <w:t> </w:t>
      </w:r>
      <w:r>
        <w:rPr/>
        <w:t>308,7 милиона услуга, односно 97% укупног броја поштанских услуга Обим услуга повећан је за 4%, а раст</w:t>
      </w:r>
      <w:r>
        <w:rPr>
          <w:spacing w:val="1"/>
        </w:rPr>
        <w:t> </w:t>
      </w:r>
      <w:r>
        <w:rPr/>
        <w:t>прихода за 6% у односу на 2010. годину. Учешће Поште Србије у оствареном приходу је око 70%.</w:t>
      </w:r>
    </w:p>
    <w:p>
      <w:pPr>
        <w:pStyle w:val="BodyText"/>
        <w:spacing w:line="230" w:lineRule="auto"/>
        <w:ind w:right="272" w:firstLine="480"/>
      </w:pPr>
      <w:r>
        <w:rPr/>
        <w:t>ЈПО у Републици Србији поседује све јачи стратешки положај, као и мрежне капацитете што му даје</w:t>
      </w:r>
      <w:r>
        <w:rPr>
          <w:spacing w:val="1"/>
        </w:rPr>
        <w:t> </w:t>
      </w:r>
      <w:r>
        <w:rPr/>
        <w:t>могућност да унапреди свој положај на тржишту поштанских услуга путем нових пословних активности везаних</w:t>
      </w:r>
      <w:r>
        <w:rPr>
          <w:spacing w:val="-61"/>
        </w:rPr>
        <w:t> </w:t>
      </w:r>
      <w:r>
        <w:rPr/>
        <w:t>за услуге са додатном вредношћу. Како би се искористиле прилике за промену неопходно је испунити</w:t>
      </w:r>
      <w:r>
        <w:rPr>
          <w:spacing w:val="1"/>
        </w:rPr>
        <w:t> </w:t>
      </w:r>
      <w:r>
        <w:rPr/>
        <w:t>предуслове у вези институционалних капацитета, управних и маркетиншких способности, као и развоја нових</w:t>
      </w:r>
      <w:r>
        <w:rPr>
          <w:spacing w:val="1"/>
        </w:rPr>
        <w:t> </w:t>
      </w:r>
      <w:r>
        <w:rPr/>
        <w:t>технолошких решења. На основу анализе пословања ЈП ПТТ саобраћаја „Србија” може се закључити да Пошта</w:t>
      </w:r>
      <w:r>
        <w:rPr>
          <w:spacing w:val="1"/>
        </w:rPr>
        <w:t> </w:t>
      </w:r>
      <w:r>
        <w:rPr/>
        <w:t>Србије представља значајан привредни субјект у Републици Србији.</w:t>
      </w:r>
    </w:p>
    <w:p>
      <w:pPr>
        <w:pStyle w:val="BodyText"/>
        <w:spacing w:before="143"/>
        <w:ind w:left="599"/>
      </w:pPr>
      <w:r>
        <w:rPr/>
        <w:t>––––––––––––</w:t>
      </w:r>
    </w:p>
    <w:p>
      <w:pPr>
        <w:pStyle w:val="ListParagraph"/>
        <w:numPr>
          <w:ilvl w:val="0"/>
          <w:numId w:val="7"/>
        </w:numPr>
        <w:tabs>
          <w:tab w:pos="298" w:val="left" w:leader="none"/>
        </w:tabs>
        <w:spacing w:line="230" w:lineRule="auto" w:before="93" w:after="0"/>
        <w:ind w:left="119" w:right="1099" w:firstLine="0"/>
        <w:jc w:val="left"/>
        <w:rPr>
          <w:i/>
          <w:sz w:val="18"/>
        </w:rPr>
      </w:pPr>
      <w:r>
        <w:rPr>
          <w:i/>
          <w:sz w:val="18"/>
        </w:rPr>
        <w:t>Република Србија Агенција за привредне регистре, Редовни финансијски извештај за 2011. годину за</w:t>
      </w:r>
      <w:r>
        <w:rPr>
          <w:i/>
          <w:spacing w:val="-61"/>
          <w:sz w:val="18"/>
        </w:rPr>
        <w:t> </w:t>
      </w:r>
      <w:r>
        <w:rPr>
          <w:i/>
          <w:sz w:val="18"/>
        </w:rPr>
        <w:t>обвезника ревизије (ЈП ПТТ саобраћаја „Србија”).</w:t>
      </w:r>
    </w:p>
    <w:p>
      <w:pPr>
        <w:pStyle w:val="ListParagraph"/>
        <w:numPr>
          <w:ilvl w:val="0"/>
          <w:numId w:val="7"/>
        </w:numPr>
        <w:tabs>
          <w:tab w:pos="298" w:val="left" w:leader="none"/>
        </w:tabs>
        <w:spacing w:line="240" w:lineRule="auto" w:before="148" w:after="0"/>
        <w:ind w:left="297" w:right="0" w:hanging="179"/>
        <w:jc w:val="left"/>
        <w:rPr>
          <w:i/>
          <w:sz w:val="18"/>
        </w:rPr>
      </w:pPr>
      <w:r>
        <w:rPr>
          <w:i/>
          <w:sz w:val="18"/>
        </w:rPr>
        <w:t>Исто</w:t>
      </w:r>
    </w:p>
    <w:p>
      <w:pPr>
        <w:pStyle w:val="ListParagraph"/>
        <w:numPr>
          <w:ilvl w:val="0"/>
          <w:numId w:val="7"/>
        </w:numPr>
        <w:tabs>
          <w:tab w:pos="298" w:val="left" w:leader="none"/>
        </w:tabs>
        <w:spacing w:line="240" w:lineRule="auto" w:before="146" w:after="0"/>
        <w:ind w:left="297" w:right="0" w:hanging="179"/>
        <w:jc w:val="left"/>
        <w:rPr>
          <w:i/>
          <w:sz w:val="18"/>
        </w:rPr>
      </w:pPr>
      <w:r>
        <w:rPr>
          <w:i/>
          <w:sz w:val="18"/>
        </w:rPr>
        <w:t>Исто</w:t>
      </w:r>
    </w:p>
    <w:p>
      <w:pPr>
        <w:pStyle w:val="ListParagraph"/>
        <w:numPr>
          <w:ilvl w:val="0"/>
          <w:numId w:val="7"/>
        </w:numPr>
        <w:tabs>
          <w:tab w:pos="298" w:val="left" w:leader="none"/>
        </w:tabs>
        <w:spacing w:line="400" w:lineRule="auto" w:before="146" w:after="0"/>
        <w:ind w:left="119" w:right="5693" w:firstLine="0"/>
        <w:jc w:val="left"/>
        <w:rPr>
          <w:i/>
          <w:sz w:val="18"/>
        </w:rPr>
      </w:pPr>
      <w:r>
        <w:rPr>
          <w:i/>
          <w:sz w:val="18"/>
        </w:rPr>
        <w:t>ЈП ПТТ саобраћаја „Србија”, Профил предузећа 2011.</w:t>
      </w:r>
      <w:r>
        <w:rPr>
          <w:i/>
          <w:spacing w:val="-61"/>
          <w:sz w:val="18"/>
        </w:rPr>
        <w:t> </w:t>
      </w:r>
      <w:r>
        <w:rPr>
          <w:i/>
          <w:position w:val="7"/>
          <w:sz w:val="18"/>
        </w:rPr>
        <w:t>10</w:t>
      </w:r>
      <w:r>
        <w:rPr>
          <w:i/>
          <w:spacing w:val="-1"/>
          <w:position w:val="7"/>
          <w:sz w:val="18"/>
        </w:rPr>
        <w:t> </w:t>
      </w:r>
      <w:r>
        <w:rPr>
          <w:i/>
          <w:sz w:val="18"/>
        </w:rPr>
        <w:t>Исто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88" w:lineRule="exact" w:before="0" w:after="0"/>
        <w:ind w:left="412" w:right="0" w:hanging="294"/>
        <w:jc w:val="left"/>
        <w:rPr>
          <w:i/>
          <w:sz w:val="18"/>
        </w:rPr>
      </w:pPr>
      <w:r>
        <w:rPr>
          <w:i/>
          <w:sz w:val="18"/>
        </w:rPr>
        <w:t>Исто</w:t>
      </w:r>
    </w:p>
    <w:p>
      <w:pPr>
        <w:pStyle w:val="BodyText"/>
        <w:spacing w:before="2"/>
        <w:ind w:left="0"/>
        <w:rPr>
          <w:i/>
          <w:sz w:val="23"/>
        </w:rPr>
      </w:pPr>
    </w:p>
    <w:p>
      <w:pPr>
        <w:pStyle w:val="Heading1"/>
        <w:numPr>
          <w:ilvl w:val="0"/>
          <w:numId w:val="1"/>
        </w:numPr>
        <w:tabs>
          <w:tab w:pos="3628" w:val="left" w:leader="none"/>
        </w:tabs>
        <w:spacing w:line="240" w:lineRule="auto" w:before="100" w:after="0"/>
        <w:ind w:left="3627" w:right="0" w:hanging="255"/>
        <w:jc w:val="left"/>
      </w:pPr>
      <w:r>
        <w:rPr/>
        <w:t>Тенденције развоја поштанског саобраћаја</w:t>
      </w:r>
    </w:p>
    <w:p>
      <w:pPr>
        <w:pStyle w:val="BodyText"/>
        <w:spacing w:before="5"/>
        <w:ind w:left="0"/>
        <w:rPr>
          <w:b/>
          <w:sz w:val="26"/>
        </w:rPr>
      </w:pPr>
    </w:p>
    <w:p>
      <w:pPr>
        <w:pStyle w:val="ListParagraph"/>
        <w:numPr>
          <w:ilvl w:val="1"/>
          <w:numId w:val="12"/>
        </w:numPr>
        <w:tabs>
          <w:tab w:pos="2048" w:val="left" w:leader="none"/>
        </w:tabs>
        <w:spacing w:line="240" w:lineRule="auto" w:before="0" w:after="0"/>
        <w:ind w:left="2047" w:right="0" w:hanging="424"/>
        <w:jc w:val="left"/>
        <w:rPr>
          <w:i/>
          <w:sz w:val="18"/>
        </w:rPr>
      </w:pPr>
      <w:r>
        <w:rPr>
          <w:i/>
          <w:sz w:val="18"/>
        </w:rPr>
        <w:t>Глобални развој поштанског тржишта – место и значај Светског поштанског савеза</w:t>
      </w:r>
    </w:p>
    <w:p>
      <w:pPr>
        <w:pStyle w:val="BodyText"/>
        <w:spacing w:line="230" w:lineRule="auto" w:before="119"/>
        <w:ind w:right="161" w:firstLine="480"/>
      </w:pPr>
      <w:r>
        <w:rPr/>
        <w:t>У последњих 25 година велики број различитих фактора утицао је на улогу поштанског сектора на тржишту</w:t>
      </w:r>
      <w:r>
        <w:rPr>
          <w:spacing w:val="-61"/>
        </w:rPr>
        <w:t> </w:t>
      </w:r>
      <w:r>
        <w:rPr/>
        <w:t>комуникација. Комбиновано деловање директне и индиректне конкуренције, приватизација, либерализација,</w:t>
      </w:r>
      <w:r>
        <w:rPr>
          <w:spacing w:val="1"/>
        </w:rPr>
        <w:t> </w:t>
      </w:r>
      <w:r>
        <w:rPr/>
        <w:t>раздвајање операторске и регулаторске функције, тражња корисника за бољим и поузданијим услугама, као и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462"/>
      </w:pPr>
      <w:r>
        <w:rPr/>
        <w:t>нове технологије уверили су поштанске секторе да морају мењати своју оперативну и финансијску стратегију</w:t>
      </w:r>
      <w:r>
        <w:rPr>
          <w:spacing w:val="-61"/>
        </w:rPr>
        <w:t> </w:t>
      </w:r>
      <w:r>
        <w:rPr/>
        <w:t>како би остали конкурентни.</w:t>
      </w:r>
    </w:p>
    <w:p>
      <w:pPr>
        <w:pStyle w:val="BodyText"/>
        <w:spacing w:line="230" w:lineRule="auto"/>
        <w:ind w:right="158" w:firstLine="480"/>
      </w:pPr>
      <w:r>
        <w:rPr/>
        <w:t>Поштански сектори не делују у вакууму – то су сектори који утичу и под утицајем су низа социјалних и</w:t>
      </w:r>
      <w:r>
        <w:rPr>
          <w:spacing w:val="1"/>
        </w:rPr>
        <w:t> </w:t>
      </w:r>
      <w:r>
        <w:rPr/>
        <w:t>економских фактора. Један од елементарних показатеља таквог деловања јесте степен потрошње који се</w:t>
      </w:r>
      <w:r>
        <w:rPr>
          <w:spacing w:val="1"/>
        </w:rPr>
        <w:t> </w:t>
      </w:r>
      <w:r>
        <w:rPr/>
        <w:t>исказује у броју поштанских пошиљка по глави становника годишње. Те бројке се крећу од мање од пет у неким</w:t>
      </w:r>
      <w:r>
        <w:rPr>
          <w:spacing w:val="-61"/>
        </w:rPr>
        <w:t> </w:t>
      </w:r>
      <w:r>
        <w:rPr/>
        <w:t>подручјима у развоју, до преко 700 у појединим развијеним земљама (Република Србија 42).</w:t>
      </w:r>
    </w:p>
    <w:p>
      <w:pPr>
        <w:pStyle w:val="BodyText"/>
        <w:spacing w:line="230" w:lineRule="auto"/>
        <w:ind w:right="344" w:firstLine="480"/>
      </w:pPr>
      <w:r>
        <w:rPr/>
        <w:t>Упркос великим разликама у развијености поштанских сектора, ипак постоје неки изразити трендови који</w:t>
      </w:r>
      <w:r>
        <w:rPr>
          <w:spacing w:val="-61"/>
        </w:rPr>
        <w:t> </w:t>
      </w:r>
      <w:r>
        <w:rPr/>
        <w:t>ће вероватно имати глобалног утицаја на поштанске секторе у дугорочном периоду.</w:t>
      </w:r>
    </w:p>
    <w:p>
      <w:pPr>
        <w:pStyle w:val="BodyText"/>
        <w:spacing w:line="230" w:lineRule="auto"/>
        <w:ind w:right="127" w:firstLine="480"/>
      </w:pPr>
      <w:r>
        <w:rPr/>
        <w:t>У Дохи је 2012. године одржан 25 конгрес СПС. Поштанском стратегијом из Дохе дефинисана су четири</w:t>
      </w:r>
      <w:r>
        <w:rPr>
          <w:spacing w:val="1"/>
        </w:rPr>
        <w:t> </w:t>
      </w:r>
      <w:r>
        <w:rPr/>
        <w:t>основна циља која на глобалном нивоу представља путоказ СПС као и подршку свим земљама чланицама и ужим</w:t>
      </w:r>
      <w:r>
        <w:rPr>
          <w:spacing w:val="-61"/>
        </w:rPr>
        <w:t> </w:t>
      </w:r>
      <w:r>
        <w:rPr/>
        <w:t>савезима за период 2013 – 2016. године. Ова четири циља су:</w:t>
      </w:r>
    </w:p>
    <w:p>
      <w:pPr>
        <w:pStyle w:val="BodyText"/>
        <w:spacing w:line="230" w:lineRule="auto"/>
        <w:ind w:right="314" w:firstLine="480"/>
      </w:pPr>
      <w:r>
        <w:rPr/>
        <w:t>Циљ 1 – Унапређење међуповезаности глобалне поштанске мреже – СПС ће се фокусирати на квалитетну,</w:t>
      </w:r>
      <w:r>
        <w:rPr>
          <w:spacing w:val="-61"/>
        </w:rPr>
        <w:t> </w:t>
      </w:r>
      <w:r>
        <w:rPr/>
        <w:t>приступачну, безбедну, ефикасну УПУ. Један од најзначајнијих циљева Савеза је да омогући ефикасан рад</w:t>
      </w:r>
      <w:r>
        <w:rPr>
          <w:spacing w:val="1"/>
        </w:rPr>
        <w:t> </w:t>
      </w:r>
      <w:r>
        <w:rPr/>
        <w:t>тродимензионалне поштанске мреже: физичке, електронске и финансијске. За државе чланице СПС</w:t>
      </w:r>
      <w:r>
        <w:rPr>
          <w:spacing w:val="1"/>
        </w:rPr>
        <w:t> </w:t>
      </w:r>
      <w:r>
        <w:rPr/>
        <w:t>међуповезаност поштанских мрежа, у ширем смислу, свих учесника у поштанском сектору, је важна за</w:t>
      </w:r>
      <w:r>
        <w:rPr>
          <w:spacing w:val="1"/>
        </w:rPr>
        <w:t> </w:t>
      </w:r>
      <w:r>
        <w:rPr/>
        <w:t>интеграцију глобалног поштанског ланца преноса.</w:t>
      </w:r>
    </w:p>
    <w:p>
      <w:pPr>
        <w:pStyle w:val="BodyText"/>
        <w:spacing w:line="230" w:lineRule="auto"/>
        <w:ind w:right="142" w:firstLine="480"/>
      </w:pPr>
      <w:r>
        <w:rPr/>
        <w:t>Циљ 2 – Пружање техничког знања и искуства из области поштанског сектора – У време крупних</w:t>
      </w:r>
      <w:r>
        <w:rPr>
          <w:spacing w:val="1"/>
        </w:rPr>
        <w:t> </w:t>
      </w:r>
      <w:r>
        <w:rPr/>
        <w:t>трансформација у сектору, мисија СПС-а је да задржи улогу јединственог глобалног форума за све кључне</w:t>
      </w:r>
      <w:r>
        <w:rPr>
          <w:spacing w:val="1"/>
        </w:rPr>
        <w:t> </w:t>
      </w:r>
      <w:r>
        <w:rPr/>
        <w:t>играче у поштанском сектору, преко којег ће се вршити размена идеја и примера најбоље праксе у циљу развоја</w:t>
      </w:r>
      <w:r>
        <w:rPr>
          <w:spacing w:val="-61"/>
        </w:rPr>
        <w:t> </w:t>
      </w:r>
      <w:r>
        <w:rPr/>
        <w:t>и унапређења регулаторног оквира и стварања стабилне основе за пружање и приступ УПУ.</w:t>
      </w:r>
    </w:p>
    <w:p>
      <w:pPr>
        <w:pStyle w:val="BodyText"/>
        <w:spacing w:line="230" w:lineRule="auto"/>
        <w:ind w:right="179" w:firstLine="480"/>
      </w:pPr>
      <w:r>
        <w:rPr/>
        <w:t>Циљ 3 – Промовисање иновативних производа и услуга (развој тродимензионалне мреже поштанских</w:t>
      </w:r>
      <w:r>
        <w:rPr>
          <w:spacing w:val="1"/>
        </w:rPr>
        <w:t> </w:t>
      </w:r>
      <w:r>
        <w:rPr/>
        <w:t>услуга) – Како би се изборили са смањеном потребом корисника за основним поштанским услугама, многи</w:t>
      </w:r>
      <w:r>
        <w:rPr>
          <w:spacing w:val="1"/>
        </w:rPr>
        <w:t> </w:t>
      </w:r>
      <w:r>
        <w:rPr/>
        <w:t>оператори су покушали да диверсификују услуге. Поштански сектор се налази у одличној стратешкој позицији</w:t>
      </w:r>
      <w:r>
        <w:rPr>
          <w:spacing w:val="1"/>
        </w:rPr>
        <w:t> </w:t>
      </w:r>
      <w:r>
        <w:rPr/>
        <w:t>из разлога што секторска глобална повезаност и приступ интернету отварају нова тржишта која владама држава</w:t>
      </w:r>
      <w:r>
        <w:rPr>
          <w:spacing w:val="-61"/>
        </w:rPr>
        <w:t> </w:t>
      </w:r>
      <w:r>
        <w:rPr/>
        <w:t>чланица могу да пруже шансе, у смислу укључивања руралних средина и стварање прилика за развој економије</w:t>
      </w:r>
      <w:r>
        <w:rPr>
          <w:spacing w:val="-61"/>
        </w:rPr>
        <w:t> </w:t>
      </w:r>
      <w:r>
        <w:rPr/>
        <w:t>и трговине.</w:t>
      </w:r>
    </w:p>
    <w:p>
      <w:pPr>
        <w:pStyle w:val="BodyText"/>
        <w:spacing w:line="230" w:lineRule="auto"/>
        <w:ind w:right="128" w:firstLine="480"/>
      </w:pPr>
      <w:r>
        <w:rPr/>
        <w:t>Циљ 4 – Подстицати одрживи развој поштанског сектора – Један од кључних закључака са Стратешке</w:t>
      </w:r>
      <w:r>
        <w:rPr>
          <w:spacing w:val="1"/>
        </w:rPr>
        <w:t> </w:t>
      </w:r>
      <w:r>
        <w:rPr/>
        <w:t>конференције одржане 2010. године у Најробију, био је да одрживи развој мора да остане питање од суштинског</w:t>
      </w:r>
      <w:r>
        <w:rPr>
          <w:spacing w:val="-61"/>
        </w:rPr>
        <w:t> </w:t>
      </w:r>
      <w:r>
        <w:rPr/>
        <w:t>значаја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СПС</w:t>
      </w:r>
      <w:r>
        <w:rPr>
          <w:spacing w:val="2"/>
        </w:rPr>
        <w:t> </w:t>
      </w:r>
      <w:r>
        <w:rPr/>
        <w:t>и</w:t>
      </w:r>
      <w:r>
        <w:rPr>
          <w:spacing w:val="3"/>
        </w:rPr>
        <w:t> </w:t>
      </w:r>
      <w:r>
        <w:rPr/>
        <w:t>цео</w:t>
      </w:r>
      <w:r>
        <w:rPr>
          <w:spacing w:val="2"/>
        </w:rPr>
        <w:t> </w:t>
      </w:r>
      <w:r>
        <w:rPr/>
        <w:t>поштански</w:t>
      </w:r>
      <w:r>
        <w:rPr>
          <w:spacing w:val="2"/>
        </w:rPr>
        <w:t> </w:t>
      </w:r>
      <w:r>
        <w:rPr/>
        <w:t>сектор.</w:t>
      </w:r>
      <w:r>
        <w:rPr>
          <w:spacing w:val="2"/>
        </w:rPr>
        <w:t> </w:t>
      </w:r>
      <w:r>
        <w:rPr/>
        <w:t>Одрживи</w:t>
      </w:r>
      <w:r>
        <w:rPr>
          <w:spacing w:val="3"/>
        </w:rPr>
        <w:t> </w:t>
      </w:r>
      <w:r>
        <w:rPr/>
        <w:t>развој</w:t>
      </w:r>
      <w:r>
        <w:rPr>
          <w:spacing w:val="2"/>
        </w:rPr>
        <w:t> </w:t>
      </w:r>
      <w:r>
        <w:rPr/>
        <w:t>се</w:t>
      </w:r>
      <w:r>
        <w:rPr>
          <w:spacing w:val="2"/>
        </w:rPr>
        <w:t> </w:t>
      </w:r>
      <w:r>
        <w:rPr/>
        <w:t>овде</w:t>
      </w:r>
      <w:r>
        <w:rPr>
          <w:spacing w:val="2"/>
        </w:rPr>
        <w:t> </w:t>
      </w:r>
      <w:r>
        <w:rPr/>
        <w:t>треба</w:t>
      </w:r>
      <w:r>
        <w:rPr>
          <w:spacing w:val="3"/>
        </w:rPr>
        <w:t> </w:t>
      </w:r>
      <w:r>
        <w:rPr/>
        <w:t>схватити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најширем</w:t>
      </w:r>
      <w:r>
        <w:rPr>
          <w:spacing w:val="2"/>
        </w:rPr>
        <w:t> </w:t>
      </w:r>
      <w:r>
        <w:rPr/>
        <w:t>смислу.</w:t>
      </w:r>
      <w:r>
        <w:rPr>
          <w:spacing w:val="3"/>
        </w:rPr>
        <w:t> </w:t>
      </w:r>
      <w:r>
        <w:rPr/>
        <w:t>Неопходно</w:t>
      </w:r>
      <w:r>
        <w:rPr>
          <w:spacing w:val="1"/>
        </w:rPr>
        <w:t> </w:t>
      </w:r>
      <w:r>
        <w:rPr/>
        <w:t>је укључити социјална и питања очувања животне средине, али и одрживост поштанског модела пословања и</w:t>
      </w:r>
      <w:r>
        <w:rPr>
          <w:spacing w:val="1"/>
        </w:rPr>
        <w:t> </w:t>
      </w:r>
      <w:r>
        <w:rPr/>
        <w:t>развој сектора кроз све три димензије поштанске мреже.</w:t>
      </w:r>
    </w:p>
    <w:p>
      <w:pPr>
        <w:pStyle w:val="BodyText"/>
        <w:spacing w:line="230" w:lineRule="auto"/>
        <w:ind w:right="213" w:firstLine="480"/>
      </w:pPr>
      <w:r>
        <w:rPr/>
        <w:t>Наведена четири стратешка циља, кроз пратеће програме, представљају водич и полазну основу за даљи</w:t>
      </w:r>
      <w:r>
        <w:rPr>
          <w:spacing w:val="1"/>
        </w:rPr>
        <w:t> </w:t>
      </w:r>
      <w:r>
        <w:rPr/>
        <w:t>развој регија и ужих савеза унутар СПС. У стратегији су дефинисане обавезе влада држава чланица, НПО, ужих</w:t>
      </w:r>
      <w:r>
        <w:rPr>
          <w:spacing w:val="-61"/>
        </w:rPr>
        <w:t> </w:t>
      </w:r>
      <w:r>
        <w:rPr/>
        <w:t>савеза унутар СПС и сталних тела СПС, као кључних учесника у поштанском сектору, задужених за реализацију</w:t>
      </w:r>
      <w:r>
        <w:rPr>
          <w:spacing w:val="-61"/>
        </w:rPr>
        <w:t> </w:t>
      </w:r>
      <w:r>
        <w:rPr/>
        <w:t>поменутих циљева, који ће, на глобалном и националном нивоу, бити посебно разрађени Акционим планом.</w:t>
      </w:r>
    </w:p>
    <w:p>
      <w:pPr>
        <w:pStyle w:val="BodyText"/>
        <w:spacing w:line="230" w:lineRule="auto"/>
        <w:ind w:right="391" w:firstLine="480"/>
      </w:pPr>
      <w:r>
        <w:rPr/>
        <w:t>Поред ова четири циља, која служе као смернице, на регионалном нивоу, за сваки регион (Африка,</w:t>
      </w:r>
      <w:r>
        <w:rPr>
          <w:spacing w:val="1"/>
        </w:rPr>
        <w:t> </w:t>
      </w:r>
      <w:r>
        <w:rPr/>
        <w:t>Латинска Америка, Азија – Пацифик, САД, Кариби, Арапске земље, Европа) дефинисани су регионални</w:t>
      </w:r>
      <w:r>
        <w:rPr>
          <w:spacing w:val="1"/>
        </w:rPr>
        <w:t> </w:t>
      </w:r>
      <w:r>
        <w:rPr/>
        <w:t>приоритети. На основу глобалних циљева и регионалних приоритета сваки регион и његов ужи савез треба да</w:t>
      </w:r>
      <w:r>
        <w:rPr>
          <w:spacing w:val="-61"/>
        </w:rPr>
        <w:t> </w:t>
      </w:r>
      <w:r>
        <w:rPr/>
        <w:t>дефинишу активности које желе да спроведу под окриљем стратегије и да при том прате основне правце</w:t>
      </w:r>
      <w:r>
        <w:rPr>
          <w:spacing w:val="1"/>
        </w:rPr>
        <w:t> </w:t>
      </w:r>
      <w:r>
        <w:rPr/>
        <w:t>наведене у регионалним плановима развоја и матрицама приоритета. С друге стране, свака земља на</w:t>
      </w:r>
      <w:r>
        <w:rPr>
          <w:spacing w:val="1"/>
        </w:rPr>
        <w:t> </w:t>
      </w:r>
      <w:r>
        <w:rPr/>
        <w:t>националном нивоу слободна је да дефинише своју поштанску политику.</w:t>
      </w:r>
    </w:p>
    <w:p>
      <w:pPr>
        <w:pStyle w:val="BodyText"/>
        <w:spacing w:line="230" w:lineRule="auto"/>
        <w:ind w:right="226" w:firstLine="480"/>
      </w:pPr>
      <w:r>
        <w:rPr/>
        <w:t>Технолошка сарадња ће и у наредном циклусу бити важан фокус активности Савеза. Изградњу капацитета</w:t>
      </w:r>
      <w:r>
        <w:rPr>
          <w:spacing w:val="-61"/>
        </w:rPr>
        <w:t> </w:t>
      </w:r>
      <w:r>
        <w:rPr/>
        <w:t>и техничку помоћ треба гледати као стубове развоја сарадње који, у овом контексту, могу да се посматрају као</w:t>
      </w:r>
      <w:r>
        <w:rPr>
          <w:spacing w:val="1"/>
        </w:rPr>
        <w:t> </w:t>
      </w:r>
      <w:r>
        <w:rPr/>
        <w:t>средство путем кога земље чланице могу да остваре своје стратешке циљеве. Акције СПС, прилагођене</w:t>
      </w:r>
      <w:r>
        <w:rPr>
          <w:spacing w:val="1"/>
        </w:rPr>
        <w:t> </w:t>
      </w:r>
      <w:r>
        <w:rPr/>
        <w:t>регионалној динамици, треба да воде ка бољем вођењу поштанског сектора и јачању УПУ у корист грађана,</w:t>
      </w:r>
      <w:r>
        <w:rPr>
          <w:spacing w:val="1"/>
        </w:rPr>
        <w:t> </w:t>
      </w:r>
      <w:r>
        <w:rPr/>
        <w:t>компанија и влада држава чланица СПС широм света. Такође, корисници и њихове потребе морају у потпуности</w:t>
      </w:r>
      <w:r>
        <w:rPr>
          <w:spacing w:val="-61"/>
        </w:rPr>
        <w:t> </w:t>
      </w:r>
      <w:r>
        <w:rPr/>
        <w:t>да буду узете у обзир приликом дефинисања стратешких акција и смерница СПС за период 2013–2016. године.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1"/>
          <w:numId w:val="12"/>
        </w:numPr>
        <w:tabs>
          <w:tab w:pos="3689" w:val="left" w:leader="none"/>
        </w:tabs>
        <w:spacing w:line="240" w:lineRule="auto" w:before="0" w:after="0"/>
        <w:ind w:left="3688" w:right="0" w:hanging="424"/>
        <w:jc w:val="left"/>
        <w:rPr>
          <w:i/>
          <w:sz w:val="18"/>
        </w:rPr>
      </w:pPr>
      <w:r>
        <w:rPr>
          <w:i/>
          <w:sz w:val="18"/>
        </w:rPr>
        <w:t>Правци развоја поштанског саобраћаја у Европи</w:t>
      </w:r>
    </w:p>
    <w:p>
      <w:pPr>
        <w:pStyle w:val="BodyText"/>
        <w:spacing w:line="230" w:lineRule="auto" w:before="119"/>
        <w:ind w:right="264" w:firstLine="480"/>
      </w:pPr>
      <w:r>
        <w:rPr/>
        <w:t>У последњих 15 година, сектор поштанских услуга у ЕУ прошао је кроз значајне промене. Процес реформе</w:t>
      </w:r>
      <w:r>
        <w:rPr>
          <w:spacing w:val="-61"/>
        </w:rPr>
        <w:t> </w:t>
      </w:r>
      <w:r>
        <w:rPr/>
        <w:t>поштанског сектора отпочет је као интегрални део успостављања заједничког тржишта.</w:t>
      </w:r>
    </w:p>
    <w:p>
      <w:pPr>
        <w:pStyle w:val="BodyText"/>
        <w:spacing w:line="230" w:lineRule="auto"/>
        <w:ind w:right="324" w:firstLine="480"/>
      </w:pPr>
      <w:r>
        <w:rPr/>
        <w:t>Кључни циљ поштанске реформе јесте изузетно квалитетан, ефикасан, иновативан и одржив поштански</w:t>
      </w:r>
      <w:r>
        <w:rPr>
          <w:spacing w:val="1"/>
        </w:rPr>
        <w:t> </w:t>
      </w:r>
      <w:r>
        <w:rPr/>
        <w:t>сектор, прилагођен испуњавању потреба корисника у 21. веку. Отварање тржишта није означено као циљ, већ</w:t>
      </w:r>
      <w:r>
        <w:rPr>
          <w:spacing w:val="-61"/>
        </w:rPr>
        <w:t> </w:t>
      </w:r>
      <w:r>
        <w:rPr/>
        <w:t>као средство кроз које се постижу циљеви реформе.</w:t>
      </w:r>
    </w:p>
    <w:p>
      <w:pPr>
        <w:pStyle w:val="BodyText"/>
        <w:spacing w:line="230" w:lineRule="auto"/>
        <w:ind w:right="810" w:firstLine="480"/>
      </w:pPr>
      <w:r>
        <w:rPr/>
        <w:t>Потписивањем Споразума о стабилизацији и придруживању (ССП) Република Србија се обавезала на</w:t>
      </w:r>
      <w:r>
        <w:rPr>
          <w:spacing w:val="-61"/>
        </w:rPr>
        <w:t> </w:t>
      </w:r>
      <w:r>
        <w:rPr/>
        <w:t>постепено усклађивање законодавства са правним тековинама ЕУ, као и на његову доследну примену.</w:t>
      </w:r>
    </w:p>
    <w:p>
      <w:pPr>
        <w:pStyle w:val="BodyText"/>
        <w:spacing w:line="230" w:lineRule="auto"/>
        <w:ind w:right="304" w:firstLine="480"/>
      </w:pPr>
      <w:r>
        <w:rPr/>
        <w:t>Поштанске услуге имају кључну улогу у економском и друштвеном развоју свих држава Европе из разлога</w:t>
      </w:r>
      <w:r>
        <w:rPr>
          <w:spacing w:val="-61"/>
        </w:rPr>
        <w:t> </w:t>
      </w:r>
      <w:r>
        <w:rPr/>
        <w:t>што су од приоритетног значаја због вишеструких користи које пружају привредним субјектима и грађанима.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749" w:firstLine="480"/>
      </w:pPr>
      <w:r>
        <w:rPr/>
        <w:t>Унапређење квалитета поштанских услуга, као један од циљева законодавне реформе, подразумева</w:t>
      </w:r>
      <w:r>
        <w:rPr>
          <w:spacing w:val="1"/>
        </w:rPr>
        <w:t> </w:t>
      </w:r>
      <w:r>
        <w:rPr/>
        <w:t>спремност да се одговори захтевима и очекивањима корисника и створе услови за развој конкуренције, уз</w:t>
      </w:r>
      <w:r>
        <w:rPr>
          <w:spacing w:val="-61"/>
        </w:rPr>
        <w:t> </w:t>
      </w:r>
      <w:r>
        <w:rPr/>
        <w:t>неопходност доношења и примене антимонополских закона у свим државама.</w:t>
      </w:r>
    </w:p>
    <w:p>
      <w:pPr>
        <w:pStyle w:val="BodyText"/>
        <w:spacing w:line="230" w:lineRule="auto"/>
        <w:ind w:right="229" w:firstLine="480"/>
      </w:pPr>
      <w:r>
        <w:rPr/>
        <w:t>ЕК је регулисала развој поштанског тржишта у земљама ЕУ и дефинисала динамику процеса</w:t>
      </w:r>
      <w:r>
        <w:rPr>
          <w:spacing w:val="1"/>
        </w:rPr>
        <w:t> </w:t>
      </w:r>
      <w:r>
        <w:rPr/>
        <w:t>либерализације</w:t>
      </w:r>
      <w:r>
        <w:rPr>
          <w:spacing w:val="-2"/>
        </w:rPr>
        <w:t> </w:t>
      </w:r>
      <w:r>
        <w:rPr/>
        <w:t>поштанским</w:t>
      </w:r>
      <w:r>
        <w:rPr>
          <w:spacing w:val="-1"/>
        </w:rPr>
        <w:t> </w:t>
      </w:r>
      <w:r>
        <w:rPr/>
        <w:t>директивама</w:t>
      </w:r>
      <w:r>
        <w:rPr>
          <w:spacing w:val="-2"/>
        </w:rPr>
        <w:t> </w:t>
      </w:r>
      <w:r>
        <w:rPr>
          <w:i/>
        </w:rPr>
        <w:t>97/67/ЕС</w:t>
      </w:r>
      <w:r>
        <w:rPr/>
        <w:t>,</w:t>
      </w:r>
      <w:r>
        <w:rPr>
          <w:spacing w:val="-2"/>
        </w:rPr>
        <w:t> </w:t>
      </w:r>
      <w:r>
        <w:rPr>
          <w:i/>
        </w:rPr>
        <w:t>2002/39/ЕС</w:t>
      </w:r>
      <w:r>
        <w:rPr>
          <w:i/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>
          <w:i/>
        </w:rPr>
        <w:t>2008/06/ЕС</w:t>
      </w:r>
      <w:r>
        <w:rPr>
          <w:i/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приказане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Табели</w:t>
      </w:r>
      <w:r>
        <w:rPr>
          <w:spacing w:val="-1"/>
        </w:rPr>
        <w:t> </w:t>
      </w:r>
      <w:r>
        <w:rPr/>
        <w:t>3.1.</w:t>
      </w:r>
    </w:p>
    <w:p>
      <w:pPr>
        <w:pStyle w:val="BodyText"/>
        <w:spacing w:line="230" w:lineRule="auto"/>
        <w:ind w:right="673" w:firstLine="480"/>
        <w:jc w:val="both"/>
      </w:pPr>
      <w:r>
        <w:rPr/>
        <w:t>Преглед директива нам показује да су главни циљеви поштанских директива осигурање и побољшање</w:t>
      </w:r>
      <w:r>
        <w:rPr>
          <w:spacing w:val="-61"/>
        </w:rPr>
        <w:t> </w:t>
      </w:r>
      <w:r>
        <w:rPr/>
        <w:t>конкурентности поштанских услуга, са сврхом осигурања ефикасних, поузданих и квалитетних поштанских</w:t>
      </w:r>
      <w:r>
        <w:rPr>
          <w:spacing w:val="-61"/>
        </w:rPr>
        <w:t> </w:t>
      </w:r>
      <w:r>
        <w:rPr/>
        <w:t>услуга свим становницима земаља ЕУ по приступачним ценама, путем одговарајућег регулаторног оквира.</w:t>
      </w:r>
    </w:p>
    <w:p>
      <w:pPr>
        <w:pStyle w:val="BodyText"/>
        <w:spacing w:before="143"/>
        <w:ind w:left="599"/>
      </w:pPr>
      <w:r>
        <w:rPr/>
        <w:t>Табела 3.1 Преглед поштанских директива</w:t>
      </w:r>
    </w:p>
    <w:p>
      <w:pPr>
        <w:pStyle w:val="BodyText"/>
        <w:spacing w:before="6"/>
        <w:ind w:left="0"/>
        <w:rPr>
          <w:sz w:val="12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0"/>
        <w:gridCol w:w="1290"/>
        <w:gridCol w:w="8280"/>
      </w:tblGrid>
      <w:tr>
        <w:trPr>
          <w:trHeight w:val="599" w:hRule="atLeast"/>
        </w:trPr>
        <w:tc>
          <w:tcPr>
            <w:tcW w:w="1260" w:type="dxa"/>
          </w:tcPr>
          <w:p>
            <w:pPr>
              <w:pStyle w:val="TableParagraph"/>
              <w:spacing w:line="240" w:lineRule="auto" w:before="109"/>
              <w:ind w:left="147"/>
              <w:rPr>
                <w:sz w:val="18"/>
              </w:rPr>
            </w:pPr>
            <w:r>
              <w:rPr>
                <w:sz w:val="18"/>
              </w:rPr>
              <w:t>Директива</w:t>
            </w:r>
          </w:p>
        </w:tc>
        <w:tc>
          <w:tcPr>
            <w:tcW w:w="1290" w:type="dxa"/>
          </w:tcPr>
          <w:p>
            <w:pPr>
              <w:pStyle w:val="TableParagraph"/>
              <w:spacing w:line="230" w:lineRule="auto" w:before="11"/>
              <w:ind w:left="229" w:right="165" w:firstLine="148"/>
              <w:rPr>
                <w:sz w:val="18"/>
              </w:rPr>
            </w:pPr>
            <w:r>
              <w:rPr>
                <w:sz w:val="18"/>
              </w:rPr>
              <w:t>Датум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усвајања</w:t>
            </w: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109"/>
              <w:ind w:left="3212" w:right="3168"/>
              <w:jc w:val="center"/>
              <w:rPr>
                <w:sz w:val="18"/>
              </w:rPr>
            </w:pPr>
            <w:r>
              <w:rPr>
                <w:sz w:val="18"/>
              </w:rPr>
              <w:t>Основне препоруке</w:t>
            </w:r>
          </w:p>
        </w:tc>
      </w:tr>
      <w:tr>
        <w:trPr>
          <w:trHeight w:val="599" w:hRule="atLeast"/>
        </w:trPr>
        <w:tc>
          <w:tcPr>
            <w:tcW w:w="1260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 w:before="9"/>
              <w:ind w:left="0"/>
              <w:rPr>
                <w:sz w:val="30"/>
              </w:rPr>
            </w:pPr>
          </w:p>
          <w:p>
            <w:pPr>
              <w:pStyle w:val="TableParagraph"/>
              <w:spacing w:line="240" w:lineRule="auto" w:before="1"/>
              <w:rPr>
                <w:sz w:val="18"/>
              </w:rPr>
            </w:pPr>
            <w:r>
              <w:rPr>
                <w:sz w:val="18"/>
              </w:rPr>
              <w:t>Директива</w:t>
            </w:r>
          </w:p>
          <w:p>
            <w:pPr>
              <w:pStyle w:val="TableParagraph"/>
              <w:spacing w:line="240" w:lineRule="auto" w:before="141"/>
              <w:rPr>
                <w:i/>
                <w:sz w:val="18"/>
              </w:rPr>
            </w:pPr>
            <w:r>
              <w:rPr>
                <w:i/>
                <w:sz w:val="18"/>
              </w:rPr>
              <w:t>97/67/EC</w:t>
            </w:r>
          </w:p>
        </w:tc>
        <w:tc>
          <w:tcPr>
            <w:tcW w:w="1290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 w:before="11"/>
              <w:ind w:left="0"/>
              <w:rPr>
                <w:sz w:val="28"/>
              </w:rPr>
            </w:pPr>
          </w:p>
          <w:p>
            <w:pPr>
              <w:pStyle w:val="TableParagraph"/>
              <w:spacing w:line="230" w:lineRule="auto"/>
              <w:ind w:right="282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1997.</w:t>
            </w:r>
          </w:p>
          <w:p>
            <w:pPr>
              <w:pStyle w:val="TableParagraph"/>
              <w:spacing w:line="212" w:lineRule="exact"/>
              <w:rPr>
                <w:sz w:val="18"/>
              </w:rPr>
            </w:pPr>
            <w:r>
              <w:rPr>
                <w:sz w:val="18"/>
              </w:rPr>
              <w:t>године</w:t>
            </w:r>
          </w:p>
        </w:tc>
        <w:tc>
          <w:tcPr>
            <w:tcW w:w="8280" w:type="dxa"/>
          </w:tcPr>
          <w:p>
            <w:pPr>
              <w:pStyle w:val="TableParagraph"/>
              <w:spacing w:line="230" w:lineRule="auto" w:before="11"/>
              <w:ind w:right="89"/>
              <w:rPr>
                <w:sz w:val="18"/>
              </w:rPr>
            </w:pPr>
            <w:r>
              <w:rPr>
                <w:sz w:val="18"/>
              </w:rPr>
              <w:t>Утврђивање заједничких правила регулације поштанског тржишта ЕУ у циљу развоја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 побољшања квалитета, која се односе на: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1) либерализацију тржишта за пошиљке масе изнад 350 гр;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2) пружање УПУ;</w:t>
            </w:r>
          </w:p>
        </w:tc>
      </w:tr>
      <w:tr>
        <w:trPr>
          <w:trHeight w:val="59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30" w:lineRule="auto" w:before="11"/>
              <w:ind w:right="377"/>
              <w:rPr>
                <w:sz w:val="18"/>
              </w:rPr>
            </w:pPr>
            <w:r>
              <w:rPr>
                <w:sz w:val="18"/>
              </w:rPr>
              <w:t>3) критеријума који одређују услуге које могу бити резервисане за даваоце УПУ 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услове којима се регулише пружање нерезервисаних услуга;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4) тарифна начела и транспарентности обрачуна пружања УПУ;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5) утврђивање стандарда квалитета за даваоце УПУ;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6) утврђивање техничких стандарда;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7) стварање независних НРТ.</w:t>
            </w:r>
          </w:p>
        </w:tc>
      </w:tr>
      <w:tr>
        <w:trPr>
          <w:trHeight w:val="599" w:hRule="atLeast"/>
        </w:trPr>
        <w:tc>
          <w:tcPr>
            <w:tcW w:w="1260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14" w:lineRule="exact" w:before="182"/>
              <w:rPr>
                <w:sz w:val="18"/>
              </w:rPr>
            </w:pPr>
            <w:r>
              <w:rPr>
                <w:sz w:val="18"/>
              </w:rPr>
              <w:t>Директива</w:t>
            </w:r>
          </w:p>
          <w:p>
            <w:pPr>
              <w:pStyle w:val="TableParagraph"/>
              <w:spacing w:line="214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2002/39/EC</w:t>
            </w:r>
          </w:p>
        </w:tc>
        <w:tc>
          <w:tcPr>
            <w:tcW w:w="1290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14" w:lineRule="exact" w:before="182"/>
              <w:rPr>
                <w:sz w:val="18"/>
              </w:rPr>
            </w:pPr>
            <w:r>
              <w:rPr>
                <w:sz w:val="18"/>
              </w:rPr>
              <w:t>Јун 2002.</w:t>
            </w:r>
          </w:p>
          <w:p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године</w:t>
            </w:r>
          </w:p>
        </w:tc>
        <w:tc>
          <w:tcPr>
            <w:tcW w:w="8280" w:type="dxa"/>
          </w:tcPr>
          <w:p>
            <w:pPr>
              <w:pStyle w:val="TableParagraph"/>
              <w:spacing w:line="230" w:lineRule="auto" w:before="11"/>
              <w:ind w:right="49"/>
              <w:rPr>
                <w:sz w:val="18"/>
              </w:rPr>
            </w:pPr>
            <w:r>
              <w:rPr>
                <w:sz w:val="18"/>
              </w:rPr>
              <w:t>Промена и допуна Директиве </w:t>
            </w:r>
            <w:r>
              <w:rPr>
                <w:i/>
                <w:sz w:val="18"/>
              </w:rPr>
              <w:t>97/67/EC </w:t>
            </w:r>
            <w:r>
              <w:rPr>
                <w:sz w:val="18"/>
              </w:rPr>
              <w:t>у погледу даљег подстицања конкуренције на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тржишту поштанских услуга дефинишући:</w:t>
            </w:r>
          </w:p>
        </w:tc>
      </w:tr>
      <w:tr>
        <w:trPr>
          <w:trHeight w:val="59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30" w:lineRule="auto" w:before="11"/>
              <w:ind w:right="74"/>
              <w:rPr>
                <w:sz w:val="18"/>
              </w:rPr>
            </w:pPr>
            <w:r>
              <w:rPr>
                <w:sz w:val="18"/>
              </w:rPr>
              <w:t>1) резервисано подручје: до 2003. године либерализација пошиљака масе изнад 100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гр, а до 2006. године либерализација пошиљака масе изнад 50 гр;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2) минимални ниво РПУ;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3) задатке регулатора;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4) стандарде квалитета;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5) начело лиценцирања;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6) препоруке у вези компензационог фонда;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7) принципе одређивања цена и вођење одвојеног рачуноводства.</w:t>
            </w:r>
          </w:p>
        </w:tc>
      </w:tr>
      <w:tr>
        <w:trPr>
          <w:trHeight w:val="599" w:hRule="atLeast"/>
        </w:trPr>
        <w:tc>
          <w:tcPr>
            <w:tcW w:w="1260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 w:before="7"/>
              <w:ind w:left="0"/>
              <w:rPr>
                <w:sz w:val="25"/>
              </w:rPr>
            </w:pPr>
          </w:p>
          <w:p>
            <w:pPr>
              <w:pStyle w:val="TableParagraph"/>
              <w:spacing w:line="214" w:lineRule="exact" w:before="1"/>
              <w:rPr>
                <w:sz w:val="18"/>
              </w:rPr>
            </w:pPr>
            <w:r>
              <w:rPr>
                <w:sz w:val="18"/>
              </w:rPr>
              <w:t>Директива</w:t>
            </w:r>
          </w:p>
          <w:p>
            <w:pPr>
              <w:pStyle w:val="TableParagraph"/>
              <w:spacing w:line="214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2008/06/EC</w:t>
            </w:r>
          </w:p>
        </w:tc>
        <w:tc>
          <w:tcPr>
            <w:tcW w:w="1290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 w:before="7"/>
              <w:ind w:left="0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right="398"/>
              <w:rPr>
                <w:sz w:val="18"/>
              </w:rPr>
            </w:pPr>
            <w:r>
              <w:rPr>
                <w:sz w:val="18"/>
              </w:rPr>
              <w:t>Фебруар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2008.</w:t>
            </w:r>
          </w:p>
          <w:p>
            <w:pPr>
              <w:pStyle w:val="TableParagraph"/>
              <w:spacing w:line="212" w:lineRule="exact"/>
              <w:rPr>
                <w:sz w:val="18"/>
              </w:rPr>
            </w:pPr>
            <w:r>
              <w:rPr>
                <w:sz w:val="18"/>
              </w:rPr>
              <w:t>године</w:t>
            </w:r>
          </w:p>
        </w:tc>
        <w:tc>
          <w:tcPr>
            <w:tcW w:w="8280" w:type="dxa"/>
          </w:tcPr>
          <w:p>
            <w:pPr>
              <w:pStyle w:val="TableParagraph"/>
              <w:spacing w:line="230" w:lineRule="auto" w:before="11"/>
              <w:ind w:right="200"/>
              <w:rPr>
                <w:sz w:val="18"/>
              </w:rPr>
            </w:pPr>
            <w:r>
              <w:rPr>
                <w:sz w:val="18"/>
              </w:rPr>
              <w:t>Промена и допуна Директиве 97/67/EC у циљу потпуног успостављања унутрашњег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тржишта за поштанске услуге дефинишући:</w:t>
            </w:r>
          </w:p>
        </w:tc>
      </w:tr>
      <w:tr>
        <w:trPr>
          <w:trHeight w:val="59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30" w:lineRule="auto" w:before="11"/>
              <w:ind w:right="184"/>
              <w:rPr>
                <w:sz w:val="18"/>
              </w:rPr>
            </w:pPr>
            <w:r>
              <w:rPr>
                <w:sz w:val="18"/>
              </w:rPr>
              <w:t>1) рок за либерализацију (1. јануар 2011. године односно 1. јануар 2013. године за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11 чланица ЕУ);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2) основе за одређивање цене УПУ;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3) могућа средства финансирања УПУ;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4) приступ поштанској мрежи;</w:t>
            </w:r>
          </w:p>
        </w:tc>
      </w:tr>
      <w:tr>
        <w:trPr>
          <w:trHeight w:val="389" w:hRule="atLeast"/>
        </w:trPr>
        <w:tc>
          <w:tcPr>
            <w:tcW w:w="1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80" w:type="dxa"/>
          </w:tcPr>
          <w:p>
            <w:pPr>
              <w:pStyle w:val="TableParagraph"/>
              <w:spacing w:line="240" w:lineRule="auto" w:before="4"/>
              <w:rPr>
                <w:sz w:val="18"/>
              </w:rPr>
            </w:pPr>
            <w:r>
              <w:rPr>
                <w:sz w:val="18"/>
              </w:rPr>
              <w:t>5) начине подстицања развоја нових услуга.</w:t>
            </w:r>
          </w:p>
        </w:tc>
      </w:tr>
    </w:tbl>
    <w:p>
      <w:pPr>
        <w:pStyle w:val="BodyText"/>
        <w:spacing w:line="230" w:lineRule="auto" w:before="0"/>
        <w:ind w:right="98" w:firstLine="480"/>
      </w:pPr>
      <w:r>
        <w:rPr/>
        <w:t>Све државе чланице ЕУ су до краја 2012. године отвориле своја тржишта. Потпуна либерализација би могла</w:t>
      </w:r>
      <w:r>
        <w:rPr>
          <w:spacing w:val="-61"/>
        </w:rPr>
        <w:t> </w:t>
      </w:r>
      <w:r>
        <w:rPr/>
        <w:t>донети губитак одређених граничних делова тржишта због појаве нових учесника, као и споро, али перманентно</w:t>
      </w:r>
      <w:r>
        <w:rPr>
          <w:spacing w:val="-61"/>
        </w:rPr>
        <w:t> </w:t>
      </w:r>
      <w:r>
        <w:rPr/>
        <w:t>смањење кореспонденције. У том случају би највећи број ПО могао да надокнади губитке прихода повећањем</w:t>
      </w:r>
      <w:r>
        <w:rPr>
          <w:spacing w:val="1"/>
        </w:rPr>
        <w:t> </w:t>
      </w:r>
      <w:r>
        <w:rPr/>
        <w:t>продуктивности и развојем услуга са додатном вредношћу, што би резултирало одржавањем профитабилности на</w:t>
      </w:r>
      <w:r>
        <w:rPr>
          <w:spacing w:val="-61"/>
        </w:rPr>
        <w:t> </w:t>
      </w:r>
      <w:r>
        <w:rPr/>
        <w:t>данашњем нивоу.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458" w:firstLine="480"/>
      </w:pPr>
      <w:r>
        <w:rPr/>
        <w:t>Предвиђа се да ће успешно пословати ПО који буду усмерени на кућну доставу малих пакета; услуге са</w:t>
      </w:r>
      <w:r>
        <w:rPr>
          <w:spacing w:val="1"/>
        </w:rPr>
        <w:t> </w:t>
      </w:r>
      <w:r>
        <w:rPr/>
        <w:t>додатом вредношћу, као што су директни маркетинг, електронске услуге и управљање ланцима набавке и</w:t>
      </w:r>
      <w:r>
        <w:rPr>
          <w:spacing w:val="1"/>
        </w:rPr>
        <w:t> </w:t>
      </w:r>
      <w:r>
        <w:rPr/>
        <w:t>логистиком; интернационално деловање (као што је случај са операторима </w:t>
      </w:r>
      <w:r>
        <w:rPr>
          <w:i/>
        </w:rPr>
        <w:t>Deutche Post, Norden Post, TNT, La</w:t>
      </w:r>
      <w:r>
        <w:rPr>
          <w:i/>
          <w:spacing w:val="-61"/>
        </w:rPr>
        <w:t> </w:t>
      </w:r>
      <w:r>
        <w:rPr>
          <w:i/>
        </w:rPr>
        <w:t>Poste, BPost, Swiss Post</w:t>
      </w:r>
      <w:r>
        <w:rPr>
          <w:i/>
          <w:spacing w:val="-1"/>
        </w:rPr>
        <w:t> </w:t>
      </w:r>
      <w:r>
        <w:rPr/>
        <w:t>итд.) и у извесној мери обављање одређене финансијске услуге.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1839" w:val="left" w:leader="none"/>
        </w:tabs>
        <w:spacing w:line="240" w:lineRule="auto" w:before="1" w:after="0"/>
        <w:ind w:left="1838" w:right="0" w:hanging="255"/>
        <w:jc w:val="left"/>
      </w:pPr>
      <w:r>
        <w:rPr/>
        <w:t>Стратегија развоја поштанских услуга у Србији за период 2013–2016. године</w:t>
      </w:r>
    </w:p>
    <w:p>
      <w:pPr>
        <w:pStyle w:val="BodyText"/>
        <w:spacing w:before="5"/>
        <w:ind w:left="0"/>
        <w:rPr>
          <w:b/>
          <w:sz w:val="26"/>
        </w:rPr>
      </w:pPr>
    </w:p>
    <w:p>
      <w:pPr>
        <w:pStyle w:val="ListParagraph"/>
        <w:numPr>
          <w:ilvl w:val="1"/>
          <w:numId w:val="1"/>
        </w:numPr>
        <w:tabs>
          <w:tab w:pos="4354" w:val="left" w:leader="none"/>
        </w:tabs>
        <w:spacing w:line="240" w:lineRule="auto" w:before="0" w:after="0"/>
        <w:ind w:left="4353" w:right="0" w:hanging="424"/>
        <w:jc w:val="left"/>
        <w:rPr>
          <w:i/>
          <w:sz w:val="18"/>
        </w:rPr>
      </w:pPr>
      <w:r>
        <w:rPr>
          <w:i/>
          <w:sz w:val="18"/>
        </w:rPr>
        <w:t>Оквири за дефинисање Стратегије</w:t>
      </w:r>
    </w:p>
    <w:p>
      <w:pPr>
        <w:pStyle w:val="BodyText"/>
        <w:spacing w:before="5"/>
        <w:ind w:left="0"/>
        <w:rPr>
          <w:i/>
          <w:sz w:val="26"/>
        </w:rPr>
      </w:pPr>
    </w:p>
    <w:p>
      <w:pPr>
        <w:pStyle w:val="BodyText"/>
        <w:spacing w:before="0"/>
        <w:ind w:left="1240" w:right="755"/>
        <w:jc w:val="center"/>
      </w:pPr>
      <w:r>
        <w:rPr/>
        <w:t>Мисија и стратешки циљеви</w:t>
      </w:r>
    </w:p>
    <w:p>
      <w:pPr>
        <w:pStyle w:val="BodyText"/>
        <w:spacing w:line="540" w:lineRule="atLeast" w:before="0"/>
        <w:ind w:left="3245" w:right="2785"/>
        <w:jc w:val="center"/>
      </w:pP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1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1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М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,</w:t>
      </w:r>
      <w:r>
        <w:rPr>
          <w:spacing w:val="53"/>
        </w:rPr>
        <w:t> </w:t>
      </w:r>
      <w:r>
        <w:rPr/>
        <w:t>в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и</w:t>
      </w:r>
      <w:r>
        <w:rPr>
          <w:spacing w:val="54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и</w:t>
      </w:r>
      <w:r>
        <w:rPr>
          <w:spacing w:val="53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љ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и</w:t>
      </w:r>
      <w:r>
        <w:rPr>
          <w:spacing w:val="-60"/>
        </w:rPr>
        <w:t> </w:t>
      </w:r>
      <w:r>
        <w:rPr/>
        <w:t>Мисија</w:t>
      </w:r>
    </w:p>
    <w:p>
      <w:pPr>
        <w:pStyle w:val="BodyText"/>
        <w:spacing w:line="230" w:lineRule="auto" w:before="119"/>
        <w:ind w:right="1281" w:firstLine="480"/>
      </w:pPr>
      <w:r>
        <w:rPr/>
        <w:t>Република Србија ће стимулисати подизање ефикасности приступа свим поштанским услугама и</w:t>
      </w:r>
      <w:r>
        <w:rPr>
          <w:spacing w:val="-61"/>
        </w:rPr>
        <w:t> </w:t>
      </w:r>
      <w:r>
        <w:rPr/>
        <w:t>омогућавати комуникацију са свим грађанима уз:</w:t>
      </w:r>
    </w:p>
    <w:p>
      <w:pPr>
        <w:pStyle w:val="ListParagraph"/>
        <w:numPr>
          <w:ilvl w:val="1"/>
          <w:numId w:val="11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Гаранцију слободног протока пошиљака на јединственој територији;</w:t>
      </w:r>
    </w:p>
    <w:p>
      <w:pPr>
        <w:pStyle w:val="ListParagraph"/>
        <w:numPr>
          <w:ilvl w:val="1"/>
          <w:numId w:val="11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Приступачне цене универзалне услуге;</w:t>
      </w:r>
    </w:p>
    <w:p>
      <w:pPr>
        <w:pStyle w:val="ListParagraph"/>
        <w:numPr>
          <w:ilvl w:val="1"/>
          <w:numId w:val="11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Међуповезаност између стејкхолдера;</w:t>
      </w:r>
    </w:p>
    <w:p>
      <w:pPr>
        <w:pStyle w:val="ListParagraph"/>
        <w:numPr>
          <w:ilvl w:val="1"/>
          <w:numId w:val="11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Подизање нивоа задовољства корисника сходно њиховим променљивим потребама.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BodyText"/>
        <w:spacing w:before="0"/>
        <w:ind w:left="1240" w:right="755"/>
        <w:jc w:val="center"/>
      </w:pPr>
      <w:r>
        <w:rPr/>
        <w:t>Визија</w:t>
      </w:r>
    </w:p>
    <w:p>
      <w:pPr>
        <w:pStyle w:val="BodyText"/>
        <w:spacing w:line="230" w:lineRule="auto" w:before="119"/>
        <w:ind w:right="475" w:firstLine="480"/>
      </w:pPr>
      <w:r>
        <w:rPr/>
        <w:t>Поштански сектор остаје један од основних и незаменљивих делова (чинилаца) националне економије и</w:t>
      </w:r>
      <w:r>
        <w:rPr>
          <w:spacing w:val="-61"/>
        </w:rPr>
        <w:t> </w:t>
      </w:r>
      <w:r>
        <w:rPr/>
        <w:t>даљег привредног и друштвеног развоја Републике Србије.</w:t>
      </w:r>
    </w:p>
    <w:p>
      <w:pPr>
        <w:pStyle w:val="BodyText"/>
        <w:spacing w:line="540" w:lineRule="atLeast" w:before="1"/>
        <w:ind w:left="4851" w:right="4364"/>
        <w:jc w:val="center"/>
      </w:pPr>
      <w:r>
        <w:rPr/>
        <w:t>PESTLE анализа</w:t>
      </w:r>
      <w:r>
        <w:rPr>
          <w:spacing w:val="1"/>
        </w:rPr>
        <w:t> </w:t>
      </w:r>
      <w:r>
        <w:rPr/>
        <w:t>Политички</w:t>
      </w:r>
      <w:r>
        <w:rPr>
          <w:spacing w:val="-13"/>
        </w:rPr>
        <w:t> </w:t>
      </w:r>
      <w:r>
        <w:rPr/>
        <w:t>фактори</w:t>
      </w:r>
    </w:p>
    <w:p>
      <w:pPr>
        <w:pStyle w:val="BodyText"/>
        <w:spacing w:line="230" w:lineRule="auto" w:before="119"/>
        <w:ind w:right="387" w:firstLine="480"/>
      </w:pPr>
      <w:r>
        <w:rPr/>
        <w:t>Статус кандидата Републике Србије за чланство у ЕУ у знатној мери позитивно утиче на пословање</w:t>
      </w:r>
      <w:r>
        <w:rPr>
          <w:spacing w:val="1"/>
        </w:rPr>
        <w:t> </w:t>
      </w:r>
      <w:r>
        <w:rPr/>
        <w:t>целокупног поштанског сектора имајући у виду да стабилна политички амбијент доприноси убрзаном</w:t>
      </w:r>
      <w:r>
        <w:rPr>
          <w:spacing w:val="1"/>
        </w:rPr>
        <w:t> </w:t>
      </w:r>
      <w:r>
        <w:rPr/>
        <w:t>спровођењу реформи. С друге стране, статус кандидата отвара могућности за коришћење претприступних</w:t>
      </w:r>
      <w:r>
        <w:rPr>
          <w:spacing w:val="1"/>
        </w:rPr>
        <w:t> </w:t>
      </w:r>
      <w:r>
        <w:rPr/>
        <w:t>фондова ЕУ и на тај начин пружа се могућност за даља инвестирања у овај сектор, што ће као директну</w:t>
      </w:r>
      <w:r>
        <w:rPr>
          <w:spacing w:val="1"/>
        </w:rPr>
        <w:t> </w:t>
      </w:r>
      <w:r>
        <w:rPr/>
        <w:t>последицу имати подстицање привредног раста и повећање броја запослених. Све ово као ефекат може имати</w:t>
      </w:r>
      <w:r>
        <w:rPr>
          <w:spacing w:val="-61"/>
        </w:rPr>
        <w:t> </w:t>
      </w:r>
      <w:r>
        <w:rPr/>
        <w:t>креирање нових модела пословања у поштанском сектору.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BodyText"/>
        <w:spacing w:before="1"/>
        <w:ind w:left="1240" w:right="756"/>
        <w:jc w:val="center"/>
      </w:pPr>
      <w:r>
        <w:rPr/>
        <w:t>Економски фактори</w:t>
      </w:r>
    </w:p>
    <w:p>
      <w:pPr>
        <w:pStyle w:val="BodyText"/>
        <w:spacing w:line="230" w:lineRule="auto" w:before="118"/>
        <w:ind w:right="424" w:firstLine="480"/>
      </w:pPr>
      <w:r>
        <w:rPr/>
        <w:t>Негативни ефекти глобалне економске кризе одразили су се на сегмент писмоносних и експресних</w:t>
      </w:r>
      <w:r>
        <w:rPr>
          <w:spacing w:val="1"/>
        </w:rPr>
        <w:t> </w:t>
      </w:r>
      <w:r>
        <w:rPr/>
        <w:t>пошиљака, док с друге стране пакетске пошиљке показују известан раст. У 2008. години, у целом свету, обим</w:t>
      </w:r>
      <w:r>
        <w:rPr>
          <w:spacing w:val="-61"/>
        </w:rPr>
        <w:t> </w:t>
      </w:r>
      <w:r>
        <w:rPr/>
        <w:t>писмоносних пошиљки у УПС је опао за чак 5,9%.</w:t>
      </w:r>
    </w:p>
    <w:p>
      <w:pPr>
        <w:pStyle w:val="BodyText"/>
        <w:spacing w:line="249" w:lineRule="auto" w:before="143"/>
        <w:ind w:right="837" w:firstLine="480"/>
        <w:jc w:val="both"/>
      </w:pPr>
      <w:r>
        <w:rPr/>
        <w:t>Негативан тренд наставио се и у 2009. години када се, у односу на претходну годину, бележи пад од</w:t>
      </w:r>
      <w:r>
        <w:rPr>
          <w:spacing w:val="-61"/>
        </w:rPr>
        <w:t> </w:t>
      </w:r>
      <w:r>
        <w:rPr/>
        <w:t>11,7%, односно 12%.</w:t>
      </w:r>
      <w:r>
        <w:rPr>
          <w:position w:val="7"/>
          <w:sz w:val="15"/>
        </w:rPr>
        <w:t>12 </w:t>
      </w:r>
      <w:r>
        <w:rPr/>
        <w:t>Слични трендови су настављени и наредних година. Све ово допринело је и паду</w:t>
      </w:r>
      <w:r>
        <w:rPr>
          <w:spacing w:val="1"/>
        </w:rPr>
        <w:t> </w:t>
      </w:r>
      <w:r>
        <w:rPr/>
        <w:t>прихода у овом сегменту пословања.</w:t>
      </w:r>
    </w:p>
    <w:p>
      <w:pPr>
        <w:pStyle w:val="BodyText"/>
        <w:spacing w:line="230" w:lineRule="auto" w:before="140"/>
        <w:ind w:right="548" w:firstLine="480"/>
      </w:pPr>
      <w:r>
        <w:rPr/>
        <w:t>Негативни ефекти су изражени у паду прихода у сегменту публикација, директне поште, адресованих и</w:t>
      </w:r>
      <w:r>
        <w:rPr>
          <w:spacing w:val="-61"/>
        </w:rPr>
        <w:t> </w:t>
      </w:r>
      <w:r>
        <w:rPr/>
        <w:t>неадресованих пошиљака.</w:t>
      </w:r>
    </w:p>
    <w:p>
      <w:pPr>
        <w:pStyle w:val="BodyText"/>
        <w:spacing w:line="230" w:lineRule="auto"/>
        <w:ind w:right="673" w:firstLine="480"/>
      </w:pPr>
      <w:r>
        <w:rPr/>
        <w:t>У поштанском сектору у Републици Србији у периоду кризе у извесној мери задржан је постојећи ниво</w:t>
      </w:r>
      <w:r>
        <w:rPr>
          <w:spacing w:val="-61"/>
        </w:rPr>
        <w:t> </w:t>
      </w:r>
      <w:r>
        <w:rPr/>
        <w:t>услуга (такође забележен пад у 2009. години) али је он и даље испод европског просека (42 пошиљке по</w:t>
      </w:r>
      <w:r>
        <w:rPr>
          <w:spacing w:val="1"/>
        </w:rPr>
        <w:t> </w:t>
      </w:r>
      <w:r>
        <w:rPr/>
        <w:t>становнику годишње у односу на 121). Стабилизација економске ситуације директно ће се одразити и на</w:t>
      </w:r>
      <w:r>
        <w:rPr>
          <w:spacing w:val="1"/>
        </w:rPr>
        <w:t> </w:t>
      </w:r>
      <w:r>
        <w:rPr/>
        <w:t>поштанску делатност.</w:t>
      </w:r>
    </w:p>
    <w:p>
      <w:pPr>
        <w:pStyle w:val="BodyText"/>
        <w:spacing w:line="230" w:lineRule="auto"/>
        <w:ind w:right="179" w:firstLine="480"/>
      </w:pPr>
      <w:r>
        <w:rPr/>
        <w:t>Пред поштанским сектором, у условима кризе, поред дефинисања нових модела пословања, развоја услуга</w:t>
      </w:r>
      <w:r>
        <w:rPr>
          <w:spacing w:val="-61"/>
        </w:rPr>
        <w:t> </w:t>
      </w:r>
      <w:r>
        <w:rPr/>
        <w:t>и др. стоји и потреба изналажења начина да се трошкови пословања смање на најмању могућу меру У</w:t>
      </w:r>
      <w:r>
        <w:rPr>
          <w:spacing w:val="1"/>
        </w:rPr>
        <w:t> </w:t>
      </w:r>
      <w:r>
        <w:rPr/>
        <w:t>међувремену потребно је сагледати могућности коришћења финансијских средстава из претприступних фондова</w:t>
      </w:r>
      <w:r>
        <w:rPr>
          <w:spacing w:val="-61"/>
        </w:rPr>
        <w:t> </w:t>
      </w:r>
      <w:r>
        <w:rPr/>
        <w:t>ЕУ.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BodyText"/>
        <w:spacing w:before="0"/>
        <w:ind w:left="1240" w:right="756"/>
        <w:jc w:val="center"/>
      </w:pPr>
      <w:r>
        <w:rPr/>
        <w:t>Социјални фактори</w:t>
      </w:r>
    </w:p>
    <w:p>
      <w:pPr>
        <w:spacing w:after="0"/>
        <w:jc w:val="center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144" w:firstLine="480"/>
      </w:pPr>
      <w:r>
        <w:rPr/>
        <w:t>Промена социјалних фактора, као и одговарајућа демографска кретања (миграције, старење, урбанизација,</w:t>
      </w:r>
      <w:r>
        <w:rPr>
          <w:spacing w:val="-61"/>
        </w:rPr>
        <w:t> </w:t>
      </w:r>
      <w:r>
        <w:rPr/>
        <w:t>образовна структура и др.) имају директан и у одређеним условима релативно снажан утицај на обим и</w:t>
      </w:r>
      <w:r>
        <w:rPr>
          <w:spacing w:val="1"/>
        </w:rPr>
        <w:t> </w:t>
      </w:r>
      <w:r>
        <w:rPr/>
        <w:t>структуру поштанских услуга.</w:t>
      </w:r>
    </w:p>
    <w:p>
      <w:pPr>
        <w:pStyle w:val="BodyText"/>
        <w:spacing w:line="230" w:lineRule="auto"/>
        <w:ind w:right="173" w:firstLine="480"/>
      </w:pPr>
      <w:r>
        <w:rPr/>
        <w:t>Последњих година у Републици Србији присутан је тренд смањења броја становника уз повећање просечне</w:t>
      </w:r>
      <w:r>
        <w:rPr>
          <w:spacing w:val="-61"/>
        </w:rPr>
        <w:t> </w:t>
      </w:r>
      <w:r>
        <w:rPr/>
        <w:t>старости. Такође, бележи се и миграција из руралних у градске средине.</w:t>
      </w:r>
    </w:p>
    <w:p>
      <w:pPr>
        <w:pStyle w:val="BodyText"/>
        <w:spacing w:before="143"/>
        <w:ind w:left="599"/>
      </w:pPr>
      <w:r>
        <w:rPr/>
        <w:t>Осим тога присутно је и побољшање образовне структуре становништва.</w:t>
      </w:r>
    </w:p>
    <w:p>
      <w:pPr>
        <w:pStyle w:val="BodyText"/>
        <w:spacing w:line="230" w:lineRule="auto" w:before="148"/>
        <w:ind w:right="763" w:firstLine="480"/>
        <w:jc w:val="both"/>
      </w:pPr>
      <w:r>
        <w:rPr/>
        <w:t>Оваква демографска кретања за последицу имају концентрацију поштанских услуга, повећање обима</w:t>
      </w:r>
      <w:r>
        <w:rPr>
          <w:spacing w:val="-61"/>
        </w:rPr>
        <w:t> </w:t>
      </w:r>
      <w:r>
        <w:rPr/>
        <w:t>експрес и пакетских услуга у урбаним срединама, повећање тражње за савременим услугама и сл. С друге</w:t>
      </w:r>
      <w:r>
        <w:rPr>
          <w:spacing w:val="-61"/>
        </w:rPr>
        <w:t> </w:t>
      </w:r>
      <w:r>
        <w:rPr/>
        <w:t>стране, у оваквој ситуацији долази до повећања трошкова пружања УПУ у руралним срединама.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BodyText"/>
        <w:spacing w:before="0"/>
        <w:ind w:left="1240" w:right="756"/>
        <w:jc w:val="center"/>
      </w:pPr>
      <w:r>
        <w:rPr/>
        <w:t>Технолошки фактори</w:t>
      </w:r>
    </w:p>
    <w:p>
      <w:pPr>
        <w:pStyle w:val="BodyText"/>
        <w:spacing w:line="230" w:lineRule="auto" w:before="118"/>
        <w:ind w:right="137" w:firstLine="480"/>
      </w:pPr>
      <w:r>
        <w:rPr/>
        <w:t>Развојем нових информационих и комуникационих технологија супституција поштанских услуга, заправо,</w:t>
      </w:r>
      <w:r>
        <w:rPr>
          <w:spacing w:val="1"/>
        </w:rPr>
        <w:t> </w:t>
      </w:r>
      <w:r>
        <w:rPr/>
        <w:t>постаје све лакша, а самим тим и све већа. Финансијска криза и све већа потреба за еколошки одговорним</w:t>
      </w:r>
      <w:r>
        <w:rPr>
          <w:spacing w:val="1"/>
        </w:rPr>
        <w:t> </w:t>
      </w:r>
      <w:r>
        <w:rPr/>
        <w:t>понашањем свих поштанских компанија у свету, само је још више повећала употребу електронске комуникације,</w:t>
      </w:r>
      <w:r>
        <w:rPr>
          <w:spacing w:val="-61"/>
        </w:rPr>
        <w:t> </w:t>
      </w:r>
      <w:r>
        <w:rPr/>
        <w:t>што је за последицу имало додатно смањење тражње за поштанским услугама.</w:t>
      </w:r>
    </w:p>
    <w:p>
      <w:pPr>
        <w:pStyle w:val="BodyText"/>
        <w:spacing w:line="230" w:lineRule="auto"/>
        <w:ind w:right="296" w:firstLine="480"/>
        <w:jc w:val="both"/>
      </w:pPr>
      <w:r>
        <w:rPr/>
        <w:t>Технолошке иновације, економска криза и одрживо понашање терају поштанске операторе да усвоје нове</w:t>
      </w:r>
      <w:r>
        <w:rPr>
          <w:spacing w:val="-61"/>
        </w:rPr>
        <w:t> </w:t>
      </w:r>
      <w:r>
        <w:rPr/>
        <w:t>технологије и пронађу нове начине да задовоље потребе својих корисника. Због тога, већина оператора, поред</w:t>
      </w:r>
      <w:r>
        <w:rPr>
          <w:spacing w:val="-61"/>
        </w:rPr>
        <w:t> </w:t>
      </w:r>
      <w:r>
        <w:rPr/>
        <w:t>традиционалних тј. класичних, пружа и хибридну поштанску услугу.</w:t>
      </w:r>
    </w:p>
    <w:p>
      <w:pPr>
        <w:pStyle w:val="BodyText"/>
        <w:spacing w:line="230" w:lineRule="auto"/>
        <w:ind w:right="456" w:firstLine="480"/>
      </w:pPr>
      <w:r>
        <w:rPr/>
        <w:t>Поред тога, већина је проширила своје пословање и на обављање других услуга као што су електронско</w:t>
      </w:r>
      <w:r>
        <w:rPr>
          <w:spacing w:val="-61"/>
        </w:rPr>
        <w:t> </w:t>
      </w:r>
      <w:r>
        <w:rPr/>
        <w:t>плаћање, електронско руковање документима, електронско фактурисање или нпр. издавање дигиталних</w:t>
      </w:r>
      <w:r>
        <w:rPr>
          <w:spacing w:val="1"/>
        </w:rPr>
        <w:t> </w:t>
      </w:r>
      <w:r>
        <w:rPr/>
        <w:t>сертификата.</w:t>
      </w:r>
    </w:p>
    <w:p>
      <w:pPr>
        <w:pStyle w:val="BodyText"/>
        <w:spacing w:line="230" w:lineRule="auto"/>
        <w:ind w:right="140" w:firstLine="480"/>
      </w:pPr>
      <w:r>
        <w:rPr/>
        <w:t>Имајући у виду развој информационог друштва у Републици Србији, као и тренутну развијеност савремених</w:t>
      </w:r>
      <w:r>
        <w:rPr>
          <w:spacing w:val="-61"/>
        </w:rPr>
        <w:t> </w:t>
      </w:r>
      <w:r>
        <w:rPr/>
        <w:t>електронских услуга у поштанском сектору (пре свега у ЈПО) може се очекивати даље ширење асортимана и</w:t>
      </w:r>
      <w:r>
        <w:rPr>
          <w:spacing w:val="1"/>
        </w:rPr>
        <w:t> </w:t>
      </w:r>
      <w:r>
        <w:rPr/>
        <w:t>квалитета услуга, као и боља искоришћеност капацитета и мреже.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BodyText"/>
        <w:spacing w:before="0"/>
        <w:ind w:left="1240" w:right="756"/>
        <w:jc w:val="center"/>
      </w:pPr>
      <w:r>
        <w:rPr/>
        <w:t>Правни фактори</w:t>
      </w:r>
    </w:p>
    <w:p>
      <w:pPr>
        <w:pStyle w:val="BodyText"/>
        <w:spacing w:line="230" w:lineRule="auto" w:before="118"/>
        <w:ind w:right="179" w:firstLine="480"/>
      </w:pPr>
      <w:r>
        <w:rPr/>
        <w:t>Поштанском регулативом у Републици Србији, обухваћени су сви неопходни сегменти значајни за</w:t>
      </w:r>
      <w:r>
        <w:rPr>
          <w:spacing w:val="1"/>
        </w:rPr>
        <w:t> </w:t>
      </w:r>
      <w:r>
        <w:rPr/>
        <w:t>обављање УПУ и других поштанских услуга. Осим тога правни оквир у Републици Србији у највећој мери је</w:t>
      </w:r>
      <w:r>
        <w:rPr>
          <w:spacing w:val="1"/>
        </w:rPr>
        <w:t> </w:t>
      </w:r>
      <w:r>
        <w:rPr/>
        <w:t>усклађен са другом поштанском директивом ЕУ. Следећи посебно значајан корак биће доношење новог Закона о</w:t>
      </w:r>
      <w:r>
        <w:rPr>
          <w:spacing w:val="-61"/>
        </w:rPr>
        <w:t> </w:t>
      </w:r>
      <w:r>
        <w:rPr/>
        <w:t>поштанским услугама до краја 2014. године.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BodyText"/>
        <w:spacing w:before="0"/>
        <w:ind w:left="1240" w:right="755"/>
        <w:jc w:val="center"/>
      </w:pPr>
      <w:r>
        <w:rPr/>
        <w:t>Еколошки фактори</w:t>
      </w:r>
    </w:p>
    <w:p>
      <w:pPr>
        <w:pStyle w:val="BodyText"/>
        <w:spacing w:line="230" w:lineRule="auto" w:before="119"/>
        <w:ind w:right="140" w:firstLine="480"/>
      </w:pPr>
      <w:r>
        <w:rPr/>
        <w:t>СПС одрживост у поштанском сектору дефинише као „посвећеност одрживом развоју у интересу планете</w:t>
      </w:r>
      <w:r>
        <w:rPr>
          <w:spacing w:val="1"/>
        </w:rPr>
        <w:t> </w:t>
      </w:r>
      <w:r>
        <w:rPr/>
        <w:t>Земље, територијалне распрострањености поштанских услуга, корисника, менаџмента ПО и њиховог особља” и у</w:t>
      </w:r>
      <w:r>
        <w:rPr>
          <w:spacing w:val="-61"/>
        </w:rPr>
        <w:t> </w:t>
      </w:r>
      <w:r>
        <w:rPr/>
        <w:t>последњих пет година значајно интензивира своје активности у овој области.</w:t>
      </w:r>
    </w:p>
    <w:p>
      <w:pPr>
        <w:pStyle w:val="BodyText"/>
        <w:spacing w:line="230" w:lineRule="auto"/>
        <w:ind w:right="300" w:firstLine="480"/>
      </w:pPr>
      <w:r>
        <w:rPr/>
        <w:t>Имајући у виду да се одрживом развоју поштанског сектора да сада није поклањала довољна пажња у</w:t>
      </w:r>
      <w:r>
        <w:rPr>
          <w:spacing w:val="1"/>
        </w:rPr>
        <w:t> </w:t>
      </w:r>
      <w:r>
        <w:rPr/>
        <w:t>Републици Србији у наредном периоду би требало радити на подизању свести о одрживом развоју и друштвено</w:t>
      </w:r>
      <w:r>
        <w:rPr>
          <w:spacing w:val="-61"/>
        </w:rPr>
        <w:t> </w:t>
      </w:r>
      <w:r>
        <w:rPr/>
        <w:t>одговорном пословању.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BodyText"/>
        <w:spacing w:before="0"/>
        <w:ind w:left="1240" w:right="756"/>
        <w:jc w:val="center"/>
      </w:pPr>
      <w:r>
        <w:rPr/>
        <w:t>SWOT</w:t>
      </w:r>
      <w:r>
        <w:rPr>
          <w:spacing w:val="-3"/>
        </w:rPr>
        <w:t> </w:t>
      </w:r>
      <w:r>
        <w:rPr/>
        <w:t>анализа</w:t>
      </w:r>
    </w:p>
    <w:p>
      <w:pPr>
        <w:pStyle w:val="BodyText"/>
        <w:spacing w:line="230" w:lineRule="auto" w:before="119"/>
        <w:ind w:right="210" w:firstLine="480"/>
      </w:pPr>
      <w:r>
        <w:rPr/>
        <w:t>На основу анализе стања тржишта поштанских услуга у Републици Србији, показатеља развијености</w:t>
      </w:r>
      <w:r>
        <w:rPr>
          <w:spacing w:val="1"/>
        </w:rPr>
        <w:t> </w:t>
      </w:r>
      <w:r>
        <w:rPr/>
        <w:t>поштанског тржишта, одговарајуће законске регулативе, као и тенденција развоја поштанског саобраћаја у</w:t>
      </w:r>
      <w:r>
        <w:rPr>
          <w:spacing w:val="1"/>
        </w:rPr>
        <w:t> </w:t>
      </w:r>
      <w:r>
        <w:rPr/>
        <w:t>свету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Европи</w:t>
      </w:r>
      <w:r>
        <w:rPr>
          <w:spacing w:val="-1"/>
        </w:rPr>
        <w:t> </w:t>
      </w:r>
      <w:r>
        <w:rPr/>
        <w:t>дефинисане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снаге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слабости,</w:t>
      </w:r>
      <w:r>
        <w:rPr>
          <w:spacing w:val="-1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могућности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претње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даљи</w:t>
      </w:r>
      <w:r>
        <w:rPr>
          <w:spacing w:val="-1"/>
        </w:rPr>
        <w:t> </w:t>
      </w:r>
      <w:r>
        <w:rPr/>
        <w:t>развој</w:t>
      </w:r>
      <w:r>
        <w:rPr>
          <w:spacing w:val="-1"/>
        </w:rPr>
        <w:t> </w:t>
      </w:r>
      <w:r>
        <w:rPr/>
        <w:t>поштанског</w:t>
      </w:r>
      <w:r>
        <w:rPr>
          <w:spacing w:val="-1"/>
        </w:rPr>
        <w:t> </w:t>
      </w:r>
      <w:r>
        <w:rPr/>
        <w:t>сектора.</w:t>
      </w:r>
    </w:p>
    <w:p>
      <w:pPr>
        <w:pStyle w:val="BodyText"/>
        <w:spacing w:before="0" w:after="1"/>
        <w:ind w:left="0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00"/>
        <w:gridCol w:w="7530"/>
      </w:tblGrid>
      <w:tr>
        <w:trPr>
          <w:trHeight w:val="2519" w:hRule="atLeast"/>
        </w:trPr>
        <w:tc>
          <w:tcPr>
            <w:tcW w:w="3300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Снаге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312" w:val="left" w:leader="none"/>
              </w:tabs>
              <w:spacing w:line="230" w:lineRule="auto" w:before="148" w:after="0"/>
              <w:ind w:left="52" w:right="638" w:firstLine="0"/>
              <w:jc w:val="left"/>
              <w:rPr>
                <w:sz w:val="18"/>
              </w:rPr>
            </w:pPr>
            <w:r>
              <w:rPr>
                <w:sz w:val="18"/>
              </w:rPr>
              <w:t>Развијена мрежа, која је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највећим делом на нивоу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европског просека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312" w:val="left" w:leader="none"/>
              </w:tabs>
              <w:spacing w:line="230" w:lineRule="auto" w:before="150" w:after="0"/>
              <w:ind w:left="52" w:right="423" w:firstLine="0"/>
              <w:jc w:val="left"/>
              <w:rPr>
                <w:sz w:val="18"/>
              </w:rPr>
            </w:pPr>
            <w:r>
              <w:rPr>
                <w:sz w:val="18"/>
              </w:rPr>
              <w:t>Регулаторни оквир скоро у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потпуности у складу са ЕУ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312" w:val="left" w:leader="none"/>
              </w:tabs>
              <w:spacing w:line="230" w:lineRule="auto" w:before="150" w:after="0"/>
              <w:ind w:left="52" w:right="68" w:firstLine="0"/>
              <w:jc w:val="left"/>
              <w:rPr>
                <w:sz w:val="18"/>
              </w:rPr>
            </w:pPr>
            <w:r>
              <w:rPr>
                <w:sz w:val="18"/>
              </w:rPr>
              <w:t>Регулисана ситуација 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тржишту кроз активности РАПУС-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а</w:t>
            </w:r>
          </w:p>
        </w:tc>
        <w:tc>
          <w:tcPr>
            <w:tcW w:w="753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Слабости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312" w:val="left" w:leader="none"/>
              </w:tabs>
              <w:spacing w:line="240" w:lineRule="auto" w:before="141" w:after="0"/>
              <w:ind w:left="311" w:right="0" w:hanging="260"/>
              <w:jc w:val="left"/>
              <w:rPr>
                <w:sz w:val="18"/>
              </w:rPr>
            </w:pPr>
            <w:r>
              <w:rPr>
                <w:sz w:val="18"/>
              </w:rPr>
              <w:t>Спорост у доношењу одлука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312" w:val="left" w:leader="none"/>
              </w:tabs>
              <w:spacing w:line="230" w:lineRule="auto" w:before="149" w:after="0"/>
              <w:ind w:left="52" w:right="447" w:firstLine="0"/>
              <w:jc w:val="left"/>
              <w:rPr>
                <w:sz w:val="18"/>
              </w:rPr>
            </w:pPr>
            <w:r>
              <w:rPr>
                <w:sz w:val="18"/>
              </w:rPr>
              <w:t>Тешкоћа у привлачењу директних страних инвестиција (пад кредитног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рејтинга земље)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312" w:val="left" w:leader="none"/>
              </w:tabs>
              <w:spacing w:line="230" w:lineRule="auto" w:before="150" w:after="0"/>
              <w:ind w:left="52" w:right="203" w:firstLine="0"/>
              <w:jc w:val="left"/>
              <w:rPr>
                <w:sz w:val="18"/>
              </w:rPr>
            </w:pPr>
            <w:r>
              <w:rPr>
                <w:sz w:val="18"/>
              </w:rPr>
              <w:t>Селективна примена директива ЕУ везаних за смањење лимита по маси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цени РПУ (пошто Република Србија има статус кандидата и директиве нису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обавезујуће)</w:t>
            </w:r>
          </w:p>
        </w:tc>
      </w:tr>
      <w:tr>
        <w:trPr>
          <w:trHeight w:val="960" w:hRule="atLeast"/>
        </w:trPr>
        <w:tc>
          <w:tcPr>
            <w:tcW w:w="3300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Шансе</w:t>
            </w:r>
          </w:p>
          <w:p>
            <w:pPr>
              <w:pStyle w:val="TableParagraph"/>
              <w:spacing w:line="230" w:lineRule="auto" w:before="148"/>
              <w:ind w:right="248"/>
              <w:rPr>
                <w:sz w:val="18"/>
              </w:rPr>
            </w:pPr>
            <w:r>
              <w:rPr>
                <w:sz w:val="18"/>
              </w:rPr>
              <w:t>1) Добијање статуса кандидата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за чланство у ЕУ</w:t>
            </w:r>
          </w:p>
        </w:tc>
        <w:tc>
          <w:tcPr>
            <w:tcW w:w="7530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Претње</w:t>
            </w:r>
          </w:p>
          <w:p>
            <w:pPr>
              <w:pStyle w:val="TableParagraph"/>
              <w:spacing w:line="240" w:lineRule="auto" w:before="141"/>
              <w:rPr>
                <w:sz w:val="18"/>
              </w:rPr>
            </w:pPr>
            <w:r>
              <w:rPr>
                <w:sz w:val="18"/>
              </w:rPr>
              <w:t>1) Макроекономска нестабилност</w:t>
            </w:r>
          </w:p>
        </w:tc>
      </w:tr>
    </w:tbl>
    <w:p>
      <w:pPr>
        <w:spacing w:after="0" w:line="240" w:lineRule="auto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1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00"/>
        <w:gridCol w:w="7530"/>
      </w:tblGrid>
      <w:tr>
        <w:trPr>
          <w:trHeight w:val="1725" w:hRule="atLeast"/>
        </w:trPr>
        <w:tc>
          <w:tcPr>
            <w:tcW w:w="3300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312" w:val="left" w:leader="none"/>
              </w:tabs>
              <w:spacing w:line="230" w:lineRule="auto" w:before="0" w:after="0"/>
              <w:ind w:left="52" w:right="901" w:firstLine="0"/>
              <w:jc w:val="left"/>
              <w:rPr>
                <w:sz w:val="18"/>
              </w:rPr>
            </w:pPr>
            <w:r>
              <w:rPr>
                <w:sz w:val="18"/>
              </w:rPr>
              <w:t>Стварање ефикасније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пословног окружења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312" w:val="left" w:leader="none"/>
              </w:tabs>
              <w:spacing w:line="230" w:lineRule="auto" w:before="141" w:after="0"/>
              <w:ind w:left="52" w:right="880" w:firstLine="0"/>
              <w:jc w:val="left"/>
              <w:rPr>
                <w:sz w:val="18"/>
              </w:rPr>
            </w:pPr>
            <w:r>
              <w:rPr>
                <w:sz w:val="18"/>
              </w:rPr>
              <w:t>Раст тражње за новим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услугама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312" w:val="left" w:leader="none"/>
              </w:tabs>
              <w:spacing w:line="230" w:lineRule="auto" w:before="150" w:after="0"/>
              <w:ind w:left="52" w:right="451" w:firstLine="0"/>
              <w:jc w:val="left"/>
              <w:rPr>
                <w:sz w:val="18"/>
              </w:rPr>
            </w:pPr>
            <w:r>
              <w:rPr>
                <w:sz w:val="18"/>
              </w:rPr>
              <w:t>Потреба укључивања свих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нивоа становништва</w:t>
            </w:r>
          </w:p>
        </w:tc>
        <w:tc>
          <w:tcPr>
            <w:tcW w:w="7530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312" w:val="left" w:leader="none"/>
              </w:tabs>
              <w:spacing w:line="230" w:lineRule="auto" w:before="0" w:after="0"/>
              <w:ind w:left="52" w:right="386" w:firstLine="0"/>
              <w:jc w:val="left"/>
              <w:rPr>
                <w:sz w:val="18"/>
              </w:rPr>
            </w:pPr>
            <w:r>
              <w:rPr>
                <w:sz w:val="18"/>
              </w:rPr>
              <w:t>Стање националне економије (пад БДП-а, инфлација, пад индустријске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производње)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312" w:val="left" w:leader="none"/>
              </w:tabs>
              <w:spacing w:line="240" w:lineRule="auto" w:before="134" w:after="0"/>
              <w:ind w:left="311" w:right="0" w:hanging="260"/>
              <w:jc w:val="left"/>
              <w:rPr>
                <w:sz w:val="18"/>
              </w:rPr>
            </w:pPr>
            <w:r>
              <w:rPr>
                <w:sz w:val="18"/>
              </w:rPr>
              <w:t>Супституција електронским услугама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312" w:val="left" w:leader="none"/>
              </w:tabs>
              <w:spacing w:line="240" w:lineRule="auto" w:before="141" w:after="0"/>
              <w:ind w:left="311" w:right="0" w:hanging="260"/>
              <w:jc w:val="left"/>
              <w:rPr>
                <w:sz w:val="18"/>
              </w:rPr>
            </w:pPr>
            <w:r>
              <w:rPr>
                <w:sz w:val="18"/>
              </w:rPr>
              <w:t>Смањење куповне моћи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312" w:val="left" w:leader="none"/>
              </w:tabs>
              <w:spacing w:line="240" w:lineRule="auto" w:before="141" w:after="0"/>
              <w:ind w:left="311" w:right="0" w:hanging="260"/>
              <w:jc w:val="left"/>
              <w:rPr>
                <w:sz w:val="18"/>
              </w:rPr>
            </w:pPr>
            <w:r>
              <w:rPr>
                <w:sz w:val="18"/>
              </w:rPr>
              <w:t>Смањење броја становништва</w:t>
            </w:r>
          </w:p>
        </w:tc>
      </w:tr>
    </w:tbl>
    <w:p>
      <w:pPr>
        <w:pStyle w:val="BodyText"/>
        <w:spacing w:before="7"/>
        <w:ind w:left="0"/>
        <w:rPr>
          <w:sz w:val="17"/>
        </w:rPr>
      </w:pPr>
    </w:p>
    <w:p>
      <w:pPr>
        <w:pStyle w:val="BodyText"/>
        <w:spacing w:before="100"/>
        <w:ind w:left="1240" w:right="755"/>
        <w:jc w:val="center"/>
      </w:pPr>
      <w:r>
        <w:rPr/>
        <w:t>Стратешки циљеви</w:t>
      </w:r>
    </w:p>
    <w:p>
      <w:pPr>
        <w:pStyle w:val="BodyText"/>
        <w:spacing w:line="230" w:lineRule="auto" w:before="119"/>
        <w:ind w:right="106" w:firstLine="480"/>
      </w:pPr>
      <w:r>
        <w:rPr/>
        <w:t>Имајући у виду спроведене анализе, опредељења Републике Србије, као и дефинисане предности за развој,</w:t>
      </w:r>
      <w:r>
        <w:rPr>
          <w:spacing w:val="-61"/>
        </w:rPr>
        <w:t> </w:t>
      </w:r>
      <w:r>
        <w:rPr/>
        <w:t>односно слабости и недостатке које могу да угрозе даљи развој поштанског сектора идентификовани су следећи</w:t>
      </w:r>
      <w:r>
        <w:rPr>
          <w:spacing w:val="1"/>
        </w:rPr>
        <w:t> </w:t>
      </w:r>
      <w:r>
        <w:rPr/>
        <w:t>стратешки циљеви: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30" w:lineRule="auto" w:before="150" w:after="0"/>
        <w:ind w:left="119" w:right="769" w:firstLine="480"/>
        <w:jc w:val="left"/>
        <w:rPr>
          <w:sz w:val="18"/>
        </w:rPr>
      </w:pPr>
      <w:r>
        <w:rPr>
          <w:sz w:val="18"/>
        </w:rPr>
        <w:t>Развој поштанског тржишта сходно потребама привреде и грађана Републике Србије, а у складу са</w:t>
      </w:r>
      <w:r>
        <w:rPr>
          <w:spacing w:val="-62"/>
          <w:sz w:val="18"/>
        </w:rPr>
        <w:t> </w:t>
      </w:r>
      <w:r>
        <w:rPr>
          <w:sz w:val="18"/>
        </w:rPr>
        <w:t>директивама ЕУ и препорукама СПС-а;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Развој УПУ у Републици Србији;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Развој и корпоратизација ЈПО;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30" w:lineRule="auto" w:before="148" w:after="0"/>
        <w:ind w:left="119" w:right="1427" w:firstLine="480"/>
        <w:jc w:val="left"/>
        <w:rPr>
          <w:sz w:val="18"/>
        </w:rPr>
      </w:pPr>
      <w:r>
        <w:rPr>
          <w:sz w:val="18"/>
        </w:rPr>
        <w:t>Иновација постојећих и развој савремених поштанских услуга (поштанских, финансијских и</w:t>
      </w:r>
      <w:r>
        <w:rPr>
          <w:spacing w:val="-61"/>
          <w:sz w:val="18"/>
        </w:rPr>
        <w:t> </w:t>
      </w:r>
      <w:r>
        <w:rPr>
          <w:sz w:val="18"/>
        </w:rPr>
        <w:t>електронских) и одрживости и ефикасности поштанске мреже и технологија;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30" w:lineRule="auto" w:before="150" w:after="0"/>
        <w:ind w:left="119" w:right="196" w:firstLine="480"/>
        <w:jc w:val="left"/>
        <w:rPr>
          <w:sz w:val="18"/>
        </w:rPr>
      </w:pPr>
      <w:r>
        <w:rPr>
          <w:sz w:val="18"/>
        </w:rPr>
        <w:t>Развој одговарајућих стандарда и регулативе, у области квалитета поштанских услуга, сигурности и</w:t>
      </w:r>
      <w:r>
        <w:rPr>
          <w:spacing w:val="1"/>
          <w:sz w:val="18"/>
        </w:rPr>
        <w:t> </w:t>
      </w:r>
      <w:r>
        <w:rPr>
          <w:sz w:val="18"/>
        </w:rPr>
        <w:t>безбедности корисника и запослених у поштанском сектору, као и сигурности поштанских пошиљака, а у складу</w:t>
      </w:r>
      <w:r>
        <w:rPr>
          <w:spacing w:val="-61"/>
          <w:sz w:val="18"/>
        </w:rPr>
        <w:t> </w:t>
      </w:r>
      <w:r>
        <w:rPr>
          <w:sz w:val="18"/>
        </w:rPr>
        <w:t>са директивама ЕУ, препорукама СПС и других релевантних институција;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Омогућити интероперабилност са међународном мрежом;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30" w:lineRule="auto" w:before="148" w:after="0"/>
        <w:ind w:left="119" w:right="837" w:firstLine="480"/>
        <w:jc w:val="left"/>
        <w:rPr>
          <w:sz w:val="18"/>
        </w:rPr>
      </w:pPr>
      <w:r>
        <w:rPr>
          <w:sz w:val="18"/>
        </w:rPr>
        <w:t>Унапређење позиције Републике Србије у регионалним и међународним организацијама у области</w:t>
      </w:r>
      <w:r>
        <w:rPr>
          <w:spacing w:val="-62"/>
          <w:sz w:val="18"/>
        </w:rPr>
        <w:t> </w:t>
      </w:r>
      <w:r>
        <w:rPr>
          <w:sz w:val="18"/>
        </w:rPr>
        <w:t>поштанског саобраћаја;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Развој људских ресурса;</w:t>
      </w:r>
    </w:p>
    <w:p>
      <w:pPr>
        <w:pStyle w:val="ListParagraph"/>
        <w:numPr>
          <w:ilvl w:val="0"/>
          <w:numId w:val="17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Прихватање друштвене одговорности и заштита животне средине.</w:t>
      </w:r>
    </w:p>
    <w:p>
      <w:pPr>
        <w:pStyle w:val="BodyText"/>
        <w:spacing w:before="142"/>
        <w:ind w:left="599"/>
      </w:pPr>
      <w:r>
        <w:rPr/>
        <w:t>––––––––––––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30" w:lineRule="auto" w:before="93" w:after="0"/>
        <w:ind w:left="119" w:right="678" w:firstLine="0"/>
        <w:jc w:val="left"/>
        <w:rPr>
          <w:i/>
          <w:sz w:val="18"/>
        </w:rPr>
      </w:pPr>
      <w:r>
        <w:rPr>
          <w:i/>
          <w:sz w:val="18"/>
        </w:rPr>
        <w:t>Universal Postal Union, “The global economic and financial crisis: Further insights into its impact on the postal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sector” (Impacts of the Global Economic and Financial Crisis on the Postal Sector: 2009)</w:t>
      </w:r>
    </w:p>
    <w:p>
      <w:pPr>
        <w:pStyle w:val="BodyText"/>
        <w:spacing w:before="3"/>
        <w:ind w:left="0"/>
        <w:rPr>
          <w:i/>
          <w:sz w:val="23"/>
        </w:rPr>
      </w:pPr>
    </w:p>
    <w:p>
      <w:pPr>
        <w:pStyle w:val="BodyText"/>
        <w:spacing w:before="100"/>
        <w:ind w:left="3880"/>
      </w:pP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1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53"/>
        </w:rPr>
        <w:t> </w:t>
      </w:r>
      <w:r>
        <w:rPr/>
        <w:t>М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ћ</w:t>
      </w:r>
      <w:r>
        <w:rPr>
          <w:spacing w:val="-37"/>
        </w:rPr>
        <w:t> </w:t>
      </w:r>
      <w:r>
        <w:rPr/>
        <w:t>и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и</w:t>
      </w:r>
      <w:r>
        <w:rPr>
          <w:spacing w:val="53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</w:p>
    <w:p>
      <w:pPr>
        <w:pStyle w:val="BodyText"/>
        <w:spacing w:line="230" w:lineRule="auto" w:before="119"/>
        <w:ind w:right="221" w:firstLine="480"/>
      </w:pPr>
      <w:r>
        <w:rPr/>
        <w:t>Полазећи од циљева развоја идентификовани су могући сценарији развоја поштанских услуга у Републици</w:t>
      </w:r>
      <w:r>
        <w:rPr>
          <w:spacing w:val="-61"/>
        </w:rPr>
        <w:t> </w:t>
      </w:r>
      <w:r>
        <w:rPr/>
        <w:t>Србији у наредном периоду. При креирању могућих сценарија пошло се од два основна становишта. Прво је да</w:t>
      </w:r>
      <w:r>
        <w:rPr>
          <w:spacing w:val="1"/>
        </w:rPr>
        <w:t> </w:t>
      </w:r>
      <w:r>
        <w:rPr/>
        <w:t>се задржи постојеће стање поштанског тржишта у Републици Србији. Друго становиште је да се спроведе</w:t>
      </w:r>
      <w:r>
        <w:rPr>
          <w:spacing w:val="1"/>
        </w:rPr>
        <w:t> </w:t>
      </w:r>
      <w:r>
        <w:rPr/>
        <w:t>поступак либерализације поштанског тржишта, при чему је разматрана различита динамика либерализације. На</w:t>
      </w:r>
      <w:r>
        <w:rPr>
          <w:spacing w:val="-61"/>
        </w:rPr>
        <w:t> </w:t>
      </w:r>
      <w:r>
        <w:rPr/>
        <w:t>основу тога могући сценарији развоја су:</w:t>
      </w:r>
    </w:p>
    <w:p>
      <w:pPr>
        <w:pStyle w:val="ListParagraph"/>
        <w:numPr>
          <w:ilvl w:val="1"/>
          <w:numId w:val="11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b/>
          <w:sz w:val="18"/>
        </w:rPr>
        <w:t>Сценарио 1</w:t>
      </w:r>
      <w:r>
        <w:rPr>
          <w:b/>
          <w:spacing w:val="-1"/>
          <w:sz w:val="18"/>
        </w:rPr>
        <w:t> </w:t>
      </w:r>
      <w:r>
        <w:rPr>
          <w:sz w:val="18"/>
        </w:rPr>
        <w:t>– Задржавање постојећег стања</w:t>
      </w:r>
    </w:p>
    <w:p>
      <w:pPr>
        <w:pStyle w:val="BodyText"/>
        <w:spacing w:before="141"/>
        <w:ind w:left="599"/>
      </w:pPr>
      <w:r>
        <w:rPr/>
        <w:t>Поштанско тржиште у Републици Србији остаје непромењено.</w:t>
      </w:r>
    </w:p>
    <w:p>
      <w:pPr>
        <w:pStyle w:val="ListParagraph"/>
        <w:numPr>
          <w:ilvl w:val="1"/>
          <w:numId w:val="11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b/>
          <w:sz w:val="18"/>
        </w:rPr>
        <w:t>Сценарио 2</w:t>
      </w:r>
      <w:r>
        <w:rPr>
          <w:b/>
          <w:spacing w:val="-1"/>
          <w:sz w:val="18"/>
        </w:rPr>
        <w:t> </w:t>
      </w:r>
      <w:r>
        <w:rPr>
          <w:sz w:val="18"/>
        </w:rPr>
        <w:t>– Либерализација поштанског сектора</w:t>
      </w:r>
    </w:p>
    <w:p>
      <w:pPr>
        <w:pStyle w:val="BodyText"/>
        <w:spacing w:line="230" w:lineRule="auto" w:before="149"/>
        <w:ind w:right="181" w:firstLine="480"/>
      </w:pPr>
      <w:r>
        <w:rPr/>
        <w:t>Поштанско тржиште Републике Србије се либерализује у складу са директивама и препорукама ЕУ до 2016.</w:t>
      </w:r>
      <w:r>
        <w:rPr>
          <w:spacing w:val="-61"/>
        </w:rPr>
        <w:t> </w:t>
      </w:r>
      <w:r>
        <w:rPr/>
        <w:t>године при чему се води рачуна о степену припремљености тржишта, даљем развоју ЈПО, отварању поштанске</w:t>
      </w:r>
      <w:r>
        <w:rPr>
          <w:spacing w:val="1"/>
        </w:rPr>
        <w:t> </w:t>
      </w:r>
      <w:r>
        <w:rPr/>
        <w:t>мреже ЈПО, као и осигурању УПУ.</w:t>
      </w:r>
    </w:p>
    <w:p>
      <w:pPr>
        <w:pStyle w:val="ListParagraph"/>
        <w:numPr>
          <w:ilvl w:val="1"/>
          <w:numId w:val="11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b/>
          <w:sz w:val="18"/>
        </w:rPr>
        <w:t>Сценарио 3</w:t>
      </w:r>
      <w:r>
        <w:rPr>
          <w:b/>
          <w:spacing w:val="-1"/>
          <w:sz w:val="18"/>
        </w:rPr>
        <w:t> </w:t>
      </w:r>
      <w:r>
        <w:rPr>
          <w:sz w:val="18"/>
        </w:rPr>
        <w:t>– Убрзана либерализација поштанског сектора</w:t>
      </w:r>
    </w:p>
    <w:p>
      <w:pPr>
        <w:pStyle w:val="BodyText"/>
        <w:spacing w:line="230" w:lineRule="auto" w:before="149"/>
        <w:ind w:right="545" w:firstLine="480"/>
      </w:pPr>
      <w:r>
        <w:rPr/>
        <w:t>Потпуна либерализација поштанског тржишта до 2014. године потпуно пратећи директиве ЕУ и потпуно</w:t>
      </w:r>
      <w:r>
        <w:rPr>
          <w:spacing w:val="-61"/>
        </w:rPr>
        <w:t> </w:t>
      </w:r>
      <w:r>
        <w:rPr/>
        <w:t>отварање тржишта.</w:t>
      </w:r>
    </w:p>
    <w:p>
      <w:pPr>
        <w:pStyle w:val="ListParagraph"/>
        <w:numPr>
          <w:ilvl w:val="1"/>
          <w:numId w:val="11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b/>
          <w:sz w:val="18"/>
        </w:rPr>
        <w:t>Сценарио 4</w:t>
      </w:r>
      <w:r>
        <w:rPr>
          <w:b/>
          <w:spacing w:val="-1"/>
          <w:sz w:val="18"/>
        </w:rPr>
        <w:t> </w:t>
      </w:r>
      <w:r>
        <w:rPr>
          <w:sz w:val="18"/>
        </w:rPr>
        <w:t>– Успорена либерализација поштанског сектора</w:t>
      </w:r>
    </w:p>
    <w:p>
      <w:pPr>
        <w:pStyle w:val="BodyText"/>
        <w:spacing w:line="230" w:lineRule="auto" w:before="149"/>
        <w:ind w:right="908" w:firstLine="480"/>
      </w:pPr>
      <w:r>
        <w:rPr/>
        <w:t>Либерализација поштанског тржишта до 2020. године пратећи директиве и препоруке ЕУ смањеним</w:t>
      </w:r>
      <w:r>
        <w:rPr>
          <w:spacing w:val="-61"/>
        </w:rPr>
        <w:t> </w:t>
      </w:r>
      <w:r>
        <w:rPr/>
        <w:t>интензитетом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користећи</w:t>
      </w:r>
      <w:r>
        <w:rPr>
          <w:spacing w:val="-1"/>
        </w:rPr>
        <w:t> </w:t>
      </w:r>
      <w:r>
        <w:rPr/>
        <w:t>период</w:t>
      </w:r>
      <w:r>
        <w:rPr>
          <w:spacing w:val="-2"/>
        </w:rPr>
        <w:t> </w:t>
      </w:r>
      <w:r>
        <w:rPr/>
        <w:t>прилагођавања</w:t>
      </w:r>
      <w:r>
        <w:rPr>
          <w:spacing w:val="-1"/>
        </w:rPr>
        <w:t> </w:t>
      </w:r>
      <w:r>
        <w:rPr/>
        <w:t>који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даје</w:t>
      </w:r>
      <w:r>
        <w:rPr>
          <w:spacing w:val="-1"/>
        </w:rPr>
        <w:t> </w:t>
      </w:r>
      <w:r>
        <w:rPr/>
        <w:t>новим</w:t>
      </w:r>
      <w:r>
        <w:rPr>
          <w:spacing w:val="-1"/>
        </w:rPr>
        <w:t> </w:t>
      </w:r>
      <w:r>
        <w:rPr/>
        <w:t>чланицама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земљама</w:t>
      </w:r>
      <w:r>
        <w:rPr>
          <w:spacing w:val="-1"/>
        </w:rPr>
        <w:t> </w:t>
      </w:r>
      <w:r>
        <w:rPr/>
        <w:t>кандидатима.</w:t>
      </w:r>
    </w:p>
    <w:p>
      <w:pPr>
        <w:pStyle w:val="BodyText"/>
        <w:spacing w:line="230" w:lineRule="auto"/>
        <w:ind w:right="362" w:firstLine="480"/>
      </w:pPr>
      <w:r>
        <w:rPr/>
        <w:t>Сваки</w:t>
      </w:r>
      <w:r>
        <w:rPr>
          <w:spacing w:val="-2"/>
        </w:rPr>
        <w:t> </w:t>
      </w:r>
      <w:r>
        <w:rPr/>
        <w:t>од</w:t>
      </w:r>
      <w:r>
        <w:rPr>
          <w:spacing w:val="-1"/>
        </w:rPr>
        <w:t> </w:t>
      </w:r>
      <w:r>
        <w:rPr/>
        <w:t>наведених</w:t>
      </w:r>
      <w:r>
        <w:rPr>
          <w:spacing w:val="-2"/>
        </w:rPr>
        <w:t> </w:t>
      </w:r>
      <w:r>
        <w:rPr/>
        <w:t>сценарија</w:t>
      </w:r>
      <w:r>
        <w:rPr>
          <w:spacing w:val="-1"/>
        </w:rPr>
        <w:t> </w:t>
      </w:r>
      <w:r>
        <w:rPr/>
        <w:t>има</w:t>
      </w:r>
      <w:r>
        <w:rPr>
          <w:spacing w:val="-1"/>
        </w:rPr>
        <w:t> </w:t>
      </w:r>
      <w:r>
        <w:rPr/>
        <w:t>одређене</w:t>
      </w:r>
      <w:r>
        <w:rPr>
          <w:spacing w:val="-2"/>
        </w:rPr>
        <w:t> </w:t>
      </w:r>
      <w:r>
        <w:rPr/>
        <w:t>предности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недостатке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погледу</w:t>
      </w:r>
      <w:r>
        <w:rPr>
          <w:spacing w:val="-1"/>
        </w:rPr>
        <w:t> </w:t>
      </w:r>
      <w:r>
        <w:rPr/>
        <w:t>даљег</w:t>
      </w:r>
      <w:r>
        <w:rPr>
          <w:spacing w:val="-2"/>
        </w:rPr>
        <w:t> </w:t>
      </w:r>
      <w:r>
        <w:rPr/>
        <w:t>развоја</w:t>
      </w:r>
      <w:r>
        <w:rPr>
          <w:spacing w:val="-1"/>
        </w:rPr>
        <w:t> </w:t>
      </w:r>
      <w:r>
        <w:rPr/>
        <w:t>поштанског</w:t>
      </w:r>
      <w:r>
        <w:rPr>
          <w:spacing w:val="-60"/>
        </w:rPr>
        <w:t> </w:t>
      </w:r>
      <w:r>
        <w:rPr/>
        <w:t>тржишта како са аспекта државе тако и са становишта ЈПО, ПО и корисника услуга. За оцену предности</w:t>
      </w:r>
      <w:r>
        <w:rPr>
          <w:spacing w:val="1"/>
        </w:rPr>
        <w:t> </w:t>
      </w:r>
      <w:r>
        <w:rPr/>
        <w:t>анализирани су могућности раста тржишта како по обиму и приходу тако и по цени и квалитету услуга.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308" w:firstLine="480"/>
      </w:pPr>
      <w:r>
        <w:rPr/>
        <w:t>У анализи недостатака разматрани су пре свега ризици који сваки од сценарија носи са собом у односу на</w:t>
      </w:r>
      <w:r>
        <w:rPr>
          <w:spacing w:val="-61"/>
        </w:rPr>
        <w:t> </w:t>
      </w:r>
      <w:r>
        <w:rPr/>
        <w:t>спремност ЈПО, осигурање УПУ, даљи раст тржишта, осигурање фер услова на тржишту.</w:t>
      </w:r>
    </w:p>
    <w:p>
      <w:pPr>
        <w:pStyle w:val="BodyText"/>
        <w:spacing w:line="230" w:lineRule="auto" w:before="185"/>
        <w:ind w:right="548" w:firstLine="480"/>
      </w:pPr>
      <w:r>
        <w:rPr/>
        <w:t>Применом Аналитичког хијерархијског процеса</w:t>
      </w:r>
      <w:r>
        <w:rPr>
          <w:position w:val="7"/>
          <w:sz w:val="15"/>
        </w:rPr>
        <w:t>13 </w:t>
      </w:r>
      <w:r>
        <w:rPr/>
        <w:t>извршено је рангирање алтернативних сценарија. Код</w:t>
      </w:r>
      <w:r>
        <w:rPr>
          <w:spacing w:val="-61"/>
        </w:rPr>
        <w:t> </w:t>
      </w:r>
      <w:r>
        <w:rPr/>
        <w:t>оцене предности сваког од сценарија добијен је следећи ранг алтернатива (Слика 4.1)</w:t>
      </w:r>
    </w:p>
    <w:p>
      <w:pPr>
        <w:pStyle w:val="ListParagraph"/>
        <w:numPr>
          <w:ilvl w:val="0"/>
          <w:numId w:val="18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Сценарио 2 релативни ранг алтернативе 0,377</w:t>
      </w:r>
    </w:p>
    <w:p>
      <w:pPr>
        <w:pStyle w:val="ListParagraph"/>
        <w:numPr>
          <w:ilvl w:val="0"/>
          <w:numId w:val="18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Сценарио 3 релативни ранг алтернативе 0,321</w:t>
      </w:r>
    </w:p>
    <w:p>
      <w:pPr>
        <w:pStyle w:val="ListParagraph"/>
        <w:numPr>
          <w:ilvl w:val="0"/>
          <w:numId w:val="18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Сценарио 1 релативни ранг алтернативе 0,182</w:t>
      </w:r>
    </w:p>
    <w:p>
      <w:pPr>
        <w:pStyle w:val="ListParagraph"/>
        <w:numPr>
          <w:ilvl w:val="0"/>
          <w:numId w:val="18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Сценарио 4 релативни ранг алтернативе 0,119</w:t>
      </w:r>
    </w:p>
    <w:p>
      <w:pPr>
        <w:pStyle w:val="BodyText"/>
        <w:spacing w:before="8"/>
        <w:ind w:left="0"/>
        <w:rPr>
          <w:sz w:val="9"/>
        </w:rPr>
      </w:pP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2244724</wp:posOffset>
            </wp:positionH>
            <wp:positionV relativeFrom="paragraph">
              <wp:posOffset>99727</wp:posOffset>
            </wp:positionV>
            <wp:extent cx="3581400" cy="2209800"/>
            <wp:effectExtent l="0" t="0" r="0" b="0"/>
            <wp:wrapTopAndBottom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599"/>
      </w:pPr>
      <w:r>
        <w:rPr/>
        <w:t>Анализа ризика остваривања сваког сценарија дала је ранг алтернатива</w:t>
      </w:r>
    </w:p>
    <w:p>
      <w:pPr>
        <w:pStyle w:val="ListParagraph"/>
        <w:numPr>
          <w:ilvl w:val="0"/>
          <w:numId w:val="19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Сценарио 3 релативни ранг алтернативе 0,416</w:t>
      </w:r>
    </w:p>
    <w:p>
      <w:pPr>
        <w:pStyle w:val="ListParagraph"/>
        <w:numPr>
          <w:ilvl w:val="0"/>
          <w:numId w:val="19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Сценарио 4 релативни ранг алтернативе 0,234</w:t>
      </w:r>
    </w:p>
    <w:p>
      <w:pPr>
        <w:pStyle w:val="ListParagraph"/>
        <w:numPr>
          <w:ilvl w:val="0"/>
          <w:numId w:val="19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Сценарио 1 релативни ранг алтернативе 0,213</w:t>
      </w:r>
    </w:p>
    <w:p>
      <w:pPr>
        <w:pStyle w:val="ListParagraph"/>
        <w:numPr>
          <w:ilvl w:val="0"/>
          <w:numId w:val="19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Сценарио 2 релативни ранг алтернативе 0,137</w:t>
      </w:r>
    </w:p>
    <w:p>
      <w:pPr>
        <w:pStyle w:val="BodyText"/>
        <w:spacing w:line="230" w:lineRule="auto" w:before="148"/>
        <w:ind w:right="235" w:firstLine="480"/>
      </w:pPr>
      <w:r>
        <w:rPr/>
        <w:t>Укључивањем резултата анализе предности и ризика различитих сценарија развоја поштанског саобраћаја</w:t>
      </w:r>
      <w:r>
        <w:rPr>
          <w:spacing w:val="-61"/>
        </w:rPr>
        <w:t> </w:t>
      </w:r>
      <w:r>
        <w:rPr/>
        <w:t>у Републици Србији добијена је матрица предности/ризика која је приказана на (Слици 4.1.)</w:t>
      </w:r>
    </w:p>
    <w:p>
      <w:pPr>
        <w:pStyle w:val="BodyText"/>
        <w:spacing w:before="143"/>
        <w:ind w:left="599"/>
      </w:pPr>
      <w:r>
        <w:rPr/>
        <w:t>У матрици су приказане су позиције сва четири различита сценарија.</w:t>
      </w:r>
    </w:p>
    <w:p>
      <w:pPr>
        <w:pStyle w:val="BodyText"/>
        <w:spacing w:line="230" w:lineRule="auto" w:before="148"/>
        <w:ind w:right="481" w:firstLine="480"/>
      </w:pPr>
      <w:r>
        <w:rPr/>
        <w:t>Сценарио 1 – Немењање постојећег стања и Сценарио 4 – Успорена либерализација поштанског сектора</w:t>
      </w:r>
      <w:r>
        <w:rPr>
          <w:spacing w:val="-61"/>
        </w:rPr>
        <w:t> </w:t>
      </w:r>
      <w:r>
        <w:rPr/>
        <w:t>налазе се у горњем левом квадранту који означава зону ниских предности и ниских ризика.</w:t>
      </w:r>
    </w:p>
    <w:p>
      <w:pPr>
        <w:pStyle w:val="BodyText"/>
        <w:spacing w:line="230" w:lineRule="auto"/>
        <w:ind w:firstLine="480"/>
      </w:pPr>
      <w:r>
        <w:rPr/>
        <w:t>Потпуна либерализација поштанског тржишта до 2014. године потпуно пратећи директиве ЕУ и потпуно</w:t>
      </w:r>
      <w:r>
        <w:rPr>
          <w:spacing w:val="1"/>
        </w:rPr>
        <w:t> </w:t>
      </w:r>
      <w:r>
        <w:rPr/>
        <w:t>отварање</w:t>
      </w:r>
      <w:r>
        <w:rPr>
          <w:spacing w:val="-2"/>
        </w:rPr>
        <w:t> </w:t>
      </w:r>
      <w:r>
        <w:rPr/>
        <w:t>тржишта</w:t>
      </w:r>
      <w:r>
        <w:rPr>
          <w:spacing w:val="-1"/>
        </w:rPr>
        <w:t> </w:t>
      </w:r>
      <w:r>
        <w:rPr/>
        <w:t>предвиђеним</w:t>
      </w:r>
      <w:r>
        <w:rPr>
          <w:spacing w:val="-1"/>
        </w:rPr>
        <w:t> </w:t>
      </w:r>
      <w:r>
        <w:rPr/>
        <w:t>Сценариом</w:t>
      </w:r>
      <w:r>
        <w:rPr>
          <w:spacing w:val="-1"/>
        </w:rPr>
        <w:t> </w:t>
      </w:r>
      <w:r>
        <w:rPr/>
        <w:t>3</w:t>
      </w:r>
      <w:r>
        <w:rPr>
          <w:spacing w:val="-1"/>
        </w:rPr>
        <w:t> </w:t>
      </w:r>
      <w:r>
        <w:rPr/>
        <w:t>доноси</w:t>
      </w:r>
      <w:r>
        <w:rPr>
          <w:spacing w:val="-1"/>
        </w:rPr>
        <w:t> </w:t>
      </w:r>
      <w:r>
        <w:rPr/>
        <w:t>високе</w:t>
      </w:r>
      <w:r>
        <w:rPr>
          <w:spacing w:val="-1"/>
        </w:rPr>
        <w:t> </w:t>
      </w:r>
      <w:r>
        <w:rPr/>
        <w:t>предности</w:t>
      </w:r>
      <w:r>
        <w:rPr>
          <w:spacing w:val="-1"/>
        </w:rPr>
        <w:t> </w:t>
      </w:r>
      <w:r>
        <w:rPr/>
        <w:t>али</w:t>
      </w:r>
      <w:r>
        <w:rPr>
          <w:spacing w:val="-1"/>
        </w:rPr>
        <w:t> </w:t>
      </w:r>
      <w:r>
        <w:rPr/>
        <w:t>носи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собом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висок</w:t>
      </w:r>
      <w:r>
        <w:rPr>
          <w:spacing w:val="-1"/>
        </w:rPr>
        <w:t> </w:t>
      </w:r>
      <w:r>
        <w:rPr/>
        <w:t>ниво</w:t>
      </w:r>
      <w:r>
        <w:rPr>
          <w:spacing w:val="-2"/>
        </w:rPr>
        <w:t> </w:t>
      </w:r>
      <w:r>
        <w:rPr/>
        <w:t>ризика.</w:t>
      </w:r>
    </w:p>
    <w:p>
      <w:pPr>
        <w:pStyle w:val="BodyText"/>
        <w:spacing w:line="230" w:lineRule="auto"/>
        <w:ind w:right="116" w:firstLine="480"/>
      </w:pPr>
      <w:r>
        <w:rPr/>
        <w:t>Сценарио 2 који подразумева либерализацију у складу са директивама и препорукама ЕУ до 2016. године</w:t>
      </w:r>
      <w:r>
        <w:rPr>
          <w:spacing w:val="1"/>
        </w:rPr>
        <w:t> </w:t>
      </w:r>
      <w:r>
        <w:rPr/>
        <w:t>уважавајући степен припремљености тржишта, даљи развој ЈПО, отварање поштанске мреже ЈПО, као и</w:t>
      </w:r>
      <w:r>
        <w:rPr>
          <w:spacing w:val="1"/>
        </w:rPr>
        <w:t> </w:t>
      </w:r>
      <w:r>
        <w:rPr/>
        <w:t>осигурање УПУ једини се налази горњем десном квадранту, који је најмање ризичан и доноси највише предности</w:t>
      </w:r>
      <w:r>
        <w:rPr>
          <w:spacing w:val="-61"/>
        </w:rPr>
        <w:t> </w:t>
      </w:r>
      <w:r>
        <w:rPr/>
        <w:t>те представља најповољније решење.</w:t>
      </w:r>
    </w:p>
    <w:p>
      <w:pPr>
        <w:pStyle w:val="BodyText"/>
        <w:spacing w:before="143"/>
        <w:ind w:left="599"/>
      </w:pPr>
      <w:r>
        <w:rPr/>
        <w:t>––––––––––––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30" w:lineRule="auto" w:before="94" w:after="0"/>
        <w:ind w:left="119" w:right="202" w:firstLine="0"/>
        <w:jc w:val="left"/>
        <w:rPr>
          <w:i/>
          <w:sz w:val="18"/>
        </w:rPr>
      </w:pPr>
      <w:r>
        <w:rPr>
          <w:i/>
          <w:sz w:val="18"/>
        </w:rPr>
        <w:t>Аналитички хијерархијски процес (AHP – eng. Analytical Hierarchy Process) представља једну од најпознатијих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метода научне анализе сценарија и доношења одлука конзистентним вредновањем хијерархија чије елементе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чине циљеви, критеријуми, подкритеријуми и анализе.</w:t>
      </w:r>
    </w:p>
    <w:p>
      <w:pPr>
        <w:pStyle w:val="BodyText"/>
        <w:spacing w:before="3"/>
        <w:ind w:left="0"/>
        <w:rPr>
          <w:i/>
          <w:sz w:val="23"/>
        </w:rPr>
      </w:pPr>
    </w:p>
    <w:p>
      <w:pPr>
        <w:pStyle w:val="ListParagraph"/>
        <w:numPr>
          <w:ilvl w:val="1"/>
          <w:numId w:val="1"/>
        </w:numPr>
        <w:tabs>
          <w:tab w:pos="4185" w:val="left" w:leader="none"/>
        </w:tabs>
        <w:spacing w:line="240" w:lineRule="auto" w:before="100" w:after="0"/>
        <w:ind w:left="4184" w:right="0" w:hanging="424"/>
        <w:jc w:val="left"/>
        <w:rPr>
          <w:i/>
          <w:sz w:val="18"/>
        </w:rPr>
      </w:pPr>
      <w:r>
        <w:rPr>
          <w:i/>
          <w:sz w:val="18"/>
        </w:rPr>
        <w:t>Стратегије развоја поштанских услуга</w:t>
      </w:r>
    </w:p>
    <w:p>
      <w:pPr>
        <w:pStyle w:val="BodyText"/>
        <w:spacing w:before="111"/>
        <w:ind w:left="599"/>
      </w:pPr>
      <w:r>
        <w:rPr/>
        <w:t>Реализација наведених стратешких циљева оствариће се преко следећих стратешких опција:</w:t>
      </w:r>
    </w:p>
    <w:p>
      <w:pPr>
        <w:pStyle w:val="BodyText"/>
        <w:spacing w:before="0"/>
        <w:ind w:left="0"/>
        <w:rPr>
          <w:sz w:val="27"/>
        </w:rPr>
      </w:pPr>
    </w:p>
    <w:p>
      <w:pPr>
        <w:pStyle w:val="BodyText"/>
        <w:spacing w:line="230" w:lineRule="auto" w:before="0"/>
        <w:ind w:left="202" w:right="229" w:firstLine="720"/>
      </w:pPr>
      <w:r>
        <w:rPr>
          <w:w w:val="95"/>
        </w:rPr>
        <w:t>4</w:t>
      </w:r>
      <w:r>
        <w:rPr>
          <w:spacing w:val="-28"/>
          <w:w w:val="95"/>
        </w:rPr>
        <w:t> </w:t>
      </w:r>
      <w:r>
        <w:rPr>
          <w:w w:val="95"/>
        </w:rPr>
        <w:t>.</w:t>
      </w:r>
      <w:r>
        <w:rPr>
          <w:spacing w:val="-27"/>
          <w:w w:val="95"/>
        </w:rPr>
        <w:t> </w:t>
      </w:r>
      <w:r>
        <w:rPr>
          <w:w w:val="95"/>
        </w:rPr>
        <w:t>2</w:t>
      </w:r>
      <w:r>
        <w:rPr>
          <w:spacing w:val="-27"/>
          <w:w w:val="95"/>
        </w:rPr>
        <w:t> </w:t>
      </w:r>
      <w:r>
        <w:rPr>
          <w:w w:val="95"/>
        </w:rPr>
        <w:t>.</w:t>
      </w:r>
      <w:r>
        <w:rPr>
          <w:spacing w:val="-27"/>
          <w:w w:val="95"/>
        </w:rPr>
        <w:t> </w:t>
      </w:r>
      <w:r>
        <w:rPr>
          <w:w w:val="95"/>
        </w:rPr>
        <w:t>1</w:t>
      </w:r>
      <w:r>
        <w:rPr>
          <w:spacing w:val="-27"/>
          <w:w w:val="95"/>
        </w:rPr>
        <w:t> </w:t>
      </w:r>
      <w:r>
        <w:rPr>
          <w:w w:val="95"/>
        </w:rPr>
        <w:t>.</w:t>
      </w:r>
      <w:r>
        <w:rPr>
          <w:spacing w:val="72"/>
        </w:rPr>
        <w:t> </w:t>
      </w:r>
      <w:r>
        <w:rPr>
          <w:w w:val="95"/>
        </w:rPr>
        <w:t>С</w:t>
      </w:r>
      <w:r>
        <w:rPr>
          <w:spacing w:val="-28"/>
          <w:w w:val="95"/>
        </w:rPr>
        <w:t> </w:t>
      </w:r>
      <w:r>
        <w:rPr>
          <w:w w:val="95"/>
        </w:rPr>
        <w:t>т</w:t>
      </w:r>
      <w:r>
        <w:rPr>
          <w:spacing w:val="-27"/>
          <w:w w:val="95"/>
        </w:rPr>
        <w:t> </w:t>
      </w:r>
      <w:r>
        <w:rPr>
          <w:w w:val="95"/>
        </w:rPr>
        <w:t>р</w:t>
      </w:r>
      <w:r>
        <w:rPr>
          <w:spacing w:val="-27"/>
          <w:w w:val="95"/>
        </w:rPr>
        <w:t> </w:t>
      </w:r>
      <w:r>
        <w:rPr>
          <w:w w:val="95"/>
        </w:rPr>
        <w:t>а</w:t>
      </w:r>
      <w:r>
        <w:rPr>
          <w:spacing w:val="-27"/>
          <w:w w:val="95"/>
        </w:rPr>
        <w:t> </w:t>
      </w:r>
      <w:r>
        <w:rPr>
          <w:w w:val="95"/>
        </w:rPr>
        <w:t>т</w:t>
      </w:r>
      <w:r>
        <w:rPr>
          <w:spacing w:val="-27"/>
          <w:w w:val="95"/>
        </w:rPr>
        <w:t> </w:t>
      </w:r>
      <w:r>
        <w:rPr>
          <w:w w:val="95"/>
        </w:rPr>
        <w:t>е</w:t>
      </w:r>
      <w:r>
        <w:rPr>
          <w:spacing w:val="-27"/>
          <w:w w:val="95"/>
        </w:rPr>
        <w:t> </w:t>
      </w:r>
      <w:r>
        <w:rPr>
          <w:w w:val="95"/>
        </w:rPr>
        <w:t>г</w:t>
      </w:r>
      <w:r>
        <w:rPr>
          <w:spacing w:val="-27"/>
          <w:w w:val="95"/>
        </w:rPr>
        <w:t> </w:t>
      </w:r>
      <w:r>
        <w:rPr>
          <w:w w:val="95"/>
        </w:rPr>
        <w:t>и</w:t>
      </w:r>
      <w:r>
        <w:rPr>
          <w:spacing w:val="-27"/>
          <w:w w:val="95"/>
        </w:rPr>
        <w:t> </w:t>
      </w:r>
      <w:r>
        <w:rPr>
          <w:w w:val="95"/>
        </w:rPr>
        <w:t>ј</w:t>
      </w:r>
      <w:r>
        <w:rPr>
          <w:spacing w:val="-27"/>
          <w:w w:val="95"/>
        </w:rPr>
        <w:t> </w:t>
      </w:r>
      <w:r>
        <w:rPr>
          <w:w w:val="95"/>
        </w:rPr>
        <w:t>а</w:t>
      </w:r>
      <w:r>
        <w:rPr>
          <w:spacing w:val="71"/>
        </w:rPr>
        <w:t> </w:t>
      </w:r>
      <w:r>
        <w:rPr>
          <w:w w:val="95"/>
        </w:rPr>
        <w:t>1</w:t>
      </w:r>
      <w:r>
        <w:rPr>
          <w:spacing w:val="72"/>
        </w:rPr>
        <w:t> </w:t>
      </w:r>
      <w:r>
        <w:rPr>
          <w:w w:val="95"/>
        </w:rPr>
        <w:t>–</w:t>
      </w:r>
      <w:r>
        <w:rPr>
          <w:spacing w:val="71"/>
        </w:rPr>
        <w:t> </w:t>
      </w:r>
      <w:r>
        <w:rPr>
          <w:w w:val="95"/>
        </w:rPr>
        <w:t>С</w:t>
      </w:r>
      <w:r>
        <w:rPr>
          <w:spacing w:val="-27"/>
          <w:w w:val="95"/>
        </w:rPr>
        <w:t> </w:t>
      </w:r>
      <w:r>
        <w:rPr>
          <w:w w:val="95"/>
        </w:rPr>
        <w:t>т</w:t>
      </w:r>
      <w:r>
        <w:rPr>
          <w:spacing w:val="-27"/>
          <w:w w:val="95"/>
        </w:rPr>
        <w:t> </w:t>
      </w:r>
      <w:r>
        <w:rPr>
          <w:w w:val="95"/>
        </w:rPr>
        <w:t>р</w:t>
      </w:r>
      <w:r>
        <w:rPr>
          <w:spacing w:val="-27"/>
          <w:w w:val="95"/>
        </w:rPr>
        <w:t> </w:t>
      </w:r>
      <w:r>
        <w:rPr>
          <w:w w:val="95"/>
        </w:rPr>
        <w:t>а</w:t>
      </w:r>
      <w:r>
        <w:rPr>
          <w:spacing w:val="-27"/>
          <w:w w:val="95"/>
        </w:rPr>
        <w:t> </w:t>
      </w:r>
      <w:r>
        <w:rPr>
          <w:w w:val="95"/>
        </w:rPr>
        <w:t>т</w:t>
      </w:r>
      <w:r>
        <w:rPr>
          <w:spacing w:val="-27"/>
          <w:w w:val="95"/>
        </w:rPr>
        <w:t> </w:t>
      </w:r>
      <w:r>
        <w:rPr>
          <w:w w:val="95"/>
        </w:rPr>
        <w:t>е</w:t>
      </w:r>
      <w:r>
        <w:rPr>
          <w:spacing w:val="-27"/>
          <w:w w:val="95"/>
        </w:rPr>
        <w:t> </w:t>
      </w:r>
      <w:r>
        <w:rPr>
          <w:w w:val="95"/>
        </w:rPr>
        <w:t>г</w:t>
      </w:r>
      <w:r>
        <w:rPr>
          <w:spacing w:val="-27"/>
          <w:w w:val="95"/>
        </w:rPr>
        <w:t> </w:t>
      </w:r>
      <w:r>
        <w:rPr>
          <w:w w:val="95"/>
        </w:rPr>
        <w:t>и</w:t>
      </w:r>
      <w:r>
        <w:rPr>
          <w:spacing w:val="-27"/>
          <w:w w:val="95"/>
        </w:rPr>
        <w:t> </w:t>
      </w:r>
      <w:r>
        <w:rPr>
          <w:w w:val="95"/>
        </w:rPr>
        <w:t>ј</w:t>
      </w:r>
      <w:r>
        <w:rPr>
          <w:spacing w:val="-28"/>
          <w:w w:val="95"/>
        </w:rPr>
        <w:t> </w:t>
      </w:r>
      <w:r>
        <w:rPr>
          <w:w w:val="95"/>
        </w:rPr>
        <w:t>а</w:t>
      </w:r>
      <w:r>
        <w:rPr>
          <w:spacing w:val="72"/>
        </w:rPr>
        <w:t> </w:t>
      </w:r>
      <w:r>
        <w:rPr>
          <w:w w:val="95"/>
        </w:rPr>
        <w:t>п</w:t>
      </w:r>
      <w:r>
        <w:rPr>
          <w:spacing w:val="-27"/>
          <w:w w:val="95"/>
        </w:rPr>
        <w:t> </w:t>
      </w:r>
      <w:r>
        <w:rPr>
          <w:w w:val="95"/>
        </w:rPr>
        <w:t>о</w:t>
      </w:r>
      <w:r>
        <w:rPr>
          <w:spacing w:val="-27"/>
          <w:w w:val="95"/>
        </w:rPr>
        <w:t> </w:t>
      </w:r>
      <w:r>
        <w:rPr>
          <w:w w:val="95"/>
        </w:rPr>
        <w:t>с</w:t>
      </w:r>
      <w:r>
        <w:rPr>
          <w:spacing w:val="-27"/>
          <w:w w:val="95"/>
        </w:rPr>
        <w:t> </w:t>
      </w:r>
      <w:r>
        <w:rPr>
          <w:w w:val="95"/>
        </w:rPr>
        <w:t>т</w:t>
      </w:r>
      <w:r>
        <w:rPr>
          <w:spacing w:val="-27"/>
          <w:w w:val="95"/>
        </w:rPr>
        <w:t> </w:t>
      </w:r>
      <w:r>
        <w:rPr>
          <w:w w:val="95"/>
        </w:rPr>
        <w:t>е</w:t>
      </w:r>
      <w:r>
        <w:rPr>
          <w:spacing w:val="-28"/>
          <w:w w:val="95"/>
        </w:rPr>
        <w:t> </w:t>
      </w:r>
      <w:r>
        <w:rPr>
          <w:w w:val="95"/>
        </w:rPr>
        <w:t>п</w:t>
      </w:r>
      <w:r>
        <w:rPr>
          <w:spacing w:val="-27"/>
          <w:w w:val="95"/>
        </w:rPr>
        <w:t> </w:t>
      </w:r>
      <w:r>
        <w:rPr>
          <w:w w:val="95"/>
        </w:rPr>
        <w:t>е</w:t>
      </w:r>
      <w:r>
        <w:rPr>
          <w:spacing w:val="-27"/>
          <w:w w:val="95"/>
        </w:rPr>
        <w:t> </w:t>
      </w:r>
      <w:r>
        <w:rPr>
          <w:w w:val="95"/>
        </w:rPr>
        <w:t>н</w:t>
      </w:r>
      <w:r>
        <w:rPr>
          <w:spacing w:val="-27"/>
          <w:w w:val="95"/>
        </w:rPr>
        <w:t> </w:t>
      </w:r>
      <w:r>
        <w:rPr>
          <w:w w:val="95"/>
        </w:rPr>
        <w:t>е</w:t>
      </w:r>
      <w:r>
        <w:rPr>
          <w:spacing w:val="72"/>
        </w:rPr>
        <w:t> </w:t>
      </w:r>
      <w:r>
        <w:rPr>
          <w:w w:val="95"/>
        </w:rPr>
        <w:t>л</w:t>
      </w:r>
      <w:r>
        <w:rPr>
          <w:spacing w:val="-27"/>
          <w:w w:val="95"/>
        </w:rPr>
        <w:t> </w:t>
      </w:r>
      <w:r>
        <w:rPr>
          <w:w w:val="95"/>
        </w:rPr>
        <w:t>и</w:t>
      </w:r>
      <w:r>
        <w:rPr>
          <w:spacing w:val="-27"/>
          <w:w w:val="95"/>
        </w:rPr>
        <w:t> </w:t>
      </w:r>
      <w:r>
        <w:rPr>
          <w:w w:val="95"/>
        </w:rPr>
        <w:t>б</w:t>
      </w:r>
      <w:r>
        <w:rPr>
          <w:spacing w:val="-28"/>
          <w:w w:val="95"/>
        </w:rPr>
        <w:t> </w:t>
      </w:r>
      <w:r>
        <w:rPr>
          <w:w w:val="95"/>
        </w:rPr>
        <w:t>е</w:t>
      </w:r>
      <w:r>
        <w:rPr>
          <w:spacing w:val="-27"/>
          <w:w w:val="95"/>
        </w:rPr>
        <w:t> </w:t>
      </w:r>
      <w:r>
        <w:rPr>
          <w:w w:val="95"/>
        </w:rPr>
        <w:t>р</w:t>
      </w:r>
      <w:r>
        <w:rPr>
          <w:spacing w:val="-27"/>
          <w:w w:val="95"/>
        </w:rPr>
        <w:t> </w:t>
      </w:r>
      <w:r>
        <w:rPr>
          <w:w w:val="95"/>
        </w:rPr>
        <w:t>а</w:t>
      </w:r>
      <w:r>
        <w:rPr>
          <w:spacing w:val="-27"/>
          <w:w w:val="95"/>
        </w:rPr>
        <w:t> </w:t>
      </w:r>
      <w:r>
        <w:rPr>
          <w:w w:val="95"/>
        </w:rPr>
        <w:t>л</w:t>
      </w:r>
      <w:r>
        <w:rPr>
          <w:spacing w:val="-27"/>
          <w:w w:val="95"/>
        </w:rPr>
        <w:t> </w:t>
      </w:r>
      <w:r>
        <w:rPr>
          <w:w w:val="95"/>
        </w:rPr>
        <w:t>и</w:t>
      </w:r>
      <w:r>
        <w:rPr>
          <w:spacing w:val="-27"/>
          <w:w w:val="95"/>
        </w:rPr>
        <w:t> </w:t>
      </w:r>
      <w:r>
        <w:rPr>
          <w:w w:val="95"/>
        </w:rPr>
        <w:t>з</w:t>
      </w:r>
      <w:r>
        <w:rPr>
          <w:spacing w:val="-27"/>
          <w:w w:val="95"/>
        </w:rPr>
        <w:t> </w:t>
      </w:r>
      <w:r>
        <w:rPr>
          <w:w w:val="95"/>
        </w:rPr>
        <w:t>а</w:t>
      </w:r>
      <w:r>
        <w:rPr>
          <w:spacing w:val="-27"/>
          <w:w w:val="95"/>
        </w:rPr>
        <w:t> </w:t>
      </w:r>
      <w:r>
        <w:rPr>
          <w:w w:val="95"/>
        </w:rPr>
        <w:t>ц</w:t>
      </w:r>
      <w:r>
        <w:rPr>
          <w:spacing w:val="-28"/>
          <w:w w:val="95"/>
        </w:rPr>
        <w:t> </w:t>
      </w:r>
      <w:r>
        <w:rPr>
          <w:w w:val="95"/>
        </w:rPr>
        <w:t>и</w:t>
      </w:r>
      <w:r>
        <w:rPr>
          <w:spacing w:val="-27"/>
          <w:w w:val="95"/>
        </w:rPr>
        <w:t> </w:t>
      </w:r>
      <w:r>
        <w:rPr>
          <w:w w:val="95"/>
        </w:rPr>
        <w:t>ј</w:t>
      </w:r>
      <w:r>
        <w:rPr>
          <w:spacing w:val="-27"/>
          <w:w w:val="95"/>
        </w:rPr>
        <w:t> </w:t>
      </w:r>
      <w:r>
        <w:rPr>
          <w:w w:val="95"/>
        </w:rPr>
        <w:t>е</w:t>
      </w:r>
      <w:r>
        <w:rPr>
          <w:spacing w:val="72"/>
        </w:rPr>
        <w:t> </w:t>
      </w:r>
      <w:r>
        <w:rPr>
          <w:w w:val="95"/>
        </w:rPr>
        <w:t>т</w:t>
      </w:r>
      <w:r>
        <w:rPr>
          <w:spacing w:val="-27"/>
          <w:w w:val="95"/>
        </w:rPr>
        <w:t> </w:t>
      </w:r>
      <w:r>
        <w:rPr>
          <w:w w:val="95"/>
        </w:rPr>
        <w:t>р</w:t>
      </w:r>
      <w:r>
        <w:rPr>
          <w:spacing w:val="-27"/>
          <w:w w:val="95"/>
        </w:rPr>
        <w:t> </w:t>
      </w:r>
      <w:r>
        <w:rPr>
          <w:w w:val="95"/>
        </w:rPr>
        <w:t>ж</w:t>
      </w:r>
      <w:r>
        <w:rPr>
          <w:spacing w:val="-28"/>
          <w:w w:val="95"/>
        </w:rPr>
        <w:t> </w:t>
      </w:r>
      <w:r>
        <w:rPr>
          <w:w w:val="95"/>
        </w:rPr>
        <w:t>и</w:t>
      </w:r>
      <w:r>
        <w:rPr>
          <w:spacing w:val="-27"/>
          <w:w w:val="95"/>
        </w:rPr>
        <w:t> </w:t>
      </w:r>
      <w:r>
        <w:rPr>
          <w:w w:val="95"/>
        </w:rPr>
        <w:t>ш</w:t>
      </w:r>
      <w:r>
        <w:rPr>
          <w:spacing w:val="-27"/>
          <w:w w:val="95"/>
        </w:rPr>
        <w:t> </w:t>
      </w:r>
      <w:r>
        <w:rPr>
          <w:w w:val="95"/>
        </w:rPr>
        <w:t>т</w:t>
      </w:r>
      <w:r>
        <w:rPr>
          <w:spacing w:val="-27"/>
          <w:w w:val="95"/>
        </w:rPr>
        <w:t> </w:t>
      </w:r>
      <w:r>
        <w:rPr>
          <w:w w:val="95"/>
        </w:rPr>
        <w:t>а</w:t>
      </w:r>
      <w:r>
        <w:rPr>
          <w:spacing w:val="72"/>
        </w:rPr>
        <w:t> </w:t>
      </w:r>
      <w:r>
        <w:rPr>
          <w:w w:val="95"/>
        </w:rPr>
        <w:t>п</w:t>
      </w:r>
      <w:r>
        <w:rPr>
          <w:spacing w:val="-27"/>
          <w:w w:val="95"/>
        </w:rPr>
        <w:t> </w:t>
      </w:r>
      <w:r>
        <w:rPr>
          <w:w w:val="95"/>
        </w:rPr>
        <w:t>о</w:t>
      </w:r>
      <w:r>
        <w:rPr>
          <w:spacing w:val="-27"/>
          <w:w w:val="95"/>
        </w:rPr>
        <w:t> </w:t>
      </w:r>
      <w:r>
        <w:rPr>
          <w:w w:val="95"/>
        </w:rPr>
        <w:t>ш</w:t>
      </w:r>
      <w:r>
        <w:rPr>
          <w:spacing w:val="-28"/>
          <w:w w:val="95"/>
        </w:rPr>
        <w:t> </w:t>
      </w:r>
      <w:r>
        <w:rPr>
          <w:w w:val="95"/>
        </w:rPr>
        <w:t>т</w:t>
      </w:r>
      <w:r>
        <w:rPr>
          <w:spacing w:val="-27"/>
          <w:w w:val="95"/>
        </w:rPr>
        <w:t> </w:t>
      </w:r>
      <w:r>
        <w:rPr>
          <w:w w:val="95"/>
        </w:rPr>
        <w:t>а</w:t>
      </w:r>
      <w:r>
        <w:rPr>
          <w:spacing w:val="-27"/>
          <w:w w:val="95"/>
        </w:rPr>
        <w:t> </w:t>
      </w:r>
      <w:r>
        <w:rPr>
          <w:w w:val="95"/>
        </w:rPr>
        <w:t>н</w:t>
      </w:r>
      <w:r>
        <w:rPr>
          <w:spacing w:val="-27"/>
          <w:w w:val="95"/>
        </w:rPr>
        <w:t> </w:t>
      </w:r>
      <w:r>
        <w:rPr>
          <w:w w:val="95"/>
        </w:rPr>
        <w:t>с</w:t>
      </w:r>
      <w:r>
        <w:rPr>
          <w:spacing w:val="-27"/>
          <w:w w:val="95"/>
        </w:rPr>
        <w:t> </w:t>
      </w:r>
      <w:r>
        <w:rPr>
          <w:w w:val="95"/>
        </w:rPr>
        <w:t>к</w:t>
      </w:r>
      <w:r>
        <w:rPr>
          <w:spacing w:val="-27"/>
          <w:w w:val="95"/>
        </w:rPr>
        <w:t> </w:t>
      </w:r>
      <w:r>
        <w:rPr>
          <w:w w:val="95"/>
        </w:rPr>
        <w:t>и</w:t>
      </w:r>
      <w:r>
        <w:rPr>
          <w:spacing w:val="-27"/>
          <w:w w:val="95"/>
        </w:rPr>
        <w:t> </w:t>
      </w:r>
      <w:r>
        <w:rPr>
          <w:w w:val="95"/>
        </w:rPr>
        <w:t>х</w:t>
      </w:r>
      <w:r>
        <w:rPr>
          <w:spacing w:val="1"/>
          <w:w w:val="95"/>
        </w:rPr>
        <w:t> </w:t>
      </w:r>
      <w:r>
        <w:rPr/>
        <w:t>у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и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ђ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њ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г</w:t>
      </w:r>
      <w:r>
        <w:rPr>
          <w:spacing w:val="54"/>
        </w:rPr>
        <w:t> </w:t>
      </w:r>
      <w:r>
        <w:rPr/>
        <w:t>с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у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у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ж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њ</w:t>
      </w:r>
      <w:r>
        <w:rPr>
          <w:spacing w:val="-37"/>
        </w:rPr>
        <w:t> </w:t>
      </w:r>
      <w:r>
        <w:rPr/>
        <w:t>а</w:t>
      </w:r>
      <w:r>
        <w:rPr>
          <w:spacing w:val="54"/>
        </w:rPr>
        <w:t> </w:t>
      </w:r>
      <w:r>
        <w:rPr/>
        <w:t>Р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б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б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е</w:t>
      </w:r>
    </w:p>
    <w:p>
      <w:pPr>
        <w:pStyle w:val="BodyText"/>
        <w:spacing w:line="212" w:lineRule="exact" w:before="0"/>
        <w:ind w:left="4586"/>
      </w:pP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в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п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к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70"/>
        </w:rPr>
        <w:t> </w:t>
      </w:r>
      <w:r>
        <w:rPr>
          <w:w w:val="95"/>
        </w:rPr>
        <w:t>у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и</w:t>
      </w:r>
    </w:p>
    <w:p>
      <w:pPr>
        <w:pStyle w:val="BodyText"/>
        <w:spacing w:line="230" w:lineRule="auto" w:before="119"/>
        <w:ind w:right="143" w:firstLine="480"/>
      </w:pPr>
      <w:r>
        <w:rPr/>
        <w:t>У складу са директивама ЕУ спроведено је делимично отварање националног поштанског тржишта. Међутим</w:t>
      </w:r>
      <w:r>
        <w:rPr>
          <w:spacing w:val="-61"/>
        </w:rPr>
        <w:t> </w:t>
      </w:r>
      <w:r>
        <w:rPr/>
        <w:t>и даље постоји РПУ, као начин надокнађивања трошкова насталих пружањем УПУ.</w:t>
      </w:r>
    </w:p>
    <w:p>
      <w:pPr>
        <w:spacing w:after="0" w:line="230" w:lineRule="auto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124" w:firstLine="480"/>
      </w:pPr>
      <w:r>
        <w:rPr/>
        <w:t>Постоје одређени фактори који могу да утичу на временску динамику даље либерализације тржишта</w:t>
      </w:r>
      <w:r>
        <w:rPr>
          <w:spacing w:val="1"/>
        </w:rPr>
        <w:t> </w:t>
      </w:r>
      <w:r>
        <w:rPr/>
        <w:t>поштанских услуга, а то су пре свега: понашање корисника и њихови захтеви, нове услуге на тржишту и</w:t>
      </w:r>
      <w:r>
        <w:rPr>
          <w:spacing w:val="1"/>
        </w:rPr>
        <w:t> </w:t>
      </w:r>
      <w:r>
        <w:rPr/>
        <w:t>притисак на цене, притисак конкуренције и спремност ЈПО да после укидања РПУ обезбеди УПУ по приступачним</w:t>
      </w:r>
      <w:r>
        <w:rPr>
          <w:spacing w:val="-61"/>
        </w:rPr>
        <w:t> </w:t>
      </w:r>
      <w:r>
        <w:rPr/>
        <w:t>ценама. Овоме свакако треба додати и стратешке циљеве државе која жели регулисати поштански сектор и</w:t>
      </w:r>
      <w:r>
        <w:rPr>
          <w:spacing w:val="1"/>
        </w:rPr>
        <w:t> </w:t>
      </w:r>
      <w:r>
        <w:rPr/>
        <w:t>тржиште тако да омогући: равноправно укључење поштанског тржишта Републике Србије у европско поштанско</w:t>
      </w:r>
      <w:r>
        <w:rPr>
          <w:spacing w:val="1"/>
        </w:rPr>
        <w:t> </w:t>
      </w:r>
      <w:r>
        <w:rPr/>
        <w:t>тржиште; конкуренцију и развој тржишта поштанских услуга; да сви заинтересовани ПО, корисници и држава</w:t>
      </w:r>
      <w:r>
        <w:rPr>
          <w:spacing w:val="1"/>
        </w:rPr>
        <w:t> </w:t>
      </w:r>
      <w:r>
        <w:rPr/>
        <w:t>буду задовољни, а да давалац УПУ профитабилно послује, даље коришћење УПУ по приступачним ценама за све</w:t>
      </w:r>
      <w:r>
        <w:rPr>
          <w:spacing w:val="1"/>
        </w:rPr>
        <w:t> </w:t>
      </w:r>
      <w:r>
        <w:rPr/>
        <w:t>грађане.</w:t>
      </w:r>
    </w:p>
    <w:p>
      <w:pPr>
        <w:pStyle w:val="BodyText"/>
        <w:spacing w:line="230" w:lineRule="auto"/>
        <w:ind w:right="331" w:firstLine="480"/>
      </w:pPr>
      <w:r>
        <w:rPr/>
        <w:t>Имајући у виду наведене циљеве и искуства других држава у овом процесу Република Србија треба да</w:t>
      </w:r>
      <w:r>
        <w:rPr>
          <w:spacing w:val="1"/>
        </w:rPr>
        <w:t> </w:t>
      </w:r>
      <w:r>
        <w:rPr/>
        <w:t>спроведе постепену либерализацију тржишта поштанских услуга, која би подразумевала задржавање РПУ (100</w:t>
      </w:r>
      <w:r>
        <w:rPr>
          <w:spacing w:val="-61"/>
        </w:rPr>
        <w:t> </w:t>
      </w:r>
      <w:r>
        <w:rPr/>
        <w:t>грама), а затим њихово смањење сходно динамици придруживања и примени директива ЕУ.</w:t>
      </w:r>
    </w:p>
    <w:p>
      <w:pPr>
        <w:pStyle w:val="BodyText"/>
        <w:spacing w:before="143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line="396" w:lineRule="auto" w:before="141"/>
        <w:ind w:left="599" w:right="4591"/>
      </w:pPr>
      <w:r>
        <w:rPr/>
        <w:t>Активност 1: Доношење новог Закона о поштанским услугама</w:t>
      </w:r>
      <w:r>
        <w:rPr>
          <w:spacing w:val="-61"/>
        </w:rPr>
        <w:t> </w:t>
      </w:r>
      <w:r>
        <w:rPr/>
        <w:t>Активност 2: Доношење подзаконских аката</w:t>
      </w:r>
    </w:p>
    <w:p>
      <w:pPr>
        <w:pStyle w:val="BodyText"/>
        <w:spacing w:line="217" w:lineRule="exact" w:before="0"/>
        <w:ind w:left="599"/>
      </w:pPr>
      <w:r>
        <w:rPr/>
        <w:t>Активност 3: Доношење одлуке о смањењу лимита РПУ</w:t>
      </w:r>
    </w:p>
    <w:p>
      <w:pPr>
        <w:pStyle w:val="BodyText"/>
        <w:spacing w:before="3"/>
        <w:ind w:left="0"/>
        <w:rPr>
          <w:sz w:val="17"/>
        </w:rPr>
      </w:pPr>
    </w:p>
    <w:p>
      <w:pPr>
        <w:pStyle w:val="BodyText"/>
        <w:spacing w:line="330" w:lineRule="atLeast" w:before="0"/>
        <w:ind w:left="599" w:right="548" w:firstLine="445"/>
      </w:pP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2</w:t>
      </w:r>
      <w:r>
        <w:rPr>
          <w:spacing w:val="53"/>
        </w:rPr>
        <w:t> </w:t>
      </w:r>
      <w:r>
        <w:rPr/>
        <w:t>–</w:t>
      </w:r>
      <w:r>
        <w:rPr>
          <w:spacing w:val="54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м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ж</w:t>
      </w:r>
      <w:r>
        <w:rPr>
          <w:spacing w:val="-37"/>
        </w:rPr>
        <w:t> </w:t>
      </w:r>
      <w:r>
        <w:rPr/>
        <w:t>и</w:t>
      </w:r>
      <w:r>
        <w:rPr>
          <w:spacing w:val="53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г</w:t>
      </w:r>
      <w:r>
        <w:rPr>
          <w:spacing w:val="54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г</w:t>
      </w:r>
      <w:r>
        <w:rPr>
          <w:spacing w:val="53"/>
        </w:rPr>
        <w:t> </w:t>
      </w:r>
      <w:r>
        <w:rPr/>
        <w:t>о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60"/>
        </w:rPr>
        <w:t> </w:t>
      </w:r>
      <w:r>
        <w:rPr/>
        <w:t>У складу са поштанским директивама ЕУ ЈПО треба да обезбеди приступ мрежи и елементима мреже и</w:t>
      </w:r>
    </w:p>
    <w:p>
      <w:pPr>
        <w:pStyle w:val="BodyText"/>
        <w:spacing w:line="230" w:lineRule="auto" w:before="0"/>
        <w:ind w:right="472"/>
      </w:pPr>
      <w:r>
        <w:rPr/>
        <w:t>другим ПО који пружају поштанске услуге не територији Републике Србије, при чему је потребно дефинисати</w:t>
      </w:r>
      <w:r>
        <w:rPr>
          <w:spacing w:val="-61"/>
        </w:rPr>
        <w:t> </w:t>
      </w:r>
      <w:r>
        <w:rPr/>
        <w:t>услове и цене приступа.</w:t>
      </w:r>
    </w:p>
    <w:p>
      <w:pPr>
        <w:pStyle w:val="BodyText"/>
        <w:spacing w:line="230" w:lineRule="auto" w:before="149"/>
        <w:ind w:right="283" w:firstLine="480"/>
      </w:pPr>
      <w:r>
        <w:rPr/>
        <w:t>За реализацију ове стратегије потребно је анализирати постојеће капацитете поштанске мреже и створити</w:t>
      </w:r>
      <w:r>
        <w:rPr>
          <w:spacing w:val="-61"/>
        </w:rPr>
        <w:t> </w:t>
      </w:r>
      <w:r>
        <w:rPr/>
        <w:t>услове за приступ мрежи. Предуслов за ефикасну примену је, поред доношења одговарајућих аката, и</w:t>
      </w:r>
      <w:r>
        <w:rPr>
          <w:spacing w:val="1"/>
        </w:rPr>
        <w:t> </w:t>
      </w:r>
      <w:r>
        <w:rPr/>
        <w:t>завршетак Главног поштанског центра Београд, као и реконструкција ГПЦ Нови Сад и ГПЦ Ниш. Изградњом</w:t>
      </w:r>
      <w:r>
        <w:rPr>
          <w:spacing w:val="1"/>
        </w:rPr>
        <w:t> </w:t>
      </w:r>
      <w:r>
        <w:rPr/>
        <w:t>новог РПЛЦ (ГПЦ) Београд и реконструкцијом друга два, уз одговарајућу аутоматизацију, створили би се</w:t>
      </w:r>
      <w:r>
        <w:rPr>
          <w:spacing w:val="1"/>
        </w:rPr>
        <w:t> </w:t>
      </w:r>
      <w:r>
        <w:rPr/>
        <w:t>предуслови да ЈПО омогући и другим ПО приступ својој мрежи, а ЈПО би могао да шири палету и обим услуга</w:t>
      </w:r>
      <w:r>
        <w:rPr>
          <w:spacing w:val="1"/>
        </w:rPr>
        <w:t> </w:t>
      </w:r>
      <w:r>
        <w:rPr/>
        <w:t>чиме би ГПЦ-и прерасли у логистичке центре ЈПО.</w:t>
      </w:r>
    </w:p>
    <w:p>
      <w:pPr>
        <w:pStyle w:val="BodyText"/>
        <w:spacing w:before="142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line="396" w:lineRule="auto" w:before="142"/>
        <w:ind w:left="599" w:right="2034"/>
      </w:pPr>
      <w:r>
        <w:rPr/>
        <w:t>Активност 1: Реализација неопходних капиталних инвестиција у поштанском саобраћају</w:t>
      </w:r>
      <w:r>
        <w:rPr>
          <w:spacing w:val="-61"/>
        </w:rPr>
        <w:t> </w:t>
      </w:r>
      <w:r>
        <w:rPr/>
        <w:t>Активност 2: Доношење Општег акта о приступу мрежи ЈПО</w:t>
      </w:r>
    </w:p>
    <w:p>
      <w:pPr>
        <w:pStyle w:val="BodyText"/>
        <w:spacing w:line="217" w:lineRule="exact" w:before="0"/>
        <w:ind w:left="599"/>
      </w:pPr>
      <w:r>
        <w:rPr/>
        <w:t>Активност 3: Информисање ПО о могућностима приступа мрежи ЈПО</w:t>
      </w:r>
    </w:p>
    <w:p>
      <w:pPr>
        <w:pStyle w:val="BodyText"/>
        <w:spacing w:before="0"/>
        <w:ind w:left="0"/>
        <w:rPr>
          <w:sz w:val="27"/>
        </w:rPr>
      </w:pPr>
    </w:p>
    <w:p>
      <w:pPr>
        <w:pStyle w:val="BodyText"/>
        <w:spacing w:line="230" w:lineRule="auto" w:before="0"/>
        <w:ind w:left="2845" w:right="486" w:hanging="1920"/>
      </w:pPr>
      <w:r>
        <w:rPr>
          <w:w w:val="95"/>
        </w:rPr>
        <w:t>4</w:t>
      </w:r>
      <w:r>
        <w:rPr>
          <w:spacing w:val="-31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2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3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13"/>
          <w:w w:val="95"/>
        </w:rPr>
        <w:t> </w:t>
      </w:r>
      <w:r>
        <w:rPr>
          <w:w w:val="95"/>
        </w:rPr>
        <w:t>С</w:t>
      </w:r>
      <w:r>
        <w:rPr>
          <w:spacing w:val="-31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1"/>
          <w:w w:val="95"/>
        </w:rPr>
        <w:t> </w:t>
      </w:r>
      <w:r>
        <w:rPr>
          <w:w w:val="95"/>
        </w:rPr>
        <w:t>г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69"/>
        </w:rPr>
        <w:t> </w:t>
      </w:r>
      <w:r>
        <w:rPr>
          <w:w w:val="95"/>
        </w:rPr>
        <w:t>3</w:t>
      </w:r>
      <w:r>
        <w:rPr>
          <w:spacing w:val="70"/>
        </w:rPr>
        <w:t> </w:t>
      </w:r>
      <w:r>
        <w:rPr>
          <w:w w:val="95"/>
        </w:rPr>
        <w:t>–</w:t>
      </w:r>
      <w:r>
        <w:rPr>
          <w:spacing w:val="69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1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70"/>
        </w:rPr>
        <w:t> </w:t>
      </w:r>
      <w:r>
        <w:rPr>
          <w:w w:val="95"/>
        </w:rPr>
        <w:t>о</w:t>
      </w:r>
      <w:r>
        <w:rPr>
          <w:spacing w:val="-31"/>
          <w:w w:val="95"/>
        </w:rPr>
        <w:t> </w:t>
      </w:r>
      <w:r>
        <w:rPr>
          <w:w w:val="95"/>
        </w:rPr>
        <w:t>б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з</w:t>
      </w:r>
      <w:r>
        <w:rPr>
          <w:spacing w:val="-30"/>
          <w:w w:val="95"/>
        </w:rPr>
        <w:t> </w:t>
      </w:r>
      <w:r>
        <w:rPr>
          <w:w w:val="95"/>
        </w:rPr>
        <w:t>б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1"/>
          <w:w w:val="95"/>
        </w:rPr>
        <w:t> </w:t>
      </w:r>
      <w:r>
        <w:rPr>
          <w:w w:val="95"/>
        </w:rPr>
        <w:t>ђ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в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њ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70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д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ж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в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њ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70"/>
        </w:rPr>
        <w:t> </w:t>
      </w:r>
      <w:r>
        <w:rPr>
          <w:w w:val="95"/>
        </w:rPr>
        <w:t>и</w:t>
      </w:r>
      <w:r>
        <w:rPr>
          <w:spacing w:val="69"/>
        </w:rPr>
        <w:t> </w:t>
      </w:r>
      <w:r>
        <w:rPr>
          <w:w w:val="95"/>
        </w:rPr>
        <w:t>у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в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ђ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в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њ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70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1"/>
          <w:w w:val="95"/>
        </w:rPr>
        <w:t> </w:t>
      </w:r>
      <w:r>
        <w:rPr>
          <w:w w:val="95"/>
        </w:rPr>
        <w:t>ч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58"/>
          <w:w w:val="95"/>
        </w:rPr>
        <w:t> </w:t>
      </w:r>
      <w:r>
        <w:rPr/>
        <w:t>ф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њ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у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у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е</w:t>
      </w:r>
    </w:p>
    <w:p>
      <w:pPr>
        <w:pStyle w:val="BodyText"/>
        <w:spacing w:line="230" w:lineRule="auto" w:before="120"/>
        <w:ind w:right="112" w:firstLine="480"/>
      </w:pPr>
      <w:r>
        <w:rPr/>
        <w:t>На основу Закона о поштанским услугама ЈПО има право и обавезу обављања УПУ на целокупној територији</w:t>
      </w:r>
      <w:r>
        <w:rPr>
          <w:spacing w:val="-61"/>
        </w:rPr>
        <w:t> </w:t>
      </w:r>
      <w:r>
        <w:rPr/>
        <w:t>Републике Србије и то под једнаким условима свим корисницима, сваким радним даном, не мање од пет пута</w:t>
      </w:r>
      <w:r>
        <w:rPr>
          <w:spacing w:val="1"/>
        </w:rPr>
        <w:t> </w:t>
      </w:r>
      <w:r>
        <w:rPr/>
        <w:t>седмично.</w:t>
      </w:r>
    </w:p>
    <w:p>
      <w:pPr>
        <w:pStyle w:val="BodyText"/>
        <w:spacing w:line="230" w:lineRule="auto"/>
        <w:ind w:right="366" w:firstLine="480"/>
      </w:pPr>
      <w:r>
        <w:rPr/>
        <w:t>Законом је регулисано да ЈПО губитке обављања ових услуга надокнађује кроз ексклузивно право у виду</w:t>
      </w:r>
      <w:r>
        <w:rPr>
          <w:spacing w:val="-61"/>
        </w:rPr>
        <w:t> </w:t>
      </w:r>
      <w:r>
        <w:rPr/>
        <w:t>пружања РПУ или уколико се овим средствима не подмире евентуални губици, недостајућа средства се</w:t>
      </w:r>
      <w:r>
        <w:rPr>
          <w:spacing w:val="1"/>
        </w:rPr>
        <w:t> </w:t>
      </w:r>
      <w:r>
        <w:rPr/>
        <w:t>обезбеђују из буџета.</w:t>
      </w:r>
    </w:p>
    <w:p>
      <w:pPr>
        <w:pStyle w:val="BodyText"/>
        <w:spacing w:line="230" w:lineRule="auto"/>
        <w:ind w:right="99" w:firstLine="480"/>
      </w:pPr>
      <w:r>
        <w:rPr/>
        <w:t>Потпуна либерализације тржишта и укидање РПУ јавном поштанском оператору могу створити одређене</w:t>
      </w:r>
      <w:r>
        <w:rPr>
          <w:spacing w:val="1"/>
        </w:rPr>
        <w:t> </w:t>
      </w:r>
      <w:r>
        <w:rPr/>
        <w:t>проблеме, те због тога Република Србија мора имати јасно утврђену политику формирања цена УПУ и начина</w:t>
      </w:r>
      <w:r>
        <w:rPr>
          <w:spacing w:val="1"/>
        </w:rPr>
        <w:t> </w:t>
      </w:r>
      <w:r>
        <w:rPr/>
        <w:t>надокнаде евентуалног губитка. Ово подразумева и потпуну имплементацију процедуре вођења одвојеног</w:t>
      </w:r>
      <w:r>
        <w:rPr>
          <w:spacing w:val="1"/>
        </w:rPr>
        <w:t> </w:t>
      </w:r>
      <w:r>
        <w:rPr/>
        <w:t>рачуноводства и алокације трошкова ЈПО дефинисане поштанским директивама ЕУ, у национално законодавство.</w:t>
      </w:r>
      <w:r>
        <w:rPr>
          <w:spacing w:val="-61"/>
        </w:rPr>
        <w:t> </w:t>
      </w:r>
      <w:r>
        <w:rPr/>
        <w:t>Након завршетка корпоратизације ЈПО и укидања РПУ, морају се анализирати трошкови пружања УПУ и дати</w:t>
      </w:r>
      <w:r>
        <w:rPr>
          <w:spacing w:val="1"/>
        </w:rPr>
        <w:t> </w:t>
      </w:r>
      <w:r>
        <w:rPr/>
        <w:t>предлог модела за њено финансирање.</w:t>
      </w:r>
    </w:p>
    <w:p>
      <w:pPr>
        <w:pStyle w:val="BodyText"/>
        <w:spacing w:before="143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line="396" w:lineRule="auto" w:before="141"/>
        <w:ind w:left="599" w:right="2088"/>
      </w:pPr>
      <w:r>
        <w:rPr/>
        <w:t>Активност 1: Пуна примена вођења одвојеног рачуноводства и алокације трошкова ЈПО</w:t>
      </w:r>
      <w:r>
        <w:rPr>
          <w:spacing w:val="-61"/>
        </w:rPr>
        <w:t> </w:t>
      </w:r>
      <w:r>
        <w:rPr/>
        <w:t>Активност 2: Прорачун трошкова пружања УПУ</w:t>
      </w:r>
    </w:p>
    <w:p>
      <w:pPr>
        <w:pStyle w:val="BodyText"/>
        <w:spacing w:line="396" w:lineRule="auto" w:before="0"/>
        <w:ind w:left="599" w:right="2447"/>
      </w:pPr>
      <w:r>
        <w:rPr/>
        <w:t>Активност 3: Анализа трошкова пружања УПУ након реструктурирања ЈПО</w:t>
      </w:r>
      <w:r>
        <w:rPr>
          <w:spacing w:val="1"/>
        </w:rPr>
        <w:t> </w:t>
      </w:r>
      <w:r>
        <w:rPr/>
        <w:t>Активност 4: Прорачун трошкова пружања УПУ у складу са смањењем обухвата РПУ</w:t>
      </w:r>
      <w:r>
        <w:rPr>
          <w:spacing w:val="-61"/>
        </w:rPr>
        <w:t> </w:t>
      </w:r>
      <w:r>
        <w:rPr/>
        <w:t>Активност 5: Израда предлога модела финансирања УПУ</w:t>
      </w:r>
    </w:p>
    <w:p>
      <w:pPr>
        <w:pStyle w:val="BodyText"/>
        <w:spacing w:before="175"/>
        <w:ind w:left="1004"/>
      </w:pPr>
      <w:r>
        <w:rPr>
          <w:w w:val="95"/>
        </w:rPr>
        <w:t>4</w:t>
      </w:r>
      <w:r>
        <w:rPr>
          <w:spacing w:val="-31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2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4</w:t>
      </w:r>
      <w:r>
        <w:rPr>
          <w:spacing w:val="-31"/>
          <w:w w:val="95"/>
        </w:rPr>
        <w:t> </w:t>
      </w:r>
      <w:r>
        <w:rPr>
          <w:w w:val="95"/>
        </w:rPr>
        <w:t>.</w:t>
      </w:r>
      <w:r>
        <w:rPr>
          <w:spacing w:val="70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1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1"/>
          <w:w w:val="95"/>
        </w:rPr>
        <w:t> </w:t>
      </w:r>
      <w:r>
        <w:rPr>
          <w:w w:val="95"/>
        </w:rPr>
        <w:t>г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69"/>
        </w:rPr>
        <w:t> </w:t>
      </w:r>
      <w:r>
        <w:rPr>
          <w:w w:val="95"/>
        </w:rPr>
        <w:t>4</w:t>
      </w:r>
      <w:r>
        <w:rPr>
          <w:spacing w:val="69"/>
        </w:rPr>
        <w:t> </w:t>
      </w:r>
      <w:r>
        <w:rPr>
          <w:w w:val="95"/>
        </w:rPr>
        <w:t>–</w:t>
      </w:r>
      <w:r>
        <w:rPr>
          <w:spacing w:val="70"/>
        </w:rPr>
        <w:t> </w:t>
      </w:r>
      <w:r>
        <w:rPr>
          <w:w w:val="95"/>
        </w:rPr>
        <w:t>С</w:t>
      </w:r>
      <w:r>
        <w:rPr>
          <w:spacing w:val="-31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1"/>
          <w:w w:val="95"/>
        </w:rPr>
        <w:t> </w:t>
      </w:r>
      <w:r>
        <w:rPr>
          <w:w w:val="95"/>
        </w:rPr>
        <w:t>г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69"/>
        </w:rPr>
        <w:t> </w:t>
      </w:r>
      <w:r>
        <w:rPr>
          <w:w w:val="95"/>
        </w:rPr>
        <w:t>к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п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з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ц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69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в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1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70"/>
        </w:rPr>
        <w:t> </w:t>
      </w:r>
      <w:r>
        <w:rPr>
          <w:w w:val="95"/>
        </w:rPr>
        <w:t>п</w:t>
      </w:r>
      <w:r>
        <w:rPr>
          <w:spacing w:val="-31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ш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1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к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69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п</w:t>
      </w:r>
      <w:r>
        <w:rPr>
          <w:spacing w:val="-31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1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а</w:t>
      </w:r>
    </w:p>
    <w:p>
      <w:pPr>
        <w:spacing w:after="0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130" w:firstLine="480"/>
      </w:pPr>
      <w:r>
        <w:rPr/>
        <w:t>Овом стратегијом обухваћено је спровођење процеса корпоратизације, тј. пословне и статусне</w:t>
      </w:r>
      <w:r>
        <w:rPr>
          <w:spacing w:val="1"/>
        </w:rPr>
        <w:t> </w:t>
      </w:r>
      <w:r>
        <w:rPr/>
        <w:t>трансформације</w:t>
      </w:r>
      <w:r>
        <w:rPr>
          <w:spacing w:val="-3"/>
        </w:rPr>
        <w:t> </w:t>
      </w:r>
      <w:r>
        <w:rPr/>
        <w:t>ЈПО</w:t>
      </w:r>
      <w:r>
        <w:rPr>
          <w:spacing w:val="-2"/>
        </w:rPr>
        <w:t> </w:t>
      </w:r>
      <w:r>
        <w:rPr/>
        <w:t>сагласно</w:t>
      </w:r>
      <w:r>
        <w:rPr>
          <w:spacing w:val="-2"/>
        </w:rPr>
        <w:t> </w:t>
      </w:r>
      <w:r>
        <w:rPr/>
        <w:t>одредбама</w:t>
      </w:r>
      <w:r>
        <w:rPr>
          <w:spacing w:val="-3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јавној</w:t>
      </w:r>
      <w:r>
        <w:rPr>
          <w:spacing w:val="-3"/>
        </w:rPr>
        <w:t> </w:t>
      </w:r>
      <w:r>
        <w:rPr/>
        <w:t>својини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3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72/11)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60"/>
        </w:rPr>
        <w:t> </w:t>
      </w:r>
      <w:r>
        <w:rPr/>
        <w:t>јавним предузећима („Службени гласник РС”, број 119/12), као и на бази одлуке о покретању поступка</w:t>
      </w:r>
      <w:r>
        <w:rPr>
          <w:spacing w:val="1"/>
        </w:rPr>
        <w:t> </w:t>
      </w:r>
      <w:r>
        <w:rPr/>
        <w:t>трансформације донете од стране Владе. У том смислу потребно је спровести поступак процене вредности</w:t>
      </w:r>
      <w:r>
        <w:rPr>
          <w:spacing w:val="1"/>
        </w:rPr>
        <w:t> </w:t>
      </w:r>
      <w:r>
        <w:rPr/>
        <w:t>државне имовине коју тренутно користи ЈПО и која ће бити предмет оснивачког улога Републике Србије, након</w:t>
      </w:r>
      <w:r>
        <w:rPr>
          <w:spacing w:val="1"/>
        </w:rPr>
        <w:t> </w:t>
      </w:r>
      <w:r>
        <w:rPr/>
        <w:t>чега би следила одговарајућа промена оснивачког акта, статута ЈПО и организовање ЈПО као акционарског</w:t>
      </w:r>
      <w:r>
        <w:rPr>
          <w:spacing w:val="1"/>
        </w:rPr>
        <w:t> </w:t>
      </w:r>
      <w:r>
        <w:rPr/>
        <w:t>друштва са дводомним управљањем. У наредним корацима, Влада требала би да предузме све активности и мере</w:t>
      </w:r>
      <w:r>
        <w:rPr>
          <w:spacing w:val="-61"/>
        </w:rPr>
        <w:t> </w:t>
      </w:r>
      <w:r>
        <w:rPr/>
        <w:t>неопходне за обезбеђивање услова за самостално деловање ЈПО на поштанском тржишту.</w:t>
      </w:r>
    </w:p>
    <w:p>
      <w:pPr>
        <w:pStyle w:val="BodyText"/>
        <w:spacing w:before="143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before="141"/>
        <w:ind w:left="599"/>
      </w:pPr>
      <w:r>
        <w:rPr/>
        <w:t>Активност 1: Спровођење корпоратизације ЈПО</w:t>
      </w:r>
    </w:p>
    <w:p>
      <w:pPr>
        <w:pStyle w:val="BodyText"/>
        <w:spacing w:before="141"/>
        <w:ind w:left="599"/>
      </w:pPr>
      <w:r>
        <w:rPr/>
        <w:t>Активност 2: Обезбеђивање услова за самостално деловање ЈПО на поштанском тржишту</w:t>
      </w:r>
    </w:p>
    <w:p>
      <w:pPr>
        <w:pStyle w:val="BodyText"/>
        <w:spacing w:before="0"/>
        <w:ind w:left="0"/>
        <w:rPr>
          <w:sz w:val="27"/>
        </w:rPr>
      </w:pPr>
    </w:p>
    <w:p>
      <w:pPr>
        <w:pStyle w:val="BodyText"/>
        <w:spacing w:line="230" w:lineRule="auto" w:before="0"/>
        <w:ind w:left="3228" w:right="2502" w:hanging="356"/>
      </w:pPr>
      <w:r>
        <w:rPr>
          <w:w w:val="95"/>
        </w:rPr>
        <w:t>4</w:t>
      </w:r>
      <w:r>
        <w:rPr>
          <w:spacing w:val="-31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2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-31"/>
          <w:w w:val="95"/>
        </w:rPr>
        <w:t> </w:t>
      </w:r>
      <w:r>
        <w:rPr>
          <w:w w:val="95"/>
        </w:rPr>
        <w:t>5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13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69"/>
        </w:rPr>
        <w:t> </w:t>
      </w:r>
      <w:r>
        <w:rPr>
          <w:w w:val="95"/>
        </w:rPr>
        <w:t>5</w:t>
      </w:r>
      <w:r>
        <w:rPr>
          <w:spacing w:val="69"/>
        </w:rPr>
        <w:t> </w:t>
      </w:r>
      <w:r>
        <w:rPr>
          <w:w w:val="95"/>
        </w:rPr>
        <w:t>–</w:t>
      </w:r>
      <w:r>
        <w:rPr>
          <w:spacing w:val="69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69"/>
        </w:rPr>
        <w:t> </w:t>
      </w:r>
      <w:r>
        <w:rPr>
          <w:w w:val="95"/>
        </w:rPr>
        <w:t>м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1"/>
          <w:w w:val="95"/>
        </w:rPr>
        <w:t> </w:t>
      </w:r>
      <w:r>
        <w:rPr>
          <w:w w:val="95"/>
        </w:rPr>
        <w:t>д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з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1"/>
          <w:w w:val="95"/>
        </w:rPr>
        <w:t> </w:t>
      </w:r>
      <w:r>
        <w:rPr>
          <w:w w:val="95"/>
        </w:rPr>
        <w:t>ц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58"/>
          <w:w w:val="95"/>
        </w:rPr>
        <w:t> </w:t>
      </w:r>
      <w:r>
        <w:rPr>
          <w:w w:val="95"/>
        </w:rPr>
        <w:t>и</w:t>
      </w:r>
      <w:r>
        <w:rPr>
          <w:spacing w:val="9"/>
          <w:w w:val="95"/>
        </w:rPr>
        <w:t> </w:t>
      </w:r>
      <w:r>
        <w:rPr>
          <w:w w:val="95"/>
        </w:rPr>
        <w:t>д</w:t>
      </w:r>
      <w:r>
        <w:rPr>
          <w:spacing w:val="-32"/>
          <w:w w:val="95"/>
        </w:rPr>
        <w:t> </w:t>
      </w:r>
      <w:r>
        <w:rPr>
          <w:w w:val="95"/>
        </w:rPr>
        <w:t>и</w:t>
      </w:r>
      <w:r>
        <w:rPr>
          <w:spacing w:val="-31"/>
          <w:w w:val="95"/>
        </w:rPr>
        <w:t> </w:t>
      </w:r>
      <w:r>
        <w:rPr>
          <w:w w:val="95"/>
        </w:rPr>
        <w:t>в</w:t>
      </w:r>
      <w:r>
        <w:rPr>
          <w:spacing w:val="-32"/>
          <w:w w:val="95"/>
        </w:rPr>
        <w:t> </w:t>
      </w:r>
      <w:r>
        <w:rPr>
          <w:w w:val="95"/>
        </w:rPr>
        <w:t>е</w:t>
      </w:r>
      <w:r>
        <w:rPr>
          <w:spacing w:val="-31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с</w:t>
      </w:r>
      <w:r>
        <w:rPr>
          <w:spacing w:val="-32"/>
          <w:w w:val="95"/>
        </w:rPr>
        <w:t> </w:t>
      </w:r>
      <w:r>
        <w:rPr>
          <w:w w:val="95"/>
        </w:rPr>
        <w:t>и</w:t>
      </w:r>
      <w:r>
        <w:rPr>
          <w:spacing w:val="-31"/>
          <w:w w:val="95"/>
        </w:rPr>
        <w:t> </w:t>
      </w:r>
      <w:r>
        <w:rPr>
          <w:w w:val="95"/>
        </w:rPr>
        <w:t>ф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-32"/>
          <w:w w:val="95"/>
        </w:rPr>
        <w:t> </w:t>
      </w:r>
      <w:r>
        <w:rPr>
          <w:w w:val="95"/>
        </w:rPr>
        <w:t>к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-31"/>
          <w:w w:val="95"/>
        </w:rPr>
        <w:t> </w:t>
      </w:r>
      <w:r>
        <w:rPr>
          <w:w w:val="95"/>
        </w:rPr>
        <w:t>ц</w:t>
      </w:r>
      <w:r>
        <w:rPr>
          <w:spacing w:val="-32"/>
          <w:w w:val="95"/>
        </w:rPr>
        <w:t> </w:t>
      </w:r>
      <w:r>
        <w:rPr>
          <w:w w:val="95"/>
        </w:rPr>
        <w:t>и</w:t>
      </w:r>
      <w:r>
        <w:rPr>
          <w:spacing w:val="-31"/>
          <w:w w:val="95"/>
        </w:rPr>
        <w:t> </w:t>
      </w:r>
      <w:r>
        <w:rPr>
          <w:w w:val="95"/>
        </w:rPr>
        <w:t>ј</w:t>
      </w:r>
      <w:r>
        <w:rPr>
          <w:spacing w:val="-32"/>
          <w:w w:val="95"/>
        </w:rPr>
        <w:t> </w:t>
      </w:r>
      <w:r>
        <w:rPr>
          <w:w w:val="95"/>
        </w:rPr>
        <w:t>е</w:t>
      </w:r>
      <w:r>
        <w:rPr>
          <w:spacing w:val="8"/>
          <w:w w:val="95"/>
        </w:rPr>
        <w:t> </w:t>
      </w:r>
      <w:r>
        <w:rPr>
          <w:w w:val="95"/>
        </w:rPr>
        <w:t>п</w:t>
      </w:r>
      <w:r>
        <w:rPr>
          <w:spacing w:val="-31"/>
          <w:w w:val="95"/>
        </w:rPr>
        <w:t> </w:t>
      </w:r>
      <w:r>
        <w:rPr>
          <w:w w:val="95"/>
        </w:rPr>
        <w:t>о</w:t>
      </w:r>
      <w:r>
        <w:rPr>
          <w:spacing w:val="-31"/>
          <w:w w:val="95"/>
        </w:rPr>
        <w:t> </w:t>
      </w:r>
      <w:r>
        <w:rPr>
          <w:w w:val="95"/>
        </w:rPr>
        <w:t>ш</w:t>
      </w:r>
      <w:r>
        <w:rPr>
          <w:spacing w:val="-32"/>
          <w:w w:val="95"/>
        </w:rPr>
        <w:t> </w:t>
      </w:r>
      <w:r>
        <w:rPr>
          <w:w w:val="95"/>
        </w:rPr>
        <w:t>т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-31"/>
          <w:w w:val="95"/>
        </w:rPr>
        <w:t> </w:t>
      </w:r>
      <w:r>
        <w:rPr>
          <w:w w:val="95"/>
        </w:rPr>
        <w:t>н</w:t>
      </w:r>
      <w:r>
        <w:rPr>
          <w:spacing w:val="-32"/>
          <w:w w:val="95"/>
        </w:rPr>
        <w:t> </w:t>
      </w:r>
      <w:r>
        <w:rPr>
          <w:w w:val="95"/>
        </w:rPr>
        <w:t>с</w:t>
      </w:r>
      <w:r>
        <w:rPr>
          <w:spacing w:val="-31"/>
          <w:w w:val="95"/>
        </w:rPr>
        <w:t> </w:t>
      </w:r>
      <w:r>
        <w:rPr>
          <w:w w:val="95"/>
        </w:rPr>
        <w:t>к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-32"/>
          <w:w w:val="95"/>
        </w:rPr>
        <w:t> </w:t>
      </w:r>
      <w:r>
        <w:rPr>
          <w:w w:val="95"/>
        </w:rPr>
        <w:t>х</w:t>
      </w:r>
      <w:r>
        <w:rPr>
          <w:spacing w:val="8"/>
          <w:w w:val="95"/>
        </w:rPr>
        <w:t> </w:t>
      </w:r>
      <w:r>
        <w:rPr>
          <w:w w:val="95"/>
        </w:rPr>
        <w:t>у</w:t>
      </w:r>
      <w:r>
        <w:rPr>
          <w:spacing w:val="-31"/>
          <w:w w:val="95"/>
        </w:rPr>
        <w:t> </w:t>
      </w:r>
      <w:r>
        <w:rPr>
          <w:w w:val="95"/>
        </w:rPr>
        <w:t>с</w:t>
      </w:r>
      <w:r>
        <w:rPr>
          <w:spacing w:val="-32"/>
          <w:w w:val="95"/>
        </w:rPr>
        <w:t> </w:t>
      </w:r>
      <w:r>
        <w:rPr>
          <w:w w:val="95"/>
        </w:rPr>
        <w:t>л</w:t>
      </w:r>
      <w:r>
        <w:rPr>
          <w:spacing w:val="-31"/>
          <w:w w:val="95"/>
        </w:rPr>
        <w:t> </w:t>
      </w:r>
      <w:r>
        <w:rPr>
          <w:w w:val="95"/>
        </w:rPr>
        <w:t>у</w:t>
      </w:r>
      <w:r>
        <w:rPr>
          <w:spacing w:val="-31"/>
          <w:w w:val="95"/>
        </w:rPr>
        <w:t> </w:t>
      </w:r>
      <w:r>
        <w:rPr>
          <w:w w:val="95"/>
        </w:rPr>
        <w:t>г</w:t>
      </w:r>
      <w:r>
        <w:rPr>
          <w:spacing w:val="-32"/>
          <w:w w:val="95"/>
        </w:rPr>
        <w:t> </w:t>
      </w:r>
      <w:r>
        <w:rPr>
          <w:w w:val="95"/>
        </w:rPr>
        <w:t>а</w:t>
      </w:r>
    </w:p>
    <w:p>
      <w:pPr>
        <w:pStyle w:val="BodyText"/>
        <w:spacing w:line="230" w:lineRule="auto" w:before="120"/>
        <w:ind w:right="185" w:firstLine="480"/>
      </w:pPr>
      <w:r>
        <w:rPr/>
        <w:t>Имајући у виду да број поштанских услуга како на глобалном нивоу, тако и у већини (поготово развијених)</w:t>
      </w:r>
      <w:r>
        <w:rPr>
          <w:spacing w:val="-61"/>
        </w:rPr>
        <w:t> </w:t>
      </w:r>
      <w:r>
        <w:rPr/>
        <w:t>земаља има негативан тренд у последњих неколико година, већина ПО приступила је диверсификацији својих</w:t>
      </w:r>
      <w:r>
        <w:rPr>
          <w:spacing w:val="1"/>
        </w:rPr>
        <w:t> </w:t>
      </w:r>
      <w:r>
        <w:rPr/>
        <w:t>сервиса. С друге стране, поштански сектор се налази у веома доброј стратешкој позицији, имајући у виду да</w:t>
      </w:r>
      <w:r>
        <w:rPr>
          <w:spacing w:val="1"/>
        </w:rPr>
        <w:t> </w:t>
      </w:r>
      <w:r>
        <w:rPr/>
        <w:t>глобална секторска повезаност, као и приступ интернету отварају нове пословне могућности. Све ово</w:t>
      </w:r>
      <w:r>
        <w:rPr>
          <w:spacing w:val="1"/>
        </w:rPr>
        <w:t> </w:t>
      </w:r>
      <w:r>
        <w:rPr/>
        <w:t>представља повољну климу за развој нових и модернизацију постојећих сервиса.</w:t>
      </w:r>
    </w:p>
    <w:p>
      <w:pPr>
        <w:pStyle w:val="BodyText"/>
        <w:spacing w:line="230" w:lineRule="auto"/>
        <w:ind w:right="353" w:firstLine="480"/>
      </w:pPr>
      <w:r>
        <w:rPr/>
        <w:t>Иако се у овом процесу већина ПО суочава са читавим низом проблема, период између два конгреса</w:t>
      </w:r>
      <w:r>
        <w:rPr>
          <w:spacing w:val="1"/>
        </w:rPr>
        <w:t> </w:t>
      </w:r>
      <w:r>
        <w:rPr/>
        <w:t>(Женева – Доха) показао је да се НПО који су проширили своје активности и инвестирали у тродимензионалну</w:t>
      </w:r>
      <w:r>
        <w:rPr>
          <w:spacing w:val="-61"/>
        </w:rPr>
        <w:t> </w:t>
      </w:r>
      <w:r>
        <w:rPr/>
        <w:t>поштанску мрежу (физичку, финансијску и електронску) налазе се тренутно у бољој позицији од осталих.</w:t>
      </w:r>
    </w:p>
    <w:p>
      <w:pPr>
        <w:pStyle w:val="BodyText"/>
        <w:spacing w:line="230" w:lineRule="auto"/>
        <w:ind w:right="202" w:firstLine="480"/>
      </w:pPr>
      <w:r>
        <w:rPr/>
        <w:t>Процес модернизације и диверсификације поштанских услуга није једноставан и већина ПО се суочава са</w:t>
      </w:r>
      <w:r>
        <w:rPr>
          <w:spacing w:val="1"/>
        </w:rPr>
        <w:t> </w:t>
      </w:r>
      <w:r>
        <w:rPr/>
        <w:t>читавим низом проблема. С тим у вези, потребно је да ЈПО и ПО, уз подршку Владе и РАПУС-а, развијају студије</w:t>
      </w:r>
      <w:r>
        <w:rPr>
          <w:spacing w:val="-61"/>
        </w:rPr>
        <w:t> </w:t>
      </w:r>
      <w:r>
        <w:rPr/>
        <w:t>о новим поштанским услугама, имајући у виду ЕУ искуства најбоље праксе.</w:t>
      </w:r>
    </w:p>
    <w:p>
      <w:pPr>
        <w:pStyle w:val="BodyText"/>
        <w:spacing w:before="143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before="141"/>
        <w:ind w:left="599"/>
      </w:pPr>
      <w:r>
        <w:rPr/>
        <w:t>Активност 1: Израда пројеката и студија у циљу развијања нових поштанских услуга</w:t>
      </w:r>
    </w:p>
    <w:p>
      <w:pPr>
        <w:pStyle w:val="BodyText"/>
        <w:spacing w:line="230" w:lineRule="auto" w:before="149"/>
        <w:ind w:right="272" w:firstLine="480"/>
      </w:pPr>
      <w:r>
        <w:rPr/>
        <w:t>Активност 2: Преузимање искустава најбоље праксе држава чланица ЕУ у вези са савременим поштанским</w:t>
      </w:r>
      <w:r>
        <w:rPr>
          <w:spacing w:val="-61"/>
        </w:rPr>
        <w:t> </w:t>
      </w:r>
      <w:r>
        <w:rPr/>
        <w:t>технологијама и анализа могућности примене истих у Републици Србији</w:t>
      </w:r>
    </w:p>
    <w:p>
      <w:pPr>
        <w:pStyle w:val="BodyText"/>
        <w:spacing w:before="143"/>
        <w:ind w:left="599"/>
      </w:pPr>
      <w:r>
        <w:rPr/>
        <w:t>Активност 3: Израда студија имплементације нових поштанских услуга</w:t>
      </w:r>
    </w:p>
    <w:p>
      <w:pPr>
        <w:pStyle w:val="BodyText"/>
        <w:spacing w:before="3"/>
        <w:ind w:left="0"/>
        <w:rPr>
          <w:sz w:val="17"/>
        </w:rPr>
      </w:pPr>
    </w:p>
    <w:p>
      <w:pPr>
        <w:pStyle w:val="BodyText"/>
        <w:spacing w:line="330" w:lineRule="atLeast" w:before="0"/>
        <w:ind w:left="599" w:right="429" w:firstLine="509"/>
      </w:pP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6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6</w:t>
      </w:r>
      <w:r>
        <w:rPr>
          <w:spacing w:val="53"/>
        </w:rPr>
        <w:t> </w:t>
      </w:r>
      <w:r>
        <w:rPr/>
        <w:t>–</w:t>
      </w:r>
      <w:r>
        <w:rPr>
          <w:spacing w:val="54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о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ж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и</w:t>
      </w:r>
      <w:r>
        <w:rPr>
          <w:spacing w:val="53"/>
        </w:rPr>
        <w:t> </w:t>
      </w:r>
      <w:r>
        <w:rPr/>
        <w:t>и</w:t>
      </w:r>
      <w:r>
        <w:rPr>
          <w:spacing w:val="53"/>
        </w:rPr>
        <w:t> </w:t>
      </w:r>
      <w:r>
        <w:rPr/>
        <w:t>е</w:t>
      </w:r>
      <w:r>
        <w:rPr>
          <w:spacing w:val="-37"/>
        </w:rPr>
        <w:t> </w:t>
      </w:r>
      <w:r>
        <w:rPr/>
        <w:t>ф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и</w:t>
      </w:r>
      <w:r>
        <w:rPr>
          <w:spacing w:val="54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м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ж</w:t>
      </w:r>
      <w:r>
        <w:rPr>
          <w:spacing w:val="-37"/>
        </w:rPr>
        <w:t> </w:t>
      </w:r>
      <w:r>
        <w:rPr/>
        <w:t>е</w:t>
      </w:r>
      <w:r>
        <w:rPr>
          <w:spacing w:val="1"/>
        </w:rPr>
        <w:t> </w:t>
      </w:r>
      <w:r>
        <w:rPr/>
        <w:t>СПС</w:t>
      </w:r>
      <w:r>
        <w:rPr>
          <w:spacing w:val="-2"/>
        </w:rPr>
        <w:t> </w:t>
      </w:r>
      <w:r>
        <w:rPr/>
        <w:t>питањима</w:t>
      </w:r>
      <w:r>
        <w:rPr>
          <w:spacing w:val="-1"/>
        </w:rPr>
        <w:t> </w:t>
      </w:r>
      <w:r>
        <w:rPr/>
        <w:t>одрживог</w:t>
      </w:r>
      <w:r>
        <w:rPr>
          <w:spacing w:val="-1"/>
        </w:rPr>
        <w:t> </w:t>
      </w:r>
      <w:r>
        <w:rPr/>
        <w:t>развоја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поштанском</w:t>
      </w:r>
      <w:r>
        <w:rPr>
          <w:spacing w:val="-1"/>
        </w:rPr>
        <w:t> </w:t>
      </w:r>
      <w:r>
        <w:rPr/>
        <w:t>сектору</w:t>
      </w:r>
      <w:r>
        <w:rPr>
          <w:spacing w:val="-1"/>
        </w:rPr>
        <w:t> </w:t>
      </w:r>
      <w:r>
        <w:rPr/>
        <w:t>бави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још</w:t>
      </w:r>
      <w:r>
        <w:rPr>
          <w:spacing w:val="-1"/>
        </w:rPr>
        <w:t> </w:t>
      </w:r>
      <w:r>
        <w:rPr/>
        <w:t>од</w:t>
      </w:r>
      <w:r>
        <w:rPr>
          <w:spacing w:val="-1"/>
        </w:rPr>
        <w:t> </w:t>
      </w:r>
      <w:r>
        <w:rPr/>
        <w:t>1994.</w:t>
      </w:r>
      <w:r>
        <w:rPr>
          <w:spacing w:val="-1"/>
        </w:rPr>
        <w:t> </w:t>
      </w:r>
      <w:r>
        <w:rPr/>
        <w:t>године,</w:t>
      </w:r>
      <w:r>
        <w:rPr>
          <w:spacing w:val="-1"/>
        </w:rPr>
        <w:t> </w:t>
      </w:r>
      <w:r>
        <w:rPr/>
        <w:t>а</w:t>
      </w:r>
      <w:r>
        <w:rPr>
          <w:spacing w:val="-1"/>
        </w:rPr>
        <w:t> </w:t>
      </w:r>
      <w:r>
        <w:rPr/>
        <w:t>један</w:t>
      </w:r>
      <w:r>
        <w:rPr>
          <w:spacing w:val="-1"/>
        </w:rPr>
        <w:t> </w:t>
      </w:r>
      <w:r>
        <w:rPr/>
        <w:t>од</w:t>
      </w:r>
      <w:r>
        <w:rPr>
          <w:spacing w:val="-1"/>
        </w:rPr>
        <w:t> </w:t>
      </w:r>
      <w:r>
        <w:rPr/>
        <w:t>кључних</w:t>
      </w:r>
    </w:p>
    <w:p>
      <w:pPr>
        <w:pStyle w:val="BodyText"/>
        <w:spacing w:line="230" w:lineRule="auto" w:before="0"/>
        <w:ind w:right="167"/>
      </w:pPr>
      <w:r>
        <w:rPr/>
        <w:t>закључака Доха поштанске стратегије из 2012. године јесте да одржив развој остаје релевантан за поштански</w:t>
      </w:r>
      <w:r>
        <w:rPr>
          <w:spacing w:val="1"/>
        </w:rPr>
        <w:t> </w:t>
      </w:r>
      <w:r>
        <w:rPr/>
        <w:t>сектор. У том смислу, препорука је да се одржив развој схвати и примени мултидимензионално и на тај начин да</w:t>
      </w:r>
      <w:r>
        <w:rPr>
          <w:spacing w:val="-61"/>
        </w:rPr>
        <w:t> </w:t>
      </w:r>
      <w:r>
        <w:rPr/>
        <w:t>би поред еколошког и друштвеног аспекта били обухваћени и модели одрживог поштанског пословања.</w:t>
      </w:r>
    </w:p>
    <w:p>
      <w:pPr>
        <w:pStyle w:val="BodyText"/>
        <w:spacing w:line="230" w:lineRule="auto" w:before="0"/>
        <w:ind w:right="831"/>
        <w:jc w:val="both"/>
      </w:pPr>
      <w:r>
        <w:rPr/>
        <w:t>Последњих година је СПС проширио своје еколошке активности кроз промоцију најбоље праксе и мерење</w:t>
      </w:r>
      <w:r>
        <w:rPr>
          <w:spacing w:val="-61"/>
        </w:rPr>
        <w:t> </w:t>
      </w:r>
      <w:r>
        <w:rPr/>
        <w:t>утицаја поштанског сектора на животну средину. Стратегија из Дохе, у оквиру реализације циља „Јачање</w:t>
      </w:r>
      <w:r>
        <w:rPr>
          <w:spacing w:val="-61"/>
        </w:rPr>
        <w:t> </w:t>
      </w:r>
      <w:r>
        <w:rPr/>
        <w:t>одрживог развоја поштанског сектора” предвиђа следеће основне правце и иницијативе:</w:t>
      </w:r>
    </w:p>
    <w:p>
      <w:pPr>
        <w:pStyle w:val="ListParagraph"/>
        <w:numPr>
          <w:ilvl w:val="0"/>
          <w:numId w:val="20"/>
        </w:numPr>
        <w:tabs>
          <w:tab w:pos="844" w:val="left" w:leader="none"/>
        </w:tabs>
        <w:spacing w:line="240" w:lineRule="auto" w:before="141" w:after="0"/>
        <w:ind w:left="843" w:right="0" w:hanging="245"/>
        <w:jc w:val="left"/>
        <w:rPr>
          <w:sz w:val="18"/>
        </w:rPr>
      </w:pPr>
      <w:r>
        <w:rPr>
          <w:sz w:val="18"/>
        </w:rPr>
        <w:t>Мониторинг и подизање свести о утицају поштанских активности на животну средину;</w:t>
      </w:r>
    </w:p>
    <w:p>
      <w:pPr>
        <w:pStyle w:val="ListParagraph"/>
        <w:numPr>
          <w:ilvl w:val="0"/>
          <w:numId w:val="20"/>
        </w:numPr>
        <w:tabs>
          <w:tab w:pos="844" w:val="left" w:leader="none"/>
        </w:tabs>
        <w:spacing w:line="240" w:lineRule="auto" w:before="141" w:after="0"/>
        <w:ind w:left="843" w:right="0" w:hanging="245"/>
        <w:jc w:val="left"/>
        <w:rPr>
          <w:sz w:val="18"/>
        </w:rPr>
      </w:pPr>
      <w:r>
        <w:rPr>
          <w:sz w:val="18"/>
        </w:rPr>
        <w:t>Подршка иницијативама које се односе на друштвену димензију одрживости;</w:t>
      </w:r>
    </w:p>
    <w:p>
      <w:pPr>
        <w:pStyle w:val="ListParagraph"/>
        <w:numPr>
          <w:ilvl w:val="0"/>
          <w:numId w:val="20"/>
        </w:numPr>
        <w:tabs>
          <w:tab w:pos="844" w:val="left" w:leader="none"/>
        </w:tabs>
        <w:spacing w:line="240" w:lineRule="auto" w:before="142" w:after="0"/>
        <w:ind w:left="843" w:right="0" w:hanging="245"/>
        <w:jc w:val="left"/>
        <w:rPr>
          <w:sz w:val="18"/>
        </w:rPr>
      </w:pPr>
      <w:r>
        <w:rPr>
          <w:sz w:val="18"/>
        </w:rPr>
        <w:t>Провера да ли се производи и услуге поштанског сектора користе на одржив начин;</w:t>
      </w:r>
    </w:p>
    <w:p>
      <w:pPr>
        <w:pStyle w:val="ListParagraph"/>
        <w:numPr>
          <w:ilvl w:val="0"/>
          <w:numId w:val="20"/>
        </w:numPr>
        <w:tabs>
          <w:tab w:pos="844" w:val="left" w:leader="none"/>
        </w:tabs>
        <w:spacing w:line="230" w:lineRule="auto" w:before="148" w:after="0"/>
        <w:ind w:left="119" w:right="1223" w:firstLine="480"/>
        <w:jc w:val="left"/>
        <w:rPr>
          <w:sz w:val="18"/>
        </w:rPr>
      </w:pPr>
      <w:r>
        <w:rPr>
          <w:sz w:val="18"/>
        </w:rPr>
        <w:t>Имплементација кампања са циљем подизања свести о одговорности према животној средини,</w:t>
      </w:r>
      <w:r>
        <w:rPr>
          <w:spacing w:val="-62"/>
          <w:sz w:val="18"/>
        </w:rPr>
        <w:t> </w:t>
      </w:r>
      <w:r>
        <w:rPr>
          <w:sz w:val="18"/>
        </w:rPr>
        <w:t>корпорацији и друштву;</w:t>
      </w:r>
    </w:p>
    <w:p>
      <w:pPr>
        <w:pStyle w:val="ListParagraph"/>
        <w:numPr>
          <w:ilvl w:val="0"/>
          <w:numId w:val="20"/>
        </w:numPr>
        <w:tabs>
          <w:tab w:pos="844" w:val="left" w:leader="none"/>
        </w:tabs>
        <w:spacing w:line="240" w:lineRule="auto" w:before="143" w:after="0"/>
        <w:ind w:left="843" w:right="0" w:hanging="245"/>
        <w:jc w:val="left"/>
        <w:rPr>
          <w:sz w:val="18"/>
        </w:rPr>
      </w:pPr>
      <w:r>
        <w:rPr>
          <w:sz w:val="18"/>
        </w:rPr>
        <w:t>Формирање база података о сопственим карбон отисцима;</w:t>
      </w:r>
    </w:p>
    <w:p>
      <w:pPr>
        <w:pStyle w:val="ListParagraph"/>
        <w:numPr>
          <w:ilvl w:val="0"/>
          <w:numId w:val="20"/>
        </w:numPr>
        <w:tabs>
          <w:tab w:pos="844" w:val="left" w:leader="none"/>
        </w:tabs>
        <w:spacing w:line="240" w:lineRule="auto" w:before="141" w:after="0"/>
        <w:ind w:left="843" w:right="0" w:hanging="245"/>
        <w:jc w:val="left"/>
        <w:rPr>
          <w:sz w:val="18"/>
        </w:rPr>
      </w:pPr>
      <w:r>
        <w:rPr>
          <w:sz w:val="18"/>
        </w:rPr>
        <w:t>Предлог акција које треба предузети у поштанском сектору за смањење укупног карбонског отиска.</w:t>
      </w:r>
    </w:p>
    <w:p>
      <w:pPr>
        <w:pStyle w:val="BodyText"/>
        <w:spacing w:line="230" w:lineRule="auto" w:before="149"/>
        <w:ind w:right="482" w:firstLine="480"/>
      </w:pPr>
      <w:r>
        <w:rPr/>
        <w:t>Имајући у виду да се одрживом развоју поштанског сектора у Републици Србији до сада није поклањала</w:t>
      </w:r>
      <w:r>
        <w:rPr>
          <w:spacing w:val="-61"/>
        </w:rPr>
        <w:t> </w:t>
      </w:r>
      <w:r>
        <w:rPr/>
        <w:t>довољна пажња потребно је покренути активности у циљу подстицања истог.</w:t>
      </w:r>
    </w:p>
    <w:p>
      <w:pPr>
        <w:pStyle w:val="BodyText"/>
        <w:spacing w:before="142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line="396" w:lineRule="auto" w:before="142"/>
        <w:ind w:left="599" w:right="3970"/>
      </w:pPr>
      <w:r>
        <w:rPr/>
        <w:t>Активност 1: Подизање свести и друштвено одговорно пословање</w:t>
      </w:r>
      <w:r>
        <w:rPr>
          <w:spacing w:val="1"/>
        </w:rPr>
        <w:t> </w:t>
      </w:r>
      <w:r>
        <w:rPr/>
        <w:t>Активност</w:t>
      </w:r>
      <w:r>
        <w:rPr>
          <w:spacing w:val="-2"/>
        </w:rPr>
        <w:t> </w:t>
      </w:r>
      <w:r>
        <w:rPr/>
        <w:t>2:</w:t>
      </w:r>
      <w:r>
        <w:rPr>
          <w:spacing w:val="-2"/>
        </w:rPr>
        <w:t> </w:t>
      </w:r>
      <w:r>
        <w:rPr/>
        <w:t>Едукација</w:t>
      </w:r>
      <w:r>
        <w:rPr>
          <w:spacing w:val="-2"/>
        </w:rPr>
        <w:t> </w:t>
      </w:r>
      <w:r>
        <w:rPr/>
        <w:t>унутар</w:t>
      </w:r>
      <w:r>
        <w:rPr>
          <w:spacing w:val="-2"/>
        </w:rPr>
        <w:t> </w:t>
      </w:r>
      <w:r>
        <w:rPr/>
        <w:t>поштанског</w:t>
      </w:r>
      <w:r>
        <w:rPr>
          <w:spacing w:val="-2"/>
        </w:rPr>
        <w:t> </w:t>
      </w:r>
      <w:r>
        <w:rPr/>
        <w:t>сектора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јавне</w:t>
      </w:r>
      <w:r>
        <w:rPr>
          <w:spacing w:val="-2"/>
        </w:rPr>
        <w:t> </w:t>
      </w:r>
      <w:r>
        <w:rPr/>
        <w:t>кампање</w:t>
      </w:r>
    </w:p>
    <w:p>
      <w:pPr>
        <w:pStyle w:val="BodyText"/>
        <w:spacing w:line="217" w:lineRule="exact" w:before="0"/>
        <w:ind w:left="599"/>
      </w:pPr>
      <w:r>
        <w:rPr/>
        <w:t>Активност 3: Квантификовање утицаја свих елемената пословања поштанског сектора на животну средину</w:t>
      </w:r>
    </w:p>
    <w:p>
      <w:pPr>
        <w:spacing w:after="0" w:line="217" w:lineRule="exact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left="2426" w:right="229" w:hanging="1711"/>
      </w:pP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7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7</w:t>
      </w:r>
      <w:r>
        <w:rPr>
          <w:spacing w:val="53"/>
        </w:rPr>
        <w:t> </w:t>
      </w:r>
      <w:r>
        <w:rPr/>
        <w:t>–</w:t>
      </w:r>
      <w:r>
        <w:rPr>
          <w:spacing w:val="54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д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њ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к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54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х</w:t>
      </w:r>
      <w:r>
        <w:rPr>
          <w:spacing w:val="53"/>
        </w:rPr>
        <w:t> </w:t>
      </w:r>
      <w:r>
        <w:rPr/>
        <w:t>у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а</w:t>
      </w:r>
      <w:r>
        <w:rPr>
          <w:spacing w:val="-60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х</w:t>
      </w:r>
      <w:r>
        <w:rPr>
          <w:spacing w:val="53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м</w:t>
      </w:r>
      <w:r>
        <w:rPr>
          <w:spacing w:val="53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ж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у</w:t>
      </w:r>
      <w:r>
        <w:rPr>
          <w:spacing w:val="54"/>
        </w:rPr>
        <w:t> </w:t>
      </w:r>
      <w:r>
        <w:rPr/>
        <w:t>Е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у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е</w:t>
      </w:r>
    </w:p>
    <w:p>
      <w:pPr>
        <w:pStyle w:val="BodyText"/>
        <w:spacing w:line="230" w:lineRule="auto" w:before="120"/>
        <w:ind w:right="596" w:firstLine="480"/>
      </w:pPr>
      <w:r>
        <w:rPr/>
        <w:t>Крајем двадесетог века Европска комисија је у Зеленој књизи констатовала да је квалитет поштанских</w:t>
      </w:r>
      <w:r>
        <w:rPr>
          <w:spacing w:val="-61"/>
        </w:rPr>
        <w:t> </w:t>
      </w:r>
      <w:r>
        <w:rPr/>
        <w:t>услуга низак, да у фокусу нису корисници, да су НПО неефикасни, односно да се концепт УПУ неуједначено</w:t>
      </w:r>
      <w:r>
        <w:rPr>
          <w:spacing w:val="-61"/>
        </w:rPr>
        <w:t> </w:t>
      </w:r>
      <w:r>
        <w:rPr/>
        <w:t>развија. Taдa je, по први пут наглашена потреба да се на нивоу ЕУ успоставе заједничка правила за развој</w:t>
      </w:r>
      <w:r>
        <w:rPr>
          <w:spacing w:val="1"/>
        </w:rPr>
        <w:t> </w:t>
      </w:r>
      <w:r>
        <w:rPr/>
        <w:t>поштанских услуга, нарочито у домену квалитета.</w:t>
      </w:r>
    </w:p>
    <w:p>
      <w:pPr>
        <w:pStyle w:val="BodyText"/>
        <w:spacing w:line="230" w:lineRule="auto"/>
        <w:ind w:right="277" w:firstLine="480"/>
      </w:pPr>
      <w:r>
        <w:rPr/>
        <w:t>Ова проблематика детаљно је разрађена Директивом </w:t>
      </w:r>
      <w:r>
        <w:rPr>
          <w:i/>
        </w:rPr>
        <w:t>97/67/ЕС </w:t>
      </w:r>
      <w:r>
        <w:rPr/>
        <w:t>у којој су између осталог установљена</w:t>
      </w:r>
      <w:r>
        <w:rPr>
          <w:spacing w:val="1"/>
        </w:rPr>
        <w:t> </w:t>
      </w:r>
      <w:r>
        <w:rPr/>
        <w:t>заједничка правила која се односе на утврђивање и усаглашавање стандарда квалитета за УПУ, као и за развој</w:t>
      </w:r>
      <w:r>
        <w:rPr>
          <w:spacing w:val="-61"/>
        </w:rPr>
        <w:t> </w:t>
      </w:r>
      <w:r>
        <w:rPr/>
        <w:t>техничких стандарда из ове области. Координација ових активности поверена је ЦЕН-у, односно надлежном</w:t>
      </w:r>
      <w:r>
        <w:rPr>
          <w:spacing w:val="1"/>
        </w:rPr>
        <w:t> </w:t>
      </w:r>
      <w:r>
        <w:rPr/>
        <w:t>техничком комитету ТЦ 331. Активности ТЦ 331 од прошле године прати и надлежна комисија ИСС КС А 331.</w:t>
      </w:r>
    </w:p>
    <w:p>
      <w:pPr>
        <w:pStyle w:val="BodyText"/>
        <w:spacing w:before="143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line="396" w:lineRule="auto" w:before="141"/>
        <w:ind w:left="599" w:right="1736"/>
      </w:pPr>
      <w:r>
        <w:rPr/>
        <w:t>Активност</w:t>
      </w:r>
      <w:r>
        <w:rPr>
          <w:spacing w:val="6"/>
        </w:rPr>
        <w:t> </w:t>
      </w:r>
      <w:r>
        <w:rPr/>
        <w:t>1:</w:t>
      </w:r>
      <w:r>
        <w:rPr>
          <w:spacing w:val="7"/>
        </w:rPr>
        <w:t> </w:t>
      </w:r>
      <w:r>
        <w:rPr/>
        <w:t>Проглашавање</w:t>
      </w:r>
      <w:r>
        <w:rPr>
          <w:spacing w:val="7"/>
        </w:rPr>
        <w:t> </w:t>
      </w:r>
      <w:r>
        <w:rPr/>
        <w:t>релевантних</w:t>
      </w:r>
      <w:r>
        <w:rPr>
          <w:spacing w:val="7"/>
        </w:rPr>
        <w:t> </w:t>
      </w:r>
      <w:r>
        <w:rPr/>
        <w:t>стандарда</w:t>
      </w:r>
      <w:r>
        <w:rPr>
          <w:spacing w:val="7"/>
        </w:rPr>
        <w:t> </w:t>
      </w:r>
      <w:r>
        <w:rPr/>
        <w:t>квалитета</w:t>
      </w:r>
      <w:r>
        <w:rPr>
          <w:spacing w:val="7"/>
        </w:rPr>
        <w:t> </w:t>
      </w:r>
      <w:r>
        <w:rPr/>
        <w:t>на</w:t>
      </w:r>
      <w:r>
        <w:rPr>
          <w:spacing w:val="7"/>
        </w:rPr>
        <w:t> </w:t>
      </w:r>
      <w:r>
        <w:rPr/>
        <w:t>српском</w:t>
      </w:r>
      <w:r>
        <w:rPr>
          <w:spacing w:val="7"/>
        </w:rPr>
        <w:t> </w:t>
      </w:r>
      <w:r>
        <w:rPr/>
        <w:t>језику</w:t>
      </w:r>
      <w:r>
        <w:rPr>
          <w:spacing w:val="1"/>
        </w:rPr>
        <w:t> </w:t>
      </w:r>
      <w:r>
        <w:rPr/>
        <w:t>Активност</w:t>
      </w:r>
      <w:r>
        <w:rPr>
          <w:spacing w:val="-2"/>
        </w:rPr>
        <w:t> </w:t>
      </w:r>
      <w:r>
        <w:rPr/>
        <w:t>2:</w:t>
      </w:r>
      <w:r>
        <w:rPr>
          <w:spacing w:val="-2"/>
        </w:rPr>
        <w:t> </w:t>
      </w:r>
      <w:r>
        <w:rPr/>
        <w:t>Доношење</w:t>
      </w:r>
      <w:r>
        <w:rPr>
          <w:spacing w:val="-2"/>
        </w:rPr>
        <w:t> </w:t>
      </w:r>
      <w:r>
        <w:rPr/>
        <w:t>српских</w:t>
      </w:r>
      <w:r>
        <w:rPr>
          <w:spacing w:val="-1"/>
        </w:rPr>
        <w:t> </w:t>
      </w:r>
      <w:r>
        <w:rPr/>
        <w:t>стандарда</w:t>
      </w:r>
      <w:r>
        <w:rPr>
          <w:spacing w:val="-2"/>
        </w:rPr>
        <w:t> </w:t>
      </w:r>
      <w:r>
        <w:rPr/>
        <w:t>хармонизованих</w:t>
      </w:r>
      <w:r>
        <w:rPr>
          <w:spacing w:val="-2"/>
        </w:rPr>
        <w:t> </w:t>
      </w:r>
      <w:r>
        <w:rPr/>
        <w:t>са</w:t>
      </w:r>
      <w:r>
        <w:rPr>
          <w:spacing w:val="-2"/>
        </w:rPr>
        <w:t> </w:t>
      </w:r>
      <w:r>
        <w:rPr/>
        <w:t>поштанским</w:t>
      </w:r>
      <w:r>
        <w:rPr>
          <w:spacing w:val="-2"/>
        </w:rPr>
        <w:t> </w:t>
      </w:r>
      <w:r>
        <w:rPr/>
        <w:t>стандардима</w:t>
      </w:r>
      <w:r>
        <w:rPr>
          <w:spacing w:val="-1"/>
        </w:rPr>
        <w:t> </w:t>
      </w:r>
      <w:r>
        <w:rPr/>
        <w:t>ЕУ</w:t>
      </w:r>
    </w:p>
    <w:p>
      <w:pPr>
        <w:pStyle w:val="BodyText"/>
        <w:spacing w:line="230" w:lineRule="auto" w:before="5"/>
        <w:ind w:right="468" w:firstLine="480"/>
      </w:pPr>
      <w:r>
        <w:rPr/>
        <w:t>Активност 3: Усавршавање запослених у поштанском сектору у вези примене нових српских стандарда у</w:t>
      </w:r>
      <w:r>
        <w:rPr>
          <w:spacing w:val="-61"/>
        </w:rPr>
        <w:t> </w:t>
      </w:r>
      <w:r>
        <w:rPr/>
        <w:t>области поштанских услуга</w:t>
      </w:r>
    </w:p>
    <w:p>
      <w:pPr>
        <w:pStyle w:val="BodyText"/>
        <w:spacing w:line="396" w:lineRule="auto" w:before="143"/>
        <w:ind w:left="599" w:right="3200"/>
      </w:pPr>
      <w:r>
        <w:rPr/>
        <w:t>Активност 4: Имплементација проглашених стандарда и подзаконских аката</w:t>
      </w:r>
      <w:r>
        <w:rPr>
          <w:spacing w:val="-61"/>
        </w:rPr>
        <w:t> </w:t>
      </w:r>
      <w:r>
        <w:rPr/>
        <w:t>Активност 5: Достизање стандарда квалитета</w:t>
      </w:r>
    </w:p>
    <w:p>
      <w:pPr>
        <w:pStyle w:val="BodyText"/>
        <w:spacing w:line="217" w:lineRule="exact" w:before="0"/>
        <w:ind w:left="599"/>
      </w:pPr>
      <w:r>
        <w:rPr/>
        <w:t>Активност 5: Независни мониторинг, контрола, мерење и анализа квалитета обављања поштанских услуга</w:t>
      </w:r>
    </w:p>
    <w:p>
      <w:pPr>
        <w:pStyle w:val="BodyText"/>
        <w:spacing w:before="0"/>
        <w:ind w:left="0"/>
        <w:rPr>
          <w:sz w:val="27"/>
        </w:rPr>
      </w:pPr>
    </w:p>
    <w:p>
      <w:pPr>
        <w:pStyle w:val="BodyText"/>
        <w:spacing w:line="230" w:lineRule="auto" w:before="0"/>
        <w:ind w:left="572" w:right="605" w:firstLine="506"/>
      </w:pP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8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8</w:t>
      </w:r>
      <w:r>
        <w:rPr>
          <w:spacing w:val="53"/>
        </w:rPr>
        <w:t> </w:t>
      </w:r>
      <w:r>
        <w:rPr/>
        <w:t>–</w:t>
      </w:r>
      <w:r>
        <w:rPr>
          <w:spacing w:val="54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м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Е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е</w:t>
      </w:r>
      <w:r>
        <w:rPr>
          <w:spacing w:val="54"/>
        </w:rPr>
        <w:t> </w:t>
      </w:r>
      <w:r>
        <w:rPr/>
        <w:t>у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у</w:t>
      </w:r>
      <w:r>
        <w:rPr>
          <w:spacing w:val="53"/>
        </w:rPr>
        <w:t> </w:t>
      </w:r>
      <w:r>
        <w:rPr/>
        <w:t>о</w:t>
      </w:r>
      <w:r>
        <w:rPr>
          <w:spacing w:val="-37"/>
        </w:rPr>
        <w:t> </w:t>
      </w:r>
      <w:r>
        <w:rPr/>
        <w:t>б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и</w:t>
      </w:r>
      <w:r>
        <w:rPr>
          <w:spacing w:val="1"/>
        </w:rPr>
        <w:t> </w:t>
      </w:r>
      <w:r>
        <w:rPr>
          <w:w w:val="95"/>
        </w:rPr>
        <w:t>с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-30"/>
          <w:w w:val="95"/>
        </w:rPr>
        <w:t> </w:t>
      </w:r>
      <w:r>
        <w:rPr>
          <w:w w:val="95"/>
        </w:rPr>
        <w:t>у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14"/>
          <w:w w:val="95"/>
        </w:rPr>
        <w:t> </w:t>
      </w:r>
      <w:r>
        <w:rPr>
          <w:w w:val="95"/>
        </w:rPr>
        <w:t>и</w:t>
      </w:r>
      <w:r>
        <w:rPr>
          <w:spacing w:val="14"/>
          <w:w w:val="95"/>
        </w:rPr>
        <w:t> </w:t>
      </w:r>
      <w:r>
        <w:rPr>
          <w:w w:val="95"/>
        </w:rPr>
        <w:t>б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з</w:t>
      </w:r>
      <w:r>
        <w:rPr>
          <w:spacing w:val="-30"/>
          <w:w w:val="95"/>
        </w:rPr>
        <w:t> </w:t>
      </w:r>
      <w:r>
        <w:rPr>
          <w:w w:val="95"/>
        </w:rPr>
        <w:t>б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д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1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14"/>
          <w:w w:val="95"/>
        </w:rPr>
        <w:t> </w:t>
      </w:r>
      <w:r>
        <w:rPr>
          <w:w w:val="95"/>
        </w:rPr>
        <w:t>к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к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14"/>
          <w:w w:val="95"/>
        </w:rPr>
        <w:t> </w:t>
      </w:r>
      <w:r>
        <w:rPr>
          <w:w w:val="95"/>
        </w:rPr>
        <w:t>п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ш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1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к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х</w:t>
      </w:r>
      <w:r>
        <w:rPr>
          <w:spacing w:val="14"/>
          <w:w w:val="95"/>
        </w:rPr>
        <w:t> </w:t>
      </w:r>
      <w:r>
        <w:rPr>
          <w:w w:val="95"/>
        </w:rPr>
        <w:t>у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л</w:t>
      </w:r>
      <w:r>
        <w:rPr>
          <w:spacing w:val="-30"/>
          <w:w w:val="95"/>
        </w:rPr>
        <w:t> </w:t>
      </w:r>
      <w:r>
        <w:rPr>
          <w:w w:val="95"/>
        </w:rPr>
        <w:t>у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,</w:t>
      </w:r>
      <w:r>
        <w:rPr>
          <w:spacing w:val="14"/>
          <w:w w:val="95"/>
        </w:rPr>
        <w:t> </w:t>
      </w:r>
      <w:r>
        <w:rPr>
          <w:w w:val="95"/>
        </w:rPr>
        <w:t>з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п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л</w:t>
      </w:r>
      <w:r>
        <w:rPr>
          <w:spacing w:val="-31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х</w:t>
      </w:r>
      <w:r>
        <w:rPr>
          <w:spacing w:val="14"/>
          <w:w w:val="95"/>
        </w:rPr>
        <w:t> </w:t>
      </w:r>
      <w:r>
        <w:rPr>
          <w:w w:val="95"/>
        </w:rPr>
        <w:t>у</w:t>
      </w:r>
      <w:r>
        <w:rPr>
          <w:spacing w:val="14"/>
          <w:w w:val="95"/>
        </w:rPr>
        <w:t> </w:t>
      </w:r>
      <w:r>
        <w:rPr>
          <w:w w:val="95"/>
        </w:rPr>
        <w:t>п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ш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к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ј</w:t>
      </w:r>
    </w:p>
    <w:p>
      <w:pPr>
        <w:pStyle w:val="BodyText"/>
        <w:spacing w:line="212" w:lineRule="exact" w:before="0"/>
        <w:ind w:left="3380"/>
      </w:pPr>
      <w:r>
        <w:rPr/>
        <w:t>д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и</w:t>
      </w:r>
      <w:r>
        <w:rPr>
          <w:spacing w:val="53"/>
        </w:rPr>
        <w:t> </w:t>
      </w:r>
      <w:r>
        <w:rPr/>
        <w:t>и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х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љ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а</w:t>
      </w:r>
    </w:p>
    <w:p>
      <w:pPr>
        <w:pStyle w:val="BodyText"/>
        <w:spacing w:line="230" w:lineRule="auto" w:before="119"/>
        <w:ind w:right="291" w:firstLine="480"/>
      </w:pPr>
      <w:r>
        <w:rPr/>
        <w:t>Заштитне мере које треба да се примењују у области сигурности и безбедности корисника поштанских</w:t>
      </w:r>
      <w:r>
        <w:rPr>
          <w:spacing w:val="1"/>
        </w:rPr>
        <w:t> </w:t>
      </w:r>
      <w:r>
        <w:rPr/>
        <w:t>услуга, запослених у поштанској делатности и поштанских пошиљака, морају бити у складу са стандардима ЕУ,</w:t>
      </w:r>
      <w:r>
        <w:rPr>
          <w:spacing w:val="-61"/>
        </w:rPr>
        <w:t> </w:t>
      </w:r>
      <w:r>
        <w:rPr/>
        <w:t>односно одговарајућим законским нормама и стандардима.</w:t>
      </w:r>
    </w:p>
    <w:p>
      <w:pPr>
        <w:pStyle w:val="BodyText"/>
        <w:spacing w:line="230" w:lineRule="auto"/>
        <w:ind w:right="763" w:firstLine="480"/>
      </w:pPr>
      <w:r>
        <w:rPr/>
        <w:t>Потребно је обезбедити континуирано праћење и стручну обраду параметара безбедносног и укупног</w:t>
      </w:r>
      <w:r>
        <w:rPr>
          <w:spacing w:val="-61"/>
        </w:rPr>
        <w:t> </w:t>
      </w:r>
      <w:r>
        <w:rPr/>
        <w:t>окружења, са циљем сталног унапређења система безбедности и заштите, као и перманентну едукацију</w:t>
      </w:r>
      <w:r>
        <w:rPr>
          <w:spacing w:val="1"/>
        </w:rPr>
        <w:t> </w:t>
      </w:r>
      <w:r>
        <w:rPr/>
        <w:t>запослених у поштанском сектору.</w:t>
      </w:r>
    </w:p>
    <w:p>
      <w:pPr>
        <w:pStyle w:val="BodyText"/>
        <w:spacing w:before="142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line="230" w:lineRule="auto" w:before="149"/>
        <w:ind w:right="995" w:firstLine="480"/>
      </w:pPr>
      <w:r>
        <w:rPr/>
        <w:t>Активност 1: Едукација запослених у поштанском сектору у вези примене стандарда безбедности и</w:t>
      </w:r>
      <w:r>
        <w:rPr>
          <w:spacing w:val="-61"/>
        </w:rPr>
        <w:t> </w:t>
      </w:r>
      <w:r>
        <w:rPr/>
        <w:t>сигурности</w:t>
      </w:r>
    </w:p>
    <w:p>
      <w:pPr>
        <w:pStyle w:val="BodyText"/>
        <w:spacing w:line="230" w:lineRule="auto"/>
        <w:ind w:right="725" w:firstLine="480"/>
      </w:pPr>
      <w:r>
        <w:rPr/>
        <w:t>Активност 2: Примена стандарда од стране ПО у области безбедности корисника и запослених у циљу</w:t>
      </w:r>
      <w:r>
        <w:rPr>
          <w:spacing w:val="-61"/>
        </w:rPr>
        <w:t> </w:t>
      </w:r>
      <w:r>
        <w:rPr/>
        <w:t>избегавања угрожавања живота и здравља људи и имовине</w:t>
      </w:r>
    </w:p>
    <w:p>
      <w:pPr>
        <w:pStyle w:val="BodyText"/>
        <w:spacing w:before="143"/>
        <w:ind w:left="599"/>
      </w:pPr>
      <w:r>
        <w:rPr/>
        <w:t>Активност 3: Предузимање активности у циљу заштите животне околине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BodyText"/>
        <w:spacing w:line="214" w:lineRule="exact" w:before="0"/>
        <w:ind w:left="1240" w:right="783"/>
        <w:jc w:val="center"/>
      </w:pPr>
      <w:r>
        <w:rPr>
          <w:w w:val="95"/>
        </w:rPr>
        <w:t>4</w:t>
      </w:r>
      <w:r>
        <w:rPr>
          <w:spacing w:val="-31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2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9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70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1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69"/>
        </w:rPr>
        <w:t> </w:t>
      </w:r>
      <w:r>
        <w:rPr>
          <w:w w:val="95"/>
        </w:rPr>
        <w:t>9</w:t>
      </w:r>
      <w:r>
        <w:rPr>
          <w:spacing w:val="70"/>
        </w:rPr>
        <w:t> </w:t>
      </w:r>
      <w:r>
        <w:rPr>
          <w:w w:val="95"/>
        </w:rPr>
        <w:t>–</w:t>
      </w:r>
      <w:r>
        <w:rPr>
          <w:spacing w:val="70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г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69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п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1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б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л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т</w:t>
      </w:r>
      <w:r>
        <w:rPr>
          <w:spacing w:val="-31"/>
          <w:w w:val="95"/>
        </w:rPr>
        <w:t> </w:t>
      </w:r>
      <w:r>
        <w:rPr>
          <w:w w:val="95"/>
        </w:rPr>
        <w:t>и</w:t>
      </w:r>
      <w:r>
        <w:rPr>
          <w:spacing w:val="70"/>
        </w:rPr>
        <w:t> </w:t>
      </w:r>
      <w:r>
        <w:rPr>
          <w:w w:val="95"/>
        </w:rPr>
        <w:t>(</w:t>
      </w:r>
      <w:r>
        <w:rPr>
          <w:spacing w:val="-30"/>
          <w:w w:val="95"/>
        </w:rPr>
        <w:t> </w:t>
      </w:r>
      <w:r>
        <w:rPr>
          <w:w w:val="95"/>
        </w:rPr>
        <w:t>м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ђ</w:t>
      </w:r>
      <w:r>
        <w:rPr>
          <w:spacing w:val="-30"/>
          <w:w w:val="95"/>
        </w:rPr>
        <w:t> </w:t>
      </w:r>
      <w:r>
        <w:rPr>
          <w:w w:val="95"/>
        </w:rPr>
        <w:t>у</w:t>
      </w:r>
      <w:r>
        <w:rPr>
          <w:spacing w:val="-30"/>
          <w:w w:val="95"/>
        </w:rPr>
        <w:t> </w:t>
      </w:r>
      <w:r>
        <w:rPr>
          <w:w w:val="95"/>
        </w:rPr>
        <w:t>п</w:t>
      </w:r>
      <w:r>
        <w:rPr>
          <w:spacing w:val="-31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в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з</w:t>
      </w:r>
      <w:r>
        <w:rPr>
          <w:spacing w:val="-30"/>
          <w:w w:val="95"/>
        </w:rPr>
        <w:t> </w:t>
      </w:r>
      <w:r>
        <w:rPr>
          <w:w w:val="95"/>
        </w:rPr>
        <w:t>а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с</w:t>
      </w:r>
      <w:r>
        <w:rPr>
          <w:spacing w:val="-31"/>
          <w:w w:val="95"/>
        </w:rPr>
        <w:t> </w:t>
      </w:r>
      <w:r>
        <w:rPr>
          <w:w w:val="95"/>
        </w:rPr>
        <w:t>т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)</w:t>
      </w:r>
      <w:r>
        <w:rPr>
          <w:spacing w:val="70"/>
        </w:rPr>
        <w:t> </w:t>
      </w:r>
      <w:r>
        <w:rPr>
          <w:w w:val="95"/>
        </w:rPr>
        <w:t>с</w:t>
      </w:r>
      <w:r>
        <w:rPr>
          <w:spacing w:val="-30"/>
          <w:w w:val="95"/>
        </w:rPr>
        <w:t> </w:t>
      </w:r>
      <w:r>
        <w:rPr>
          <w:w w:val="95"/>
        </w:rPr>
        <w:t>а</w:t>
      </w:r>
    </w:p>
    <w:p>
      <w:pPr>
        <w:pStyle w:val="BodyText"/>
        <w:spacing w:line="214" w:lineRule="exact" w:before="0"/>
        <w:ind w:left="764" w:right="783"/>
        <w:jc w:val="center"/>
      </w:pPr>
      <w:r>
        <w:rPr/>
        <w:t>м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ђ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м</w:t>
      </w:r>
      <w:r>
        <w:rPr>
          <w:spacing w:val="53"/>
        </w:rPr>
        <w:t> </w:t>
      </w:r>
      <w:r>
        <w:rPr/>
        <w:t>м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ж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м</w:t>
      </w:r>
    </w:p>
    <w:p>
      <w:pPr>
        <w:pStyle w:val="BodyText"/>
        <w:spacing w:line="230" w:lineRule="auto" w:before="118"/>
        <w:ind w:right="604" w:firstLine="480"/>
      </w:pPr>
      <w:r>
        <w:rPr/>
        <w:t>Основни циљ интероперабилности је да осигура ефикасно функционисање и координацију националне</w:t>
      </w:r>
      <w:r>
        <w:rPr>
          <w:spacing w:val="-61"/>
        </w:rPr>
        <w:t> </w:t>
      </w:r>
      <w:r>
        <w:rPr/>
        <w:t>поштанске мреже са међународном поштанском мрежом. То укључује физичке, електронске и финансијске</w:t>
      </w:r>
      <w:r>
        <w:rPr>
          <w:spacing w:val="1"/>
        </w:rPr>
        <w:t> </w:t>
      </w:r>
      <w:r>
        <w:rPr/>
        <w:t>мреже поштанског сектора.</w:t>
      </w:r>
    </w:p>
    <w:p>
      <w:pPr>
        <w:pStyle w:val="BodyText"/>
        <w:spacing w:line="230" w:lineRule="auto"/>
        <w:ind w:right="914" w:firstLine="480"/>
      </w:pPr>
      <w:r>
        <w:rPr/>
        <w:t>Што се тиче физичког слања пошиљака, требало би константно радити на побољшању ефикасности</w:t>
      </w:r>
      <w:r>
        <w:rPr>
          <w:spacing w:val="-61"/>
        </w:rPr>
        <w:t> </w:t>
      </w:r>
      <w:r>
        <w:rPr/>
        <w:t>глобалног ланца преноса, користећи интегрисани и координисани приступ, како би се решили проблеми</w:t>
      </w:r>
      <w:r>
        <w:rPr>
          <w:spacing w:val="-61"/>
        </w:rPr>
        <w:t> </w:t>
      </w:r>
      <w:r>
        <w:rPr/>
        <w:t>циркулисања поштанских пошиљака.</w:t>
      </w:r>
    </w:p>
    <w:p>
      <w:pPr>
        <w:pStyle w:val="BodyText"/>
        <w:spacing w:line="230" w:lineRule="auto"/>
        <w:ind w:right="346" w:firstLine="480"/>
      </w:pPr>
      <w:r>
        <w:rPr/>
        <w:t>Овде су кључни фактори следећи: питања безбедности, смањење квалитета услуге на одређеним</w:t>
      </w:r>
      <w:r>
        <w:rPr>
          <w:spacing w:val="1"/>
        </w:rPr>
        <w:t> </w:t>
      </w:r>
      <w:r>
        <w:rPr/>
        <w:t>поштанским тржиштима, као и потреба за упрошћавањем садржаја услуга и производа, које корисницима нуде</w:t>
      </w:r>
      <w:r>
        <w:rPr>
          <w:spacing w:val="-61"/>
        </w:rPr>
        <w:t> </w:t>
      </w:r>
      <w:r>
        <w:rPr/>
        <w:t>НПО.</w:t>
      </w:r>
    </w:p>
    <w:p>
      <w:pPr>
        <w:pStyle w:val="BodyText"/>
        <w:spacing w:before="143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line="360" w:lineRule="atLeast" w:before="0"/>
        <w:ind w:left="599" w:right="353"/>
      </w:pPr>
      <w:r>
        <w:rPr/>
        <w:t>Активност 1: Повећање поштанског интегритета и сигурности и олакшавање процедуре царињења</w:t>
      </w:r>
      <w:r>
        <w:rPr>
          <w:spacing w:val="1"/>
        </w:rPr>
        <w:t> </w:t>
      </w:r>
      <w:r>
        <w:rPr/>
        <w:t>Активност</w:t>
      </w:r>
      <w:r>
        <w:rPr>
          <w:spacing w:val="-2"/>
        </w:rPr>
        <w:t> </w:t>
      </w:r>
      <w:r>
        <w:rPr/>
        <w:t>2:</w:t>
      </w:r>
      <w:r>
        <w:rPr>
          <w:spacing w:val="-1"/>
        </w:rPr>
        <w:t> </w:t>
      </w:r>
      <w:r>
        <w:rPr/>
        <w:t>Стимулисање</w:t>
      </w:r>
      <w:r>
        <w:rPr>
          <w:spacing w:val="-2"/>
        </w:rPr>
        <w:t> </w:t>
      </w:r>
      <w:r>
        <w:rPr/>
        <w:t>употребе</w:t>
      </w:r>
      <w:r>
        <w:rPr>
          <w:spacing w:val="-1"/>
        </w:rPr>
        <w:t> </w:t>
      </w:r>
      <w:r>
        <w:rPr/>
        <w:t>информационих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комуникационих</w:t>
      </w:r>
      <w:r>
        <w:rPr>
          <w:spacing w:val="-1"/>
        </w:rPr>
        <w:t> </w:t>
      </w:r>
      <w:r>
        <w:rPr/>
        <w:t>технологија</w:t>
      </w:r>
      <w:r>
        <w:rPr>
          <w:spacing w:val="-2"/>
        </w:rPr>
        <w:t> </w:t>
      </w:r>
      <w:r>
        <w:rPr/>
        <w:t>како</w:t>
      </w:r>
      <w:r>
        <w:rPr>
          <w:spacing w:val="-1"/>
        </w:rPr>
        <w:t> </w:t>
      </w:r>
      <w:r>
        <w:rPr/>
        <w:t>би</w:t>
      </w:r>
      <w:r>
        <w:rPr>
          <w:spacing w:val="-2"/>
        </w:rPr>
        <w:t> </w:t>
      </w:r>
      <w:r>
        <w:rPr/>
        <w:t>се</w:t>
      </w:r>
      <w:r>
        <w:rPr>
          <w:spacing w:val="-1"/>
        </w:rPr>
        <w:t> </w:t>
      </w:r>
      <w:r>
        <w:rPr/>
        <w:t>побољшао</w:t>
      </w:r>
    </w:p>
    <w:p>
      <w:pPr>
        <w:pStyle w:val="BodyText"/>
        <w:spacing w:line="210" w:lineRule="exact" w:before="0"/>
      </w:pPr>
      <w:r>
        <w:rPr/>
        <w:t>приступ и учинак</w:t>
      </w:r>
    </w:p>
    <w:p>
      <w:pPr>
        <w:pStyle w:val="BodyText"/>
        <w:spacing w:before="141"/>
        <w:ind w:left="599"/>
      </w:pPr>
      <w:r>
        <w:rPr/>
        <w:t>Активност 3: Промовисање адресовања у националном поштанском систему</w:t>
      </w:r>
    </w:p>
    <w:p>
      <w:pPr>
        <w:spacing w:after="0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14" w:lineRule="exact" w:before="90"/>
        <w:ind w:left="622"/>
      </w:pP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1</w:t>
      </w:r>
      <w:r>
        <w:rPr>
          <w:spacing w:val="-37"/>
        </w:rPr>
        <w:t> </w:t>
      </w:r>
      <w:r>
        <w:rPr/>
        <w:t>0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1</w:t>
      </w:r>
      <w:r>
        <w:rPr>
          <w:spacing w:val="-37"/>
        </w:rPr>
        <w:t> </w:t>
      </w:r>
      <w:r>
        <w:rPr/>
        <w:t>0</w:t>
      </w:r>
      <w:r>
        <w:rPr>
          <w:spacing w:val="53"/>
        </w:rPr>
        <w:t> </w:t>
      </w:r>
      <w:r>
        <w:rPr/>
        <w:t>–</w:t>
      </w:r>
      <w:r>
        <w:rPr>
          <w:spacing w:val="54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њ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Р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б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б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е</w:t>
      </w:r>
      <w:r>
        <w:rPr>
          <w:spacing w:val="54"/>
        </w:rPr>
        <w:t> </w:t>
      </w:r>
      <w:r>
        <w:rPr/>
        <w:t>у</w:t>
      </w:r>
      <w:r>
        <w:rPr>
          <w:spacing w:val="53"/>
        </w:rPr>
        <w:t> </w:t>
      </w:r>
      <w:r>
        <w:rPr/>
        <w:t>м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ђ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м</w:t>
      </w:r>
    </w:p>
    <w:p>
      <w:pPr>
        <w:pStyle w:val="BodyText"/>
        <w:spacing w:line="214" w:lineRule="exact" w:before="0"/>
        <w:ind w:left="762" w:right="783"/>
        <w:jc w:val="center"/>
      </w:pP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м</w:t>
      </w:r>
      <w:r>
        <w:rPr>
          <w:spacing w:val="53"/>
        </w:rPr>
        <w:t> </w:t>
      </w:r>
      <w:r>
        <w:rPr/>
        <w:t>о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м</w:t>
      </w:r>
      <w:r>
        <w:rPr>
          <w:spacing w:val="-37"/>
        </w:rPr>
        <w:t> </w:t>
      </w:r>
      <w:r>
        <w:rPr/>
        <w:t>а</w:t>
      </w:r>
    </w:p>
    <w:p>
      <w:pPr>
        <w:pStyle w:val="BodyText"/>
        <w:spacing w:line="230" w:lineRule="auto" w:before="118"/>
        <w:ind w:right="254" w:firstLine="480"/>
      </w:pPr>
      <w:r>
        <w:rPr/>
        <w:t>Историјски посматрано, Република Србија, као и све државне заједнице којима је припадала, активно су</w:t>
      </w:r>
      <w:r>
        <w:rPr>
          <w:spacing w:val="1"/>
        </w:rPr>
        <w:t> </w:t>
      </w:r>
      <w:r>
        <w:rPr/>
        <w:t>учествовале и заступале националне интересе у телима међународних организација у области поштанског</w:t>
      </w:r>
      <w:r>
        <w:rPr>
          <w:spacing w:val="1"/>
        </w:rPr>
        <w:t> </w:t>
      </w:r>
      <w:r>
        <w:rPr/>
        <w:t>саобраћаја. У прилог наведеном треба истаћи да је Кнежевина Србија била једна од 22 потписнице Оснивачког</w:t>
      </w:r>
      <w:r>
        <w:rPr>
          <w:spacing w:val="1"/>
        </w:rPr>
        <w:t> </w:t>
      </w:r>
      <w:r>
        <w:rPr/>
        <w:t>акта СПС, донетог 9. октобра 1874. године, и да је Пошта Југославије била један од оснивача савременог СПС-а</w:t>
      </w:r>
      <w:r>
        <w:rPr>
          <w:spacing w:val="-61"/>
        </w:rPr>
        <w:t> </w:t>
      </w:r>
      <w:r>
        <w:rPr/>
        <w:t>учествујући у изради Устава СПС-а на Конгресу у Бриселу 1952. године. Важно је навести и да је тадашња</w:t>
      </w:r>
      <w:r>
        <w:rPr>
          <w:spacing w:val="1"/>
        </w:rPr>
        <w:t> </w:t>
      </w:r>
      <w:r>
        <w:rPr/>
        <w:t>Југославија била чланица у сталним телима СПС, као и да је СР Југославија била једна од држава оснивача</w:t>
      </w:r>
      <w:r>
        <w:rPr>
          <w:spacing w:val="1"/>
        </w:rPr>
        <w:t> </w:t>
      </w:r>
      <w:r>
        <w:rPr/>
        <w:t>ЦЕПТ-а, кровне организације ЦЕРП-а, основане 1992. године.</w:t>
      </w:r>
    </w:p>
    <w:p>
      <w:pPr>
        <w:pStyle w:val="BodyText"/>
        <w:spacing w:line="230" w:lineRule="auto"/>
        <w:ind w:right="495" w:firstLine="480"/>
      </w:pPr>
      <w:r>
        <w:rPr/>
        <w:t>Општи циљ ове стратегије усмерен је на унапређење сарадње са релевантним међународним</w:t>
      </w:r>
      <w:r>
        <w:rPr>
          <w:spacing w:val="1"/>
        </w:rPr>
        <w:t> </w:t>
      </w:r>
      <w:r>
        <w:rPr/>
        <w:t>организацијама ради обезбеђења приступа развојним програмима помоћи, учешћа у регионалним пројектима</w:t>
      </w:r>
      <w:r>
        <w:rPr>
          <w:spacing w:val="-61"/>
        </w:rPr>
        <w:t> </w:t>
      </w:r>
      <w:r>
        <w:rPr/>
        <w:t>реформе поштанског сектора, као и ради активног учешћа у различитим пројектним групама и размене</w:t>
      </w:r>
      <w:r>
        <w:rPr>
          <w:spacing w:val="1"/>
        </w:rPr>
        <w:t> </w:t>
      </w:r>
      <w:r>
        <w:rPr/>
        <w:t>поштанских експерата.</w:t>
      </w:r>
    </w:p>
    <w:p>
      <w:pPr>
        <w:pStyle w:val="BodyText"/>
        <w:spacing w:line="230" w:lineRule="auto"/>
        <w:ind w:right="151" w:firstLine="480"/>
      </w:pPr>
      <w:r>
        <w:rPr/>
        <w:t>СПС – Имајући у виду да се налазимо на почетку четворогодишњег циклуса рада СПС, потребно је да</w:t>
      </w:r>
      <w:r>
        <w:rPr>
          <w:spacing w:val="1"/>
        </w:rPr>
        <w:t> </w:t>
      </w:r>
      <w:r>
        <w:rPr/>
        <w:t>ресорно министарство, у наредном периоду, образује Радну групу за припрему кандидатуре Републике Србије за</w:t>
      </w:r>
      <w:r>
        <w:rPr>
          <w:spacing w:val="-61"/>
        </w:rPr>
        <w:t> </w:t>
      </w:r>
      <w:r>
        <w:rPr/>
        <w:t>чланство у сталним телима СПС (Административни савет и Поштанско оперативно веће), о чијем саставу ће се</w:t>
      </w:r>
      <w:r>
        <w:rPr>
          <w:spacing w:val="1"/>
        </w:rPr>
        <w:t> </w:t>
      </w:r>
      <w:r>
        <w:rPr/>
        <w:t>одлучивати на XXVI Конгресу, који ће се одржати у Истанбулу 2016. године.</w:t>
      </w:r>
    </w:p>
    <w:p>
      <w:pPr>
        <w:pStyle w:val="BodyText"/>
        <w:spacing w:line="230" w:lineRule="auto"/>
        <w:ind w:right="194" w:firstLine="480"/>
      </w:pPr>
      <w:r>
        <w:rPr/>
        <w:t>XXV Конгрес одржан у Дохи 2012. године је донео резолуцију о поједностављењу поштанске трговине за</w:t>
      </w:r>
      <w:r>
        <w:rPr>
          <w:spacing w:val="1"/>
        </w:rPr>
        <w:t> </w:t>
      </w:r>
      <w:r>
        <w:rPr/>
        <w:t>микро, мала и средња предузећа широм света, која представља оквир за реализацију посебног програма. Према</w:t>
      </w:r>
      <w:r>
        <w:rPr>
          <w:spacing w:val="-61"/>
        </w:rPr>
        <w:t> </w:t>
      </w:r>
      <w:r>
        <w:rPr/>
        <w:t>наведеном, а имајући у виду услугу ЈПО „PostExport-Извоз робе” развијену по угледу на иницијални пројектни</w:t>
      </w:r>
      <w:r>
        <w:rPr>
          <w:spacing w:val="1"/>
        </w:rPr>
        <w:t> </w:t>
      </w:r>
      <w:r>
        <w:rPr/>
        <w:t>концепт Поште Бразила, у наредном периоду, потребно је пратити активности СПС у овој области и заједничким</w:t>
      </w:r>
      <w:r>
        <w:rPr>
          <w:spacing w:val="-61"/>
        </w:rPr>
        <w:t> </w:t>
      </w:r>
      <w:r>
        <w:rPr/>
        <w:t>деловањем ресорног министарства и ЈПО у правцу укључења Републике Србије у програм, обезбедити подршку</w:t>
      </w:r>
      <w:r>
        <w:rPr>
          <w:spacing w:val="1"/>
        </w:rPr>
        <w:t> </w:t>
      </w:r>
      <w:r>
        <w:rPr/>
        <w:t>СПС за унапређење система специфичностима земље.</w:t>
      </w:r>
    </w:p>
    <w:p>
      <w:pPr>
        <w:pStyle w:val="BodyText"/>
        <w:spacing w:line="230" w:lineRule="auto"/>
        <w:ind w:right="261" w:firstLine="480"/>
      </w:pPr>
      <w:r>
        <w:rPr/>
        <w:t>ЦЕРП – Потребно је унапредити статус земље у овој регионалној организацији која представља својеврсну</w:t>
      </w:r>
      <w:r>
        <w:rPr>
          <w:spacing w:val="-61"/>
        </w:rPr>
        <w:t> </w:t>
      </w:r>
      <w:r>
        <w:rPr/>
        <w:t>платформу за размену нових идеја у области поштанске регулативе, развоја тржишта и потреба корисника. С</w:t>
      </w:r>
      <w:r>
        <w:rPr>
          <w:spacing w:val="1"/>
        </w:rPr>
        <w:t> </w:t>
      </w:r>
      <w:r>
        <w:rPr/>
        <w:t>тим у вези, потребно је одржати континуитет учешћа представника ресорног министарства и РАПУС-а у</w:t>
      </w:r>
      <w:r>
        <w:rPr>
          <w:spacing w:val="1"/>
        </w:rPr>
        <w:t> </w:t>
      </w:r>
      <w:r>
        <w:rPr/>
        <w:t>специфичним радним групама које се баве политиком развоја поштанског саобраћаја на европском нивоу и</w:t>
      </w:r>
      <w:r>
        <w:rPr>
          <w:spacing w:val="1"/>
        </w:rPr>
        <w:t> </w:t>
      </w:r>
      <w:r>
        <w:rPr/>
        <w:t>јачањем сарадње са СПС-ом. Такође, потребно је обезбедити активно укључење у реализацију ЦЕРП пројеката,</w:t>
      </w:r>
      <w:r>
        <w:rPr>
          <w:spacing w:val="-61"/>
        </w:rPr>
        <w:t> </w:t>
      </w:r>
      <w:r>
        <w:rPr/>
        <w:t>на основу ангажовања поштанских експерата ресорног министарства и поштанског регулатора Србије.</w:t>
      </w:r>
    </w:p>
    <w:p>
      <w:pPr>
        <w:pStyle w:val="BodyText"/>
        <w:spacing w:line="230" w:lineRule="auto"/>
        <w:ind w:right="125" w:firstLine="480"/>
      </w:pPr>
      <w:r>
        <w:rPr/>
        <w:t>Генерални директорат за унутрашње тржиште и услуге Европске комисије (Одељење за on-line и поштанске</w:t>
      </w:r>
      <w:r>
        <w:rPr>
          <w:spacing w:val="-61"/>
        </w:rPr>
        <w:t> </w:t>
      </w:r>
      <w:r>
        <w:rPr/>
        <w:t>услуге) – Неопходно је спровести активности у циљу обезбеђења средстава за реализацију будућих пројеката из</w:t>
      </w:r>
      <w:r>
        <w:rPr>
          <w:spacing w:val="-61"/>
        </w:rPr>
        <w:t> </w:t>
      </w:r>
      <w:r>
        <w:rPr/>
        <w:t>претприступних фондова ЕУ. У наредном периоду, треба очувати континуитет обезбеђења стручно техничке</w:t>
      </w:r>
      <w:r>
        <w:rPr>
          <w:spacing w:val="1"/>
        </w:rPr>
        <w:t> </w:t>
      </w:r>
      <w:r>
        <w:rPr/>
        <w:t>помоћи из области поштанских услуга у форми радионица, семинара, студијских посета у организацији ЕК.</w:t>
      </w:r>
    </w:p>
    <w:p>
      <w:pPr>
        <w:pStyle w:val="BodyText"/>
        <w:spacing w:line="230" w:lineRule="auto"/>
        <w:ind w:right="111" w:firstLine="480"/>
      </w:pPr>
      <w:r>
        <w:rPr/>
        <w:t>Даље, наставиће се рад представника РАПУС-а у ЕРГП-у, струковној организацији поштанских регулатора</w:t>
      </w:r>
      <w:r>
        <w:rPr>
          <w:spacing w:val="1"/>
        </w:rPr>
        <w:t> </w:t>
      </w:r>
      <w:r>
        <w:rPr/>
        <w:t>држава чланица ЕУ, где Република Србија као кандидат за приступање ЕУ, има статус посматрача, као и у њеним</w:t>
      </w:r>
      <w:r>
        <w:rPr>
          <w:spacing w:val="-61"/>
        </w:rPr>
        <w:t> </w:t>
      </w:r>
      <w:r>
        <w:rPr/>
        <w:t>радним групама.</w:t>
      </w:r>
    </w:p>
    <w:p>
      <w:pPr>
        <w:pStyle w:val="BodyText"/>
        <w:spacing w:line="230" w:lineRule="auto"/>
        <w:ind w:right="640" w:firstLine="480"/>
      </w:pPr>
      <w:r>
        <w:rPr/>
        <w:t>ПостЕвропа – Уз подршку ове организације, ЈПО као посебно активан члан исте, може унапредити свој</w:t>
      </w:r>
      <w:r>
        <w:rPr>
          <w:spacing w:val="-61"/>
        </w:rPr>
        <w:t> </w:t>
      </w:r>
      <w:r>
        <w:rPr/>
        <w:t>положај у наредном периоду путем реализације различитих стратешких пројеката. Унапређењу сарадње</w:t>
      </w:r>
      <w:r>
        <w:rPr>
          <w:spacing w:val="1"/>
        </w:rPr>
        <w:t> </w:t>
      </w:r>
      <w:r>
        <w:rPr/>
        <w:t>значајно ће допринети и ангажовање ЈПО у радним групама ПостЕвропе.</w:t>
      </w:r>
    </w:p>
    <w:p>
      <w:pPr>
        <w:pStyle w:val="BodyText"/>
        <w:spacing w:before="143"/>
        <w:ind w:left="599"/>
      </w:pPr>
      <w:r>
        <w:rPr/>
        <w:t>Активности за реализацију ове стратегије:</w:t>
      </w:r>
    </w:p>
    <w:p>
      <w:pPr>
        <w:pStyle w:val="BodyText"/>
        <w:spacing w:line="230" w:lineRule="auto" w:before="148"/>
        <w:ind w:right="333" w:firstLine="480"/>
      </w:pPr>
      <w:r>
        <w:rPr/>
        <w:t>Активност 1: Образовање Радне групе ресорног министарства за припрему кандидатуре Републике Србије</w:t>
      </w:r>
      <w:r>
        <w:rPr>
          <w:spacing w:val="-61"/>
        </w:rPr>
        <w:t> </w:t>
      </w:r>
      <w:r>
        <w:rPr/>
        <w:t>за чланство у телима СПС-а</w:t>
      </w:r>
    </w:p>
    <w:p>
      <w:pPr>
        <w:pStyle w:val="BodyText"/>
        <w:spacing w:line="230" w:lineRule="auto"/>
        <w:ind w:right="623" w:firstLine="480"/>
      </w:pPr>
      <w:r>
        <w:rPr/>
        <w:t>Активност 2: Образовање Стручне групе ресорног министарства и ЈПО ради унапређења даљег развоја</w:t>
      </w:r>
      <w:r>
        <w:rPr>
          <w:spacing w:val="-61"/>
        </w:rPr>
        <w:t> </w:t>
      </w:r>
      <w:r>
        <w:rPr/>
        <w:t>услуге поједностављени извоз под окриљем СПС програма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BodyText"/>
        <w:spacing w:line="214" w:lineRule="exact" w:before="0"/>
        <w:ind w:left="653"/>
      </w:pP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1</w:t>
      </w:r>
      <w:r>
        <w:rPr>
          <w:spacing w:val="-37"/>
        </w:rPr>
        <w:t> </w:t>
      </w:r>
      <w:r>
        <w:rPr/>
        <w:t>1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1</w:t>
      </w:r>
      <w:r>
        <w:rPr>
          <w:spacing w:val="-37"/>
        </w:rPr>
        <w:t> </w:t>
      </w:r>
      <w:r>
        <w:rPr/>
        <w:t>1</w:t>
      </w:r>
      <w:r>
        <w:rPr>
          <w:spacing w:val="53"/>
        </w:rPr>
        <w:t> </w:t>
      </w:r>
      <w:r>
        <w:rPr/>
        <w:t>–</w:t>
      </w:r>
      <w:r>
        <w:rPr>
          <w:spacing w:val="54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љ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х</w:t>
      </w:r>
      <w:r>
        <w:rPr>
          <w:spacing w:val="53"/>
        </w:rPr>
        <w:t> </w:t>
      </w:r>
      <w:r>
        <w:rPr/>
        <w:t>р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а</w:t>
      </w:r>
      <w:r>
        <w:rPr>
          <w:spacing w:val="54"/>
        </w:rPr>
        <w:t> </w:t>
      </w:r>
      <w:r>
        <w:rPr/>
        <w:t>и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х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њ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е</w:t>
      </w:r>
    </w:p>
    <w:p>
      <w:pPr>
        <w:pStyle w:val="BodyText"/>
        <w:spacing w:line="214" w:lineRule="exact" w:before="0"/>
        <w:ind w:left="763" w:right="783"/>
        <w:jc w:val="center"/>
      </w:pPr>
      <w:r>
        <w:rPr>
          <w:w w:val="95"/>
        </w:rPr>
        <w:t>о</w:t>
      </w:r>
      <w:r>
        <w:rPr>
          <w:spacing w:val="-30"/>
          <w:w w:val="95"/>
        </w:rPr>
        <w:t> </w:t>
      </w:r>
      <w:r>
        <w:rPr>
          <w:w w:val="95"/>
        </w:rPr>
        <w:t>д</w:t>
      </w:r>
      <w:r>
        <w:rPr>
          <w:spacing w:val="-29"/>
          <w:w w:val="95"/>
        </w:rPr>
        <w:t> </w:t>
      </w:r>
      <w:r>
        <w:rPr>
          <w:w w:val="95"/>
        </w:rPr>
        <w:t>г</w:t>
      </w:r>
      <w:r>
        <w:rPr>
          <w:spacing w:val="-29"/>
          <w:w w:val="95"/>
        </w:rPr>
        <w:t> </w:t>
      </w:r>
      <w:r>
        <w:rPr>
          <w:w w:val="95"/>
        </w:rPr>
        <w:t>о</w:t>
      </w:r>
      <w:r>
        <w:rPr>
          <w:spacing w:val="-29"/>
          <w:w w:val="95"/>
        </w:rPr>
        <w:t> </w:t>
      </w:r>
      <w:r>
        <w:rPr>
          <w:w w:val="95"/>
        </w:rPr>
        <w:t>в</w:t>
      </w:r>
      <w:r>
        <w:rPr>
          <w:spacing w:val="-29"/>
          <w:w w:val="95"/>
        </w:rPr>
        <w:t> </w:t>
      </w:r>
      <w:r>
        <w:rPr>
          <w:w w:val="95"/>
        </w:rPr>
        <w:t>о</w:t>
      </w:r>
      <w:r>
        <w:rPr>
          <w:spacing w:val="-29"/>
          <w:w w:val="95"/>
        </w:rPr>
        <w:t> </w:t>
      </w:r>
      <w:r>
        <w:rPr>
          <w:w w:val="95"/>
        </w:rPr>
        <w:t>р</w:t>
      </w:r>
      <w:r>
        <w:rPr>
          <w:spacing w:val="-29"/>
          <w:w w:val="95"/>
        </w:rPr>
        <w:t> </w:t>
      </w:r>
      <w:r>
        <w:rPr>
          <w:w w:val="95"/>
        </w:rPr>
        <w:t>н</w:t>
      </w:r>
      <w:r>
        <w:rPr>
          <w:spacing w:val="-29"/>
          <w:w w:val="95"/>
        </w:rPr>
        <w:t> </w:t>
      </w:r>
      <w:r>
        <w:rPr>
          <w:w w:val="95"/>
        </w:rPr>
        <w:t>о</w:t>
      </w:r>
      <w:r>
        <w:rPr>
          <w:spacing w:val="-29"/>
          <w:w w:val="95"/>
        </w:rPr>
        <w:t> </w:t>
      </w:r>
      <w:r>
        <w:rPr>
          <w:w w:val="95"/>
        </w:rPr>
        <w:t>с</w:t>
      </w:r>
      <w:r>
        <w:rPr>
          <w:spacing w:val="-29"/>
          <w:w w:val="95"/>
        </w:rPr>
        <w:t> </w:t>
      </w:r>
      <w:r>
        <w:rPr>
          <w:w w:val="95"/>
        </w:rPr>
        <w:t>т</w:t>
      </w:r>
      <w:r>
        <w:rPr>
          <w:spacing w:val="-29"/>
          <w:w w:val="95"/>
        </w:rPr>
        <w:t> </w:t>
      </w:r>
      <w:r>
        <w:rPr>
          <w:w w:val="95"/>
        </w:rPr>
        <w:t>и</w:t>
      </w:r>
    </w:p>
    <w:p>
      <w:pPr>
        <w:pStyle w:val="BodyText"/>
        <w:spacing w:line="230" w:lineRule="auto" w:before="118"/>
        <w:ind w:right="128" w:firstLine="480"/>
      </w:pPr>
      <w:r>
        <w:rPr/>
        <w:t>Потребно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стално</w:t>
      </w:r>
      <w:r>
        <w:rPr>
          <w:spacing w:val="1"/>
        </w:rPr>
        <w:t> </w:t>
      </w:r>
      <w:r>
        <w:rPr/>
        <w:t>спровођење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усмерених</w:t>
      </w:r>
      <w:r>
        <w:rPr>
          <w:spacing w:val="1"/>
        </w:rPr>
        <w:t> </w:t>
      </w:r>
      <w:r>
        <w:rPr/>
        <w:t>ка</w:t>
      </w:r>
      <w:r>
        <w:rPr>
          <w:spacing w:val="1"/>
        </w:rPr>
        <w:t> </w:t>
      </w:r>
      <w:r>
        <w:rPr/>
        <w:t>развоју</w:t>
      </w:r>
      <w:r>
        <w:rPr>
          <w:spacing w:val="2"/>
        </w:rPr>
        <w:t> </w:t>
      </w:r>
      <w:r>
        <w:rPr/>
        <w:t>поштанских</w:t>
      </w:r>
      <w:r>
        <w:rPr>
          <w:spacing w:val="1"/>
        </w:rPr>
        <w:t> </w:t>
      </w:r>
      <w:r>
        <w:rPr/>
        <w:t>људских</w:t>
      </w:r>
      <w:r>
        <w:rPr>
          <w:spacing w:val="1"/>
        </w:rPr>
        <w:t> </w:t>
      </w:r>
      <w:r>
        <w:rPr/>
        <w:t>ресурса,</w:t>
      </w:r>
      <w:r>
        <w:rPr>
          <w:spacing w:val="1"/>
        </w:rPr>
        <w:t> </w:t>
      </w:r>
      <w:r>
        <w:rPr/>
        <w:t>као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стална сарадња са свим релевантним националним и међународним организацијама из ове области. Развој</w:t>
      </w:r>
      <w:r>
        <w:rPr>
          <w:spacing w:val="1"/>
        </w:rPr>
        <w:t> </w:t>
      </w:r>
      <w:r>
        <w:rPr/>
        <w:t>људских ресурса остваривао би се кроз различите облике образовања, стручног оспособљавања и усавршавања,</w:t>
      </w:r>
      <w:r>
        <w:rPr>
          <w:spacing w:val="-61"/>
        </w:rPr>
        <w:t> </w:t>
      </w:r>
      <w:r>
        <w:rPr/>
        <w:t>као што су интерне и екстерне обуке, преквалификација и доквалификација запослених, полагање стручних</w:t>
      </w:r>
      <w:r>
        <w:rPr>
          <w:spacing w:val="1"/>
        </w:rPr>
        <w:t> </w:t>
      </w:r>
      <w:r>
        <w:rPr/>
        <w:t>испита, учешће на семинарима, сајмовима, конференцијама и симпозијумима и друго.</w:t>
      </w:r>
    </w:p>
    <w:p>
      <w:pPr>
        <w:pStyle w:val="BodyText"/>
        <w:spacing w:before="143"/>
        <w:ind w:left="599"/>
      </w:pPr>
      <w:r>
        <w:rPr/>
        <w:t>Активности за реализацију ове стратегије би биле:</w:t>
      </w:r>
    </w:p>
    <w:p>
      <w:pPr>
        <w:pStyle w:val="BodyText"/>
        <w:spacing w:line="396" w:lineRule="auto" w:before="141"/>
        <w:ind w:left="599" w:right="3859"/>
      </w:pPr>
      <w:r>
        <w:rPr/>
        <w:t>Активност</w:t>
      </w:r>
      <w:r>
        <w:rPr>
          <w:spacing w:val="-3"/>
        </w:rPr>
        <w:t> </w:t>
      </w:r>
      <w:r>
        <w:rPr/>
        <w:t>1:</w:t>
      </w:r>
      <w:r>
        <w:rPr>
          <w:spacing w:val="-3"/>
        </w:rPr>
        <w:t> </w:t>
      </w:r>
      <w:r>
        <w:rPr/>
        <w:t>Организовање</w:t>
      </w:r>
      <w:r>
        <w:rPr>
          <w:spacing w:val="-3"/>
        </w:rPr>
        <w:t> </w:t>
      </w:r>
      <w:r>
        <w:rPr/>
        <w:t>стручног</w:t>
      </w:r>
      <w:r>
        <w:rPr>
          <w:spacing w:val="-3"/>
        </w:rPr>
        <w:t> </w:t>
      </w:r>
      <w:r>
        <w:rPr/>
        <w:t>усавршавања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оспособљавања</w:t>
      </w:r>
      <w:r>
        <w:rPr>
          <w:spacing w:val="-60"/>
        </w:rPr>
        <w:t> </w:t>
      </w:r>
      <w:r>
        <w:rPr/>
        <w:t>Активност 2: Сарадња са међународним организацијама</w:t>
      </w:r>
    </w:p>
    <w:p>
      <w:pPr>
        <w:pStyle w:val="Heading1"/>
        <w:numPr>
          <w:ilvl w:val="1"/>
          <w:numId w:val="20"/>
        </w:numPr>
        <w:tabs>
          <w:tab w:pos="3766" w:val="left" w:leader="none"/>
        </w:tabs>
        <w:spacing w:line="240" w:lineRule="auto" w:before="178" w:after="0"/>
        <w:ind w:left="3765" w:right="0" w:hanging="256"/>
        <w:jc w:val="left"/>
      </w:pPr>
      <w:r>
        <w:rPr/>
        <w:t>Акциони план за реализацију Стратегије</w:t>
      </w:r>
    </w:p>
    <w:p>
      <w:pPr>
        <w:spacing w:after="0" w:line="240" w:lineRule="auto"/>
        <w:jc w:val="left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line="230" w:lineRule="auto" w:before="97"/>
        <w:ind w:right="178" w:firstLine="480"/>
      </w:pPr>
      <w:r>
        <w:rPr/>
        <w:t>У циљу потпуне реализације Стратегије, сачињен је Акциони план којим су предвиђене активности, рокови</w:t>
      </w:r>
      <w:r>
        <w:rPr>
          <w:spacing w:val="-61"/>
        </w:rPr>
        <w:t> </w:t>
      </w:r>
      <w:r>
        <w:rPr/>
        <w:t>извршења и носиоци посла одговорни за реализацију појединих активности и то пре свега: Влада, министарство</w:t>
      </w:r>
      <w:r>
        <w:rPr>
          <w:spacing w:val="-61"/>
        </w:rPr>
        <w:t> </w:t>
      </w:r>
      <w:r>
        <w:rPr/>
        <w:t>надлежно за област поштанских услуга – МТТ, РАПУС, ЈПО, остали ПО, као и други органи државне управе који</w:t>
      </w:r>
      <w:r>
        <w:rPr>
          <w:spacing w:val="1"/>
        </w:rPr>
        <w:t> </w:t>
      </w:r>
      <w:r>
        <w:rPr/>
        <w:t>ће дати допринос развоју и унапређењу поштанског тржишта.</w:t>
      </w:r>
    </w:p>
    <w:p>
      <w:pPr>
        <w:pStyle w:val="BodyText"/>
        <w:spacing w:line="230" w:lineRule="auto"/>
        <w:ind w:right="131" w:firstLine="480"/>
      </w:pPr>
      <w:r>
        <w:rPr/>
        <w:t>Табела 5.1 Акциони план реализације Стратегије развоја поштанских услуга у Србији за период 2013–2016.</w:t>
      </w:r>
      <w:r>
        <w:rPr>
          <w:spacing w:val="-61"/>
        </w:rPr>
        <w:t> </w:t>
      </w:r>
      <w:r>
        <w:rPr/>
        <w:t>године</w:t>
      </w:r>
    </w:p>
    <w:p>
      <w:pPr>
        <w:pStyle w:val="BodyText"/>
        <w:spacing w:before="0" w:after="1"/>
        <w:ind w:left="0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20"/>
        <w:gridCol w:w="1215"/>
        <w:gridCol w:w="1095"/>
      </w:tblGrid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ind w:left="3721" w:right="3677"/>
              <w:jc w:val="center"/>
              <w:rPr>
                <w:sz w:val="18"/>
              </w:rPr>
            </w:pPr>
            <w:r>
              <w:rPr>
                <w:sz w:val="18"/>
              </w:rPr>
              <w:t>Активности</w:t>
            </w:r>
          </w:p>
        </w:tc>
        <w:tc>
          <w:tcPr>
            <w:tcW w:w="1215" w:type="dxa"/>
          </w:tcPr>
          <w:p>
            <w:pPr>
              <w:pStyle w:val="TableParagraph"/>
              <w:spacing w:line="240" w:lineRule="auto" w:before="104"/>
              <w:ind w:left="439" w:right="395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292" w:right="100" w:hanging="129"/>
              <w:rPr>
                <w:sz w:val="18"/>
              </w:rPr>
            </w:pPr>
            <w:r>
              <w:rPr>
                <w:sz w:val="18"/>
              </w:rPr>
              <w:t>Носиоци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посла</w:t>
            </w:r>
          </w:p>
        </w:tc>
      </w:tr>
      <w:tr>
        <w:trPr>
          <w:trHeight w:val="599" w:hRule="atLeast"/>
        </w:trPr>
        <w:tc>
          <w:tcPr>
            <w:tcW w:w="10830" w:type="dxa"/>
            <w:gridSpan w:val="3"/>
          </w:tcPr>
          <w:p>
            <w:pPr>
              <w:pStyle w:val="TableParagraph"/>
              <w:spacing w:line="230" w:lineRule="auto" w:before="6"/>
              <w:ind w:right="140"/>
              <w:rPr>
                <w:sz w:val="18"/>
              </w:rPr>
            </w:pPr>
            <w:r>
              <w:rPr>
                <w:sz w:val="18"/>
              </w:rPr>
              <w:t>Стратегија 1 – Стратегија постепене либерализације тржишта поштанских услуга и прилагођавања поштанског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сектора у процесу придруживања Републике Србије Европској унији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1.1. Израда Нацрта закона о поштанским услугама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2.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2014.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МТТ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1.2. Доношење подзаконских аката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1.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2015.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111"/>
              <w:ind w:left="260" w:right="196" w:firstLine="82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1.3. Доношење одлуке о смањењу лимита резервисаног подручја на 50 грама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1.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2016.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111"/>
              <w:ind w:left="375" w:right="164" w:hanging="148"/>
              <w:rPr>
                <w:sz w:val="18"/>
              </w:rPr>
            </w:pPr>
            <w:r>
              <w:rPr>
                <w:sz w:val="18"/>
              </w:rPr>
              <w:t>РАПУС,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МТТ</w:t>
            </w:r>
          </w:p>
        </w:tc>
      </w:tr>
      <w:tr>
        <w:trPr>
          <w:trHeight w:val="389" w:hRule="atLeast"/>
        </w:trPr>
        <w:tc>
          <w:tcPr>
            <w:tcW w:w="10830" w:type="dxa"/>
            <w:gridSpan w:val="3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Стратегија 2 – Стратегија приступа мрежи јавног поштанског оператора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2.1. Реализација неопходних капиталних инвестиција у поштанском саобраћају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2014.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6"/>
              <w:jc w:val="center"/>
              <w:rPr>
                <w:sz w:val="18"/>
              </w:rPr>
            </w:pPr>
            <w:r>
              <w:rPr>
                <w:sz w:val="18"/>
              </w:rPr>
              <w:t>ЈПО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2.2. Доношење Општег акта о приступу мрежи ЈПО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2.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2015.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РАПУС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2.3. Информисање ПО о могућностима приступа мрежи ЈПО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3.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2015.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6"/>
              <w:jc w:val="center"/>
              <w:rPr>
                <w:sz w:val="18"/>
              </w:rPr>
            </w:pPr>
            <w:r>
              <w:rPr>
                <w:sz w:val="18"/>
              </w:rPr>
              <w:t>ЈПО</w:t>
            </w:r>
          </w:p>
        </w:tc>
      </w:tr>
      <w:tr>
        <w:trPr>
          <w:trHeight w:val="599" w:hRule="atLeast"/>
        </w:trPr>
        <w:tc>
          <w:tcPr>
            <w:tcW w:w="10830" w:type="dxa"/>
            <w:gridSpan w:val="3"/>
          </w:tcPr>
          <w:p>
            <w:pPr>
              <w:pStyle w:val="TableParagraph"/>
              <w:spacing w:line="230" w:lineRule="auto" w:before="6"/>
              <w:ind w:right="1024"/>
              <w:rPr>
                <w:sz w:val="18"/>
              </w:rPr>
            </w:pPr>
            <w:r>
              <w:rPr>
                <w:sz w:val="18"/>
              </w:rPr>
              <w:t>Стратегија 3 – Стратегија обезбеђивања одржавања и утврђивања начина финансирања универзалне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поштанске услуге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3.1. Вођење одвојеног рачуноводства и алокације трошкова ЈПО у смислу ЕУ директива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2014.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111"/>
              <w:ind w:left="260" w:right="196" w:firstLine="89"/>
              <w:rPr>
                <w:sz w:val="18"/>
              </w:rPr>
            </w:pPr>
            <w:r>
              <w:rPr>
                <w:sz w:val="18"/>
              </w:rPr>
              <w:t>ЈПО,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</w:t>
            </w:r>
          </w:p>
        </w:tc>
      </w:tr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rPr>
                <w:sz w:val="18"/>
              </w:rPr>
            </w:pPr>
            <w:r>
              <w:rPr>
                <w:sz w:val="18"/>
              </w:rPr>
              <w:t>Активности</w:t>
            </w:r>
          </w:p>
        </w:tc>
        <w:tc>
          <w:tcPr>
            <w:tcW w:w="1215" w:type="dxa"/>
          </w:tcPr>
          <w:p>
            <w:pPr>
              <w:pStyle w:val="TableParagraph"/>
              <w:spacing w:line="240" w:lineRule="auto" w:before="104"/>
              <w:ind w:left="439" w:right="395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292" w:right="100" w:hanging="129"/>
              <w:rPr>
                <w:sz w:val="18"/>
              </w:rPr>
            </w:pPr>
            <w:r>
              <w:rPr>
                <w:sz w:val="18"/>
              </w:rPr>
              <w:t>Носиоци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посла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3.2. Прорачун трошкова пружања УПУ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1.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2015.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111"/>
              <w:ind w:left="260" w:right="196" w:firstLine="89"/>
              <w:rPr>
                <w:sz w:val="18"/>
              </w:rPr>
            </w:pPr>
            <w:r>
              <w:rPr>
                <w:sz w:val="18"/>
              </w:rPr>
              <w:t>ЈПО,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3.3. Анализа трошкова пружања УПУ након реструктурирања ЈПО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2015.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111"/>
              <w:ind w:left="260" w:right="196" w:firstLine="89"/>
              <w:rPr>
                <w:sz w:val="18"/>
              </w:rPr>
            </w:pPr>
            <w:r>
              <w:rPr>
                <w:sz w:val="18"/>
              </w:rPr>
              <w:t>ЈПО,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3.4. Прорачун трошкова пружања УПУ у складу са смањењем обухвата РПУ на 50 грама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2015.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111"/>
              <w:ind w:left="260" w:right="196" w:firstLine="89"/>
              <w:rPr>
                <w:sz w:val="18"/>
              </w:rPr>
            </w:pPr>
            <w:r>
              <w:rPr>
                <w:sz w:val="18"/>
              </w:rPr>
              <w:t>ЈПО,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3.5. Израда предлога модела финансирања УПУ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2016.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МТТ</w:t>
            </w:r>
          </w:p>
        </w:tc>
      </w:tr>
      <w:tr>
        <w:trPr>
          <w:trHeight w:val="389" w:hRule="atLeast"/>
        </w:trPr>
        <w:tc>
          <w:tcPr>
            <w:tcW w:w="10830" w:type="dxa"/>
            <w:gridSpan w:val="3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Стратегија 4 – Стратегија корпоратизације јавног поштанског оператора</w:t>
            </w:r>
          </w:p>
        </w:tc>
      </w:tr>
    </w:tbl>
    <w:p>
      <w:pPr>
        <w:spacing w:after="0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20"/>
        <w:gridCol w:w="1215"/>
        <w:gridCol w:w="1095"/>
      </w:tblGrid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ind w:left="3721" w:right="3677"/>
              <w:jc w:val="center"/>
              <w:rPr>
                <w:sz w:val="18"/>
              </w:rPr>
            </w:pPr>
            <w:r>
              <w:rPr>
                <w:sz w:val="18"/>
              </w:rPr>
              <w:t>Активности</w:t>
            </w:r>
          </w:p>
        </w:tc>
        <w:tc>
          <w:tcPr>
            <w:tcW w:w="1215" w:type="dxa"/>
          </w:tcPr>
          <w:p>
            <w:pPr>
              <w:pStyle w:val="TableParagraph"/>
              <w:spacing w:line="240" w:lineRule="auto" w:before="104"/>
              <w:ind w:left="439" w:right="395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292" w:right="100" w:hanging="129"/>
              <w:rPr>
                <w:sz w:val="18"/>
              </w:rPr>
            </w:pPr>
            <w:r>
              <w:rPr>
                <w:sz w:val="18"/>
              </w:rPr>
              <w:t>Носиоци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посла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4.1. Корпоратизација ЈПО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3.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2014.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111"/>
              <w:ind w:left="383" w:right="29" w:hanging="291"/>
              <w:rPr>
                <w:sz w:val="18"/>
              </w:rPr>
            </w:pPr>
            <w:r>
              <w:rPr>
                <w:sz w:val="18"/>
              </w:rPr>
              <w:t>МТТ,МФП,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ЈПО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4.2. Обезбеђивање услова за самостално деловање ЈПО на поштанском тржишту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2014.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МТТ, ЈПО</w:t>
            </w:r>
          </w:p>
        </w:tc>
      </w:tr>
      <w:tr>
        <w:trPr>
          <w:trHeight w:val="389" w:hRule="atLeast"/>
        </w:trPr>
        <w:tc>
          <w:tcPr>
            <w:tcW w:w="10830" w:type="dxa"/>
            <w:gridSpan w:val="3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Стратегија 5 – Стратегија модернизације и диверсификација поштанских услуга</w:t>
            </w:r>
          </w:p>
        </w:tc>
      </w:tr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rPr>
                <w:sz w:val="18"/>
              </w:rPr>
            </w:pPr>
            <w:r>
              <w:rPr>
                <w:sz w:val="18"/>
              </w:rPr>
              <w:t>5.1. Израда пројеката и студија у циљу развијања нових поштанских услуга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104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ЈПО, ПО</w:t>
            </w:r>
          </w:p>
        </w:tc>
      </w:tr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6"/>
              <w:ind w:right="295"/>
              <w:rPr>
                <w:sz w:val="18"/>
              </w:rPr>
            </w:pPr>
            <w:r>
              <w:rPr>
                <w:sz w:val="18"/>
              </w:rPr>
              <w:t>5.2. Преузимање искустава најбоље праксе држава чланица ЕУ у вези са савременим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поштанским технологијама и анализа могућности примене истих у Републици Србији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104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ЈПО, ПО</w:t>
            </w:r>
          </w:p>
        </w:tc>
      </w:tr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rPr>
                <w:sz w:val="18"/>
              </w:rPr>
            </w:pPr>
            <w:r>
              <w:rPr>
                <w:sz w:val="18"/>
              </w:rPr>
              <w:t>5.3. Израда студија имплементације нових поштанских услуга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104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ЈПО, ПО</w:t>
            </w:r>
          </w:p>
        </w:tc>
      </w:tr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rPr>
                <w:sz w:val="18"/>
              </w:rPr>
            </w:pPr>
            <w:r>
              <w:rPr>
                <w:sz w:val="18"/>
              </w:rPr>
              <w:t>5.4. Израда пројеката и студија у циљу развијања нових поштанских услуга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104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ЈПО, ПО</w:t>
            </w:r>
          </w:p>
        </w:tc>
      </w:tr>
      <w:tr>
        <w:trPr>
          <w:trHeight w:val="389" w:hRule="atLeast"/>
        </w:trPr>
        <w:tc>
          <w:tcPr>
            <w:tcW w:w="10830" w:type="dxa"/>
            <w:gridSpan w:val="3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Стратегија 6 – Стратегија одрживости и ефикасности поштанске мреже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6.1. Подизање свести и друштвено одговорно пословање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6.2. Едукација унутар сектора и јавне кампање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111"/>
              <w:ind w:right="758"/>
              <w:rPr>
                <w:sz w:val="18"/>
              </w:rPr>
            </w:pPr>
            <w:r>
              <w:rPr>
                <w:sz w:val="18"/>
              </w:rPr>
              <w:t>6.3. Квантификовање утицаја свих елемената пословања поштанског сектора на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животну средину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599" w:hRule="atLeast"/>
        </w:trPr>
        <w:tc>
          <w:tcPr>
            <w:tcW w:w="10830" w:type="dxa"/>
            <w:gridSpan w:val="3"/>
          </w:tcPr>
          <w:p>
            <w:pPr>
              <w:pStyle w:val="TableParagraph"/>
              <w:spacing w:line="230" w:lineRule="auto" w:before="6"/>
              <w:ind w:right="721"/>
              <w:rPr>
                <w:sz w:val="18"/>
              </w:rPr>
            </w:pPr>
            <w:r>
              <w:rPr>
                <w:sz w:val="18"/>
              </w:rPr>
              <w:t>Стратегија 7 – Стратегија достизања стандарда квалитета поштанских услуга прописаних на поштанском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тржишту Европске уније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7.1. Проглашавање релевантних стандарда квалитета на српском језику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2014.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6"/>
              <w:jc w:val="center"/>
              <w:rPr>
                <w:sz w:val="18"/>
              </w:rPr>
            </w:pPr>
            <w:r>
              <w:rPr>
                <w:sz w:val="18"/>
              </w:rPr>
              <w:t>ИСС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111"/>
              <w:ind w:right="829"/>
              <w:rPr>
                <w:sz w:val="18"/>
              </w:rPr>
            </w:pPr>
            <w:r>
              <w:rPr>
                <w:sz w:val="18"/>
              </w:rPr>
              <w:t>7.2. Доношење српских стандарда хармонизованих са поштанским стандардима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Европске уније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2014.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6"/>
              <w:jc w:val="center"/>
              <w:rPr>
                <w:sz w:val="18"/>
              </w:rPr>
            </w:pPr>
            <w:r>
              <w:rPr>
                <w:sz w:val="18"/>
              </w:rPr>
              <w:t>ИСС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111"/>
              <w:ind w:right="483"/>
              <w:rPr>
                <w:sz w:val="18"/>
              </w:rPr>
            </w:pPr>
            <w:r>
              <w:rPr>
                <w:sz w:val="18"/>
              </w:rPr>
              <w:t>7.3. Усавршавање запослених у поштанском сектору у вези примене нових српских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стандарда у области поштанских услуга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2016.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66" w:right="119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ИСС</w:t>
            </w:r>
          </w:p>
        </w:tc>
      </w:tr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rPr>
                <w:sz w:val="18"/>
              </w:rPr>
            </w:pPr>
            <w:r>
              <w:rPr>
                <w:sz w:val="18"/>
              </w:rPr>
              <w:t>Активности</w:t>
            </w:r>
          </w:p>
        </w:tc>
        <w:tc>
          <w:tcPr>
            <w:tcW w:w="1215" w:type="dxa"/>
          </w:tcPr>
          <w:p>
            <w:pPr>
              <w:pStyle w:val="TableParagraph"/>
              <w:spacing w:line="240" w:lineRule="auto" w:before="104"/>
              <w:ind w:left="439" w:right="395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292" w:right="100" w:hanging="129"/>
              <w:rPr>
                <w:sz w:val="18"/>
              </w:rPr>
            </w:pPr>
            <w:r>
              <w:rPr>
                <w:sz w:val="18"/>
              </w:rPr>
              <w:t>Носиоци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посла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7.4. Имплементација проглашених стандарда и подзаконских аката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1.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2015.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111"/>
              <w:ind w:left="260" w:right="196" w:firstLine="82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</w:t>
            </w:r>
          </w:p>
        </w:tc>
      </w:tr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rPr>
                <w:sz w:val="18"/>
              </w:rPr>
            </w:pPr>
            <w:r>
              <w:rPr>
                <w:sz w:val="18"/>
              </w:rPr>
              <w:t>7.5. Достизање стандарда квалитета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104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ЈПО, ПО</w:t>
            </w:r>
          </w:p>
        </w:tc>
      </w:tr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6"/>
              <w:ind w:right="969"/>
              <w:rPr>
                <w:sz w:val="18"/>
              </w:rPr>
            </w:pPr>
            <w:r>
              <w:rPr>
                <w:sz w:val="18"/>
              </w:rPr>
              <w:t>7.6. Независни мониторинг, контрола, мерење и анализа квалитета обављања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поштанских услуга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260" w:right="196" w:firstLine="82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</w:t>
            </w:r>
          </w:p>
        </w:tc>
      </w:tr>
      <w:tr>
        <w:trPr>
          <w:trHeight w:val="599" w:hRule="atLeast"/>
        </w:trPr>
        <w:tc>
          <w:tcPr>
            <w:tcW w:w="10830" w:type="dxa"/>
            <w:gridSpan w:val="3"/>
          </w:tcPr>
          <w:p>
            <w:pPr>
              <w:pStyle w:val="TableParagraph"/>
              <w:spacing w:line="230" w:lineRule="auto" w:before="6"/>
              <w:ind w:right="406"/>
              <w:rPr>
                <w:sz w:val="18"/>
              </w:rPr>
            </w:pPr>
            <w:r>
              <w:rPr>
                <w:sz w:val="18"/>
              </w:rPr>
              <w:t>Стратегија 8 – Стратегија примене стандарда Европске уније у области сигурности и безбедности корисника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поштанских услуга, запослених у поштанској делатности и поштанских пошиљака</w:t>
            </w:r>
          </w:p>
        </w:tc>
      </w:tr>
    </w:tbl>
    <w:p>
      <w:pPr>
        <w:spacing w:after="0" w:line="230" w:lineRule="auto"/>
        <w:rPr>
          <w:sz w:val="18"/>
        </w:rPr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20"/>
        <w:gridCol w:w="1215"/>
        <w:gridCol w:w="1095"/>
      </w:tblGrid>
      <w:tr>
        <w:trPr>
          <w:trHeight w:val="59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104"/>
              <w:ind w:left="3721" w:right="3677"/>
              <w:jc w:val="center"/>
              <w:rPr>
                <w:sz w:val="18"/>
              </w:rPr>
            </w:pPr>
            <w:r>
              <w:rPr>
                <w:sz w:val="18"/>
              </w:rPr>
              <w:t>Активности</w:t>
            </w:r>
          </w:p>
        </w:tc>
        <w:tc>
          <w:tcPr>
            <w:tcW w:w="1215" w:type="dxa"/>
          </w:tcPr>
          <w:p>
            <w:pPr>
              <w:pStyle w:val="TableParagraph"/>
              <w:spacing w:line="240" w:lineRule="auto" w:before="104"/>
              <w:ind w:left="439" w:right="395"/>
              <w:jc w:val="center"/>
              <w:rPr>
                <w:sz w:val="18"/>
              </w:rPr>
            </w:pPr>
            <w:r>
              <w:rPr>
                <w:sz w:val="18"/>
              </w:rPr>
              <w:t>Рок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292" w:right="100" w:hanging="129"/>
              <w:rPr>
                <w:sz w:val="18"/>
              </w:rPr>
            </w:pPr>
            <w:r>
              <w:rPr>
                <w:sz w:val="18"/>
              </w:rPr>
              <w:t>Носиоци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посла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111"/>
              <w:ind w:right="-5"/>
              <w:rPr>
                <w:sz w:val="18"/>
              </w:rPr>
            </w:pPr>
            <w:r>
              <w:rPr>
                <w:sz w:val="18"/>
              </w:rPr>
              <w:t>8.1. Едукација запослених у поштанском сектору у вези примене стандарда безбедности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 сигурности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6"/>
              <w:ind w:right="483"/>
              <w:rPr>
                <w:sz w:val="18"/>
              </w:rPr>
            </w:pPr>
            <w:r>
              <w:rPr>
                <w:sz w:val="18"/>
              </w:rPr>
              <w:t>8.2. Примена стандарда од стране поштанских оператора у области безбедности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корисника и запослених у циљу избегавања угрожавања живота и здравља људи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имовине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8.3. Предузимање активности у циљу заштите животне околине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59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389" w:hRule="atLeast"/>
        </w:trPr>
        <w:tc>
          <w:tcPr>
            <w:tcW w:w="10830" w:type="dxa"/>
            <w:gridSpan w:val="3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Стратегија 9 – Стратегија интероперабилности (међуповезаности) са међународном мрежом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111"/>
              <w:ind w:right="936"/>
              <w:rPr>
                <w:sz w:val="18"/>
              </w:rPr>
            </w:pPr>
            <w:r>
              <w:rPr>
                <w:sz w:val="18"/>
              </w:rPr>
              <w:t>9.1. Повећање поштанског интегритета и сигурности и олакшавање процедуре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царињења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111"/>
              <w:ind w:right="206"/>
              <w:rPr>
                <w:sz w:val="18"/>
              </w:rPr>
            </w:pPr>
            <w:r>
              <w:rPr>
                <w:sz w:val="18"/>
              </w:rPr>
              <w:t>9.2. Стимулисање употребе информационих и комуникационих технологија како би се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побољшао приступ и учинак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9.3. Промовисање адресовања у националном поштанском систему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389" w:hRule="atLeast"/>
        </w:trPr>
        <w:tc>
          <w:tcPr>
            <w:tcW w:w="10830" w:type="dxa"/>
            <w:gridSpan w:val="3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Стратегија 10 – Стратегија позиционирања Републике Србије у међународним поштанским организацијама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111"/>
              <w:ind w:right="788"/>
              <w:rPr>
                <w:sz w:val="18"/>
              </w:rPr>
            </w:pPr>
            <w:r>
              <w:rPr>
                <w:sz w:val="18"/>
              </w:rPr>
              <w:t>10.1. Образовање Радне групе ресорног министарства за припрему кандидатуре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Републике Србије за чланство у сталним телима СПС-а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3.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2013.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МТТ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30" w:lineRule="auto" w:before="111"/>
              <w:ind w:right="95"/>
              <w:rPr>
                <w:sz w:val="18"/>
              </w:rPr>
            </w:pPr>
            <w:r>
              <w:rPr>
                <w:sz w:val="18"/>
              </w:rPr>
              <w:t>10.2. Образовање Стручне групе ресорног министарства и ЈПО ради унапређења даљег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развоја услуге поједностављени извоз под окриљем СПС програма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6"/>
              <w:ind w:left="300" w:right="65" w:hanging="172"/>
              <w:rPr>
                <w:sz w:val="18"/>
              </w:rPr>
            </w:pPr>
            <w:r>
              <w:rPr>
                <w:sz w:val="18"/>
              </w:rPr>
              <w:t>4. квартал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2013.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године</w:t>
            </w:r>
          </w:p>
        </w:tc>
        <w:tc>
          <w:tcPr>
            <w:tcW w:w="1095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ind w:left="111" w:right="67"/>
              <w:jc w:val="center"/>
              <w:rPr>
                <w:sz w:val="18"/>
              </w:rPr>
            </w:pPr>
            <w:r>
              <w:rPr>
                <w:sz w:val="18"/>
              </w:rPr>
              <w:t>МТТ, ЈПО</w:t>
            </w:r>
          </w:p>
        </w:tc>
      </w:tr>
      <w:tr>
        <w:trPr>
          <w:trHeight w:val="389" w:hRule="atLeast"/>
        </w:trPr>
        <w:tc>
          <w:tcPr>
            <w:tcW w:w="10830" w:type="dxa"/>
            <w:gridSpan w:val="3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Стратегија 11 – Стратегија развоја људских ресурса и прихватања социјалне одговорности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11.1. Организовање стручног усавршавања и оспособљавања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  <w:tr>
        <w:trPr>
          <w:trHeight w:val="809" w:hRule="atLeast"/>
        </w:trPr>
        <w:tc>
          <w:tcPr>
            <w:tcW w:w="8520" w:type="dxa"/>
          </w:tcPr>
          <w:p>
            <w:pPr>
              <w:pStyle w:val="TableParagraph"/>
              <w:spacing w:line="240" w:lineRule="auto" w:before="2"/>
              <w:ind w:left="0"/>
              <w:rPr>
                <w:sz w:val="17"/>
              </w:rPr>
            </w:pPr>
          </w:p>
          <w:p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11.2. Сарадња са међународним организацијама</w:t>
            </w:r>
          </w:p>
        </w:tc>
        <w:tc>
          <w:tcPr>
            <w:tcW w:w="1215" w:type="dxa"/>
          </w:tcPr>
          <w:p>
            <w:pPr>
              <w:pStyle w:val="TableParagraph"/>
              <w:spacing w:line="230" w:lineRule="auto" w:before="111"/>
              <w:ind w:left="154" w:right="90" w:firstLine="128"/>
              <w:rPr>
                <w:sz w:val="18"/>
              </w:rPr>
            </w:pPr>
            <w:r>
              <w:rPr>
                <w:sz w:val="18"/>
              </w:rPr>
              <w:t>Трајна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1095" w:type="dxa"/>
          </w:tcPr>
          <w:p>
            <w:pPr>
              <w:pStyle w:val="TableParagraph"/>
              <w:spacing w:line="230" w:lineRule="auto" w:before="6"/>
              <w:ind w:left="180" w:right="133" w:hanging="1"/>
              <w:jc w:val="center"/>
              <w:rPr>
                <w:sz w:val="18"/>
              </w:rPr>
            </w:pPr>
            <w:r>
              <w:rPr>
                <w:sz w:val="18"/>
              </w:rPr>
              <w:t>МТТ,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РАПУС,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ЈПО,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ПО</w:t>
            </w:r>
          </w:p>
        </w:tc>
      </w:tr>
    </w:tbl>
    <w:p>
      <w:pPr>
        <w:pStyle w:val="BodyText"/>
        <w:spacing w:before="7"/>
        <w:ind w:left="0"/>
        <w:rPr>
          <w:sz w:val="17"/>
        </w:rPr>
      </w:pPr>
    </w:p>
    <w:p>
      <w:pPr>
        <w:pStyle w:val="Heading1"/>
        <w:numPr>
          <w:ilvl w:val="1"/>
          <w:numId w:val="20"/>
        </w:numPr>
        <w:tabs>
          <w:tab w:pos="3563" w:val="left" w:leader="none"/>
        </w:tabs>
        <w:spacing w:line="240" w:lineRule="auto" w:before="100" w:after="0"/>
        <w:ind w:left="3562" w:right="0" w:hanging="255"/>
        <w:jc w:val="left"/>
      </w:pPr>
      <w:r>
        <w:rPr/>
        <w:t>Контрола и ревизија реализације Стратегије</w:t>
      </w:r>
    </w:p>
    <w:p>
      <w:pPr>
        <w:pStyle w:val="BodyText"/>
        <w:spacing w:line="230" w:lineRule="auto" w:before="119"/>
        <w:ind w:right="209" w:firstLine="480"/>
      </w:pPr>
      <w:r>
        <w:rPr/>
        <w:t>Циљ контроле и мониторинга спровођења Стратегије је да се путем уочавања одређених недостатака врши</w:t>
      </w:r>
      <w:r>
        <w:rPr>
          <w:spacing w:val="-61"/>
        </w:rPr>
        <w:t> </w:t>
      </w:r>
      <w:r>
        <w:rPr/>
        <w:t>усавршавање примењеног модела Стратегије. Све планиране активности спроводиће се у циљу заштите</w:t>
      </w:r>
      <w:r>
        <w:rPr>
          <w:spacing w:val="1"/>
        </w:rPr>
        <w:t> </w:t>
      </w:r>
      <w:r>
        <w:rPr/>
        <w:t>корисника поштанских услуга, запослених у поштанској делатности и заштите државних интереса.</w:t>
      </w:r>
    </w:p>
    <w:p>
      <w:pPr>
        <w:pStyle w:val="BodyText"/>
        <w:spacing w:line="230" w:lineRule="auto"/>
        <w:ind w:right="247" w:firstLine="480"/>
      </w:pPr>
      <w:r>
        <w:rPr/>
        <w:t>Контрола ће се спроводити путем контроле извршења активности наведених у Акционом плану и провером</w:t>
      </w:r>
      <w:r>
        <w:rPr>
          <w:spacing w:val="-61"/>
        </w:rPr>
        <w:t> </w:t>
      </w:r>
      <w:r>
        <w:rPr/>
        <w:t>поштовања утврђене динамике.</w:t>
      </w:r>
    </w:p>
    <w:p>
      <w:pPr>
        <w:pStyle w:val="BodyText"/>
        <w:spacing w:line="230" w:lineRule="auto"/>
        <w:ind w:right="428" w:firstLine="480"/>
      </w:pPr>
      <w:r>
        <w:rPr/>
        <w:t>Контрола ће се вршити кроз контролу реализације циљева, упоређујући и квантитативне и квалитативне</w:t>
      </w:r>
      <w:r>
        <w:rPr>
          <w:spacing w:val="-61"/>
        </w:rPr>
        <w:t> </w:t>
      </w:r>
      <w:r>
        <w:rPr/>
        <w:t>параметре. Имајући у виду динамику промена на европском поштанском тржишту, неопходно је вршити</w:t>
      </w:r>
      <w:r>
        <w:rPr>
          <w:spacing w:val="1"/>
        </w:rPr>
        <w:t> </w:t>
      </w:r>
      <w:r>
        <w:rPr/>
        <w:t>континуирано прилагођавање поштанског сектора уочавањем и отклањањем недостатака и сталним</w:t>
      </w:r>
      <w:r>
        <w:rPr>
          <w:spacing w:val="1"/>
        </w:rPr>
        <w:t> </w:t>
      </w:r>
      <w:r>
        <w:rPr/>
        <w:t>усавршавањем усвојених стратегија. Кориговање Стратегије ће се вршити, у складу са повратним</w:t>
      </w:r>
      <w:r>
        <w:rPr>
          <w:spacing w:val="1"/>
        </w:rPr>
        <w:t> </w:t>
      </w:r>
      <w:r>
        <w:rPr/>
        <w:t>информацијама из процеса контроле.</w:t>
      </w:r>
    </w:p>
    <w:p>
      <w:pPr>
        <w:pStyle w:val="BodyText"/>
        <w:spacing w:line="230" w:lineRule="auto"/>
        <w:ind w:right="186" w:firstLine="480"/>
      </w:pPr>
      <w:r>
        <w:rPr/>
        <w:t>У циљу евалуације извршавања циљева и активности потребно је да РАПУС континуирано прати, прикупља</w:t>
      </w:r>
      <w:r>
        <w:rPr>
          <w:spacing w:val="-61"/>
        </w:rPr>
        <w:t> </w:t>
      </w:r>
      <w:r>
        <w:rPr/>
        <w:t>и редовно ажурира статистичке податке и показатеље тржишта поштанских услуга, објављује статистичке</w:t>
      </w:r>
      <w:r>
        <w:rPr>
          <w:spacing w:val="1"/>
        </w:rPr>
        <w:t> </w:t>
      </w:r>
      <w:r>
        <w:rPr/>
        <w:t>податке на свом сајту и врши израду и објављивање извештаја о стању и развоју тржишта поштанских услуга у</w:t>
      </w:r>
      <w:r>
        <w:rPr>
          <w:spacing w:val="1"/>
        </w:rPr>
        <w:t> </w:t>
      </w:r>
      <w:r>
        <w:rPr/>
        <w:t>Републици Србији.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Heading1"/>
        <w:numPr>
          <w:ilvl w:val="1"/>
          <w:numId w:val="20"/>
        </w:numPr>
        <w:tabs>
          <w:tab w:pos="5228" w:val="left" w:leader="none"/>
        </w:tabs>
        <w:spacing w:line="240" w:lineRule="auto" w:before="0" w:after="0"/>
        <w:ind w:left="5227" w:right="0" w:hanging="255"/>
        <w:jc w:val="left"/>
      </w:pPr>
      <w:r>
        <w:rPr/>
        <w:t>Завршни део</w:t>
      </w:r>
    </w:p>
    <w:p>
      <w:pPr>
        <w:spacing w:after="0" w:line="240" w:lineRule="auto"/>
        <w:jc w:val="left"/>
        <w:sectPr>
          <w:pgSz w:w="12240" w:h="15840"/>
          <w:pgMar w:header="274" w:footer="280" w:top="460" w:bottom="480" w:left="580" w:right="580"/>
        </w:sectPr>
      </w:pPr>
    </w:p>
    <w:p>
      <w:pPr>
        <w:pStyle w:val="BodyText"/>
        <w:spacing w:before="90"/>
        <w:ind w:left="599"/>
      </w:pPr>
      <w:r>
        <w:rPr/>
        <w:t>Ову</w:t>
      </w:r>
      <w:r>
        <w:rPr>
          <w:spacing w:val="-6"/>
        </w:rPr>
        <w:t> </w:t>
      </w:r>
      <w:r>
        <w:rPr/>
        <w:t>стратегију</w:t>
      </w:r>
      <w:r>
        <w:rPr>
          <w:spacing w:val="-5"/>
        </w:rPr>
        <w:t> </w:t>
      </w:r>
      <w:r>
        <w:rPr/>
        <w:t>објавити</w:t>
      </w:r>
      <w:r>
        <w:rPr>
          <w:spacing w:val="-5"/>
        </w:rPr>
        <w:t> </w:t>
      </w:r>
      <w:r>
        <w:rPr/>
        <w:t>у</w:t>
      </w:r>
      <w:r>
        <w:rPr>
          <w:spacing w:val="-5"/>
        </w:rPr>
        <w:t> </w:t>
      </w:r>
      <w:r>
        <w:rPr/>
        <w:t>„Службеном</w:t>
      </w:r>
      <w:r>
        <w:rPr>
          <w:spacing w:val="-5"/>
        </w:rPr>
        <w:t> </w:t>
      </w:r>
      <w:r>
        <w:rPr/>
        <w:t>гласнику</w:t>
      </w:r>
      <w:r>
        <w:rPr>
          <w:spacing w:val="-5"/>
        </w:rPr>
        <w:t> </w:t>
      </w:r>
      <w:r>
        <w:rPr/>
        <w:t>Републике</w:t>
      </w:r>
      <w:r>
        <w:rPr>
          <w:spacing w:val="-5"/>
        </w:rPr>
        <w:t> </w:t>
      </w:r>
      <w:r>
        <w:rPr/>
        <w:t>Србије”.</w:t>
      </w:r>
    </w:p>
    <w:p>
      <w:pPr>
        <w:pStyle w:val="BodyText"/>
        <w:spacing w:before="0"/>
        <w:ind w:left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82"/>
        <w:ind w:left="0" w:right="112"/>
        <w:jc w:val="right"/>
      </w:pPr>
      <w:r>
        <w:rPr/>
        <w:t>05 број 345-3803/2013</w:t>
      </w:r>
    </w:p>
    <w:p>
      <w:pPr>
        <w:pStyle w:val="BodyText"/>
        <w:spacing w:before="142"/>
        <w:ind w:left="0" w:right="112"/>
        <w:jc w:val="right"/>
      </w:pPr>
      <w:r>
        <w:rPr/>
        <w:t>У Београду, 30. априла 2013. године</w:t>
      </w:r>
    </w:p>
    <w:p>
      <w:pPr>
        <w:pStyle w:val="Heading1"/>
        <w:spacing w:before="141"/>
        <w:ind w:left="0" w:right="112" w:firstLine="0"/>
        <w:jc w:val="right"/>
      </w:pPr>
      <w:r>
        <w:rPr/>
        <w:t>Влада</w:t>
      </w:r>
    </w:p>
    <w:p>
      <w:pPr>
        <w:pStyle w:val="BodyText"/>
        <w:spacing w:before="141"/>
        <w:ind w:left="0" w:right="112"/>
        <w:jc w:val="right"/>
      </w:pPr>
      <w:r>
        <w:rPr/>
        <w:t>Председник,</w:t>
      </w:r>
    </w:p>
    <w:p>
      <w:pPr>
        <w:spacing w:before="141"/>
        <w:ind w:left="0" w:right="112" w:firstLine="0"/>
        <w:jc w:val="right"/>
        <w:rPr>
          <w:sz w:val="18"/>
        </w:rPr>
      </w:pPr>
      <w:r>
        <w:rPr>
          <w:b/>
          <w:sz w:val="18"/>
        </w:rPr>
        <w:t>Ивица Дачић,</w:t>
      </w:r>
      <w:r>
        <w:rPr>
          <w:b/>
          <w:spacing w:val="-1"/>
          <w:sz w:val="18"/>
        </w:rPr>
        <w:t> </w:t>
      </w:r>
      <w:r>
        <w:rPr>
          <w:sz w:val="18"/>
        </w:rPr>
        <w:t>с.р.</w:t>
      </w:r>
    </w:p>
    <w:sectPr>
      <w:pgSz w:w="12240" w:h="15840"/>
      <w:pgMar w:header="274" w:footer="280" w:top="460" w:bottom="480" w:left="580" w:right="580"/>
      <w:cols w:num="2" w:equalWidth="0">
        <w:col w:w="7024" w:space="40"/>
        <w:col w:w="40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697945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5pt;margin-top:766.757813pt;width:27.05pt;height:10.95pt;mso-position-horizontal-relative:page;mso-position-vertical-relative:page;z-index:-16978944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/27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67.4pt;height:10.95pt;mso-position-horizontal-relative:page;mso-position-vertical-relative:page;z-index:-1698048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10/12/22, 1:40 PM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1.6875pt;margin-top:13.757813pt;width:24.25pt;height:10.95pt;mso-position-horizontal-relative:page;mso-position-vertical-relative:page;z-index:-1697996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9">
    <w:multiLevelType w:val="hybridMultilevel"/>
    <w:lvl w:ilvl="0">
      <w:start w:val="1"/>
      <w:numFmt w:val="decimal"/>
      <w:lvlText w:val="%1."/>
      <w:lvlJc w:val="left"/>
      <w:pPr>
        <w:ind w:left="843" w:hanging="24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5"/>
      <w:numFmt w:val="decimal"/>
      <w:lvlText w:val="%2."/>
      <w:lvlJc w:val="left"/>
      <w:pPr>
        <w:ind w:left="3765" w:hanging="25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573" w:hanging="255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386" w:hanging="255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200" w:hanging="255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013" w:hanging="255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826" w:hanging="255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640" w:hanging="255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453" w:hanging="255"/>
      </w:pPr>
      <w:rPr>
        <w:rFonts w:hint="default"/>
        <w:lang w:val="Cy-sr-SP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15">
    <w:multiLevelType w:val="hybridMultilevel"/>
    <w:lvl w:ilvl="0">
      <w:start w:val="2"/>
      <w:numFmt w:val="decimal"/>
      <w:lvlText w:val="%1)"/>
      <w:lvlJc w:val="left"/>
      <w:pPr>
        <w:ind w:left="52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05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551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2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042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3787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533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278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024" w:hanging="260"/>
      </w:pPr>
      <w:rPr>
        <w:rFonts w:hint="default"/>
        <w:lang w:val="Cy-sr-SP" w:eastAsia="en-US" w:bidi="ar-SA"/>
      </w:rPr>
    </w:lvl>
  </w:abstractNum>
  <w:abstractNum w:abstractNumId="14">
    <w:multiLevelType w:val="hybridMultilevel"/>
    <w:lvl w:ilvl="0">
      <w:start w:val="2"/>
      <w:numFmt w:val="decimal"/>
      <w:lvlText w:val="%1)"/>
      <w:lvlJc w:val="left"/>
      <w:pPr>
        <w:ind w:left="52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705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027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1350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1672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1995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2317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2640" w:hanging="260"/>
      </w:pPr>
      <w:rPr>
        <w:rFonts w:hint="default"/>
        <w:lang w:val="Cy-sr-SP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)"/>
      <w:lvlJc w:val="left"/>
      <w:pPr>
        <w:ind w:left="311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039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759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47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19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3917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637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356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076" w:hanging="260"/>
      </w:pPr>
      <w:rPr>
        <w:rFonts w:hint="default"/>
        <w:lang w:val="Cy-sr-SP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)"/>
      <w:lvlJc w:val="left"/>
      <w:pPr>
        <w:ind w:left="52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705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027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1350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1672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1995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2317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2640" w:hanging="260"/>
      </w:pPr>
      <w:rPr>
        <w:rFonts w:hint="default"/>
        <w:lang w:val="Cy-sr-SP" w:eastAsia="en-US" w:bidi="ar-SA"/>
      </w:rPr>
    </w:lvl>
  </w:abstractNum>
  <w:abstractNum w:abstractNumId="11">
    <w:multiLevelType w:val="hybridMultilevel"/>
    <w:lvl w:ilvl="0">
      <w:start w:val="3"/>
      <w:numFmt w:val="decimal"/>
      <w:lvlText w:val="%1"/>
      <w:lvlJc w:val="left"/>
      <w:pPr>
        <w:ind w:left="2047" w:hanging="42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2047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848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52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656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560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464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368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272" w:hanging="424"/>
      </w:pPr>
      <w:rPr>
        <w:rFonts w:hint="default"/>
        <w:lang w:val="Cy-sr-SP" w:eastAsia="en-US" w:bidi="ar-SA"/>
      </w:rPr>
    </w:lvl>
  </w:abstractNum>
  <w:abstractNum w:abstractNumId="10">
    <w:multiLevelType w:val="hybridMultilevel"/>
    <w:lvl w:ilvl="0">
      <w:start w:val="11"/>
      <w:numFmt w:val="decimal"/>
      <w:lvlText w:val="%1"/>
      <w:lvlJc w:val="left"/>
      <w:pPr>
        <w:ind w:left="412" w:hanging="293"/>
        <w:jc w:val="left"/>
      </w:pPr>
      <w:rPr>
        <w:rFonts w:hint="default" w:ascii="Verdana" w:hAnsi="Verdana" w:eastAsia="Verdana" w:cs="Verdana"/>
        <w:i/>
        <w:iCs/>
        <w:w w:val="100"/>
        <w:position w:val="7"/>
        <w:sz w:val="18"/>
        <w:szCs w:val="18"/>
        <w:lang w:val="Cy-sr-SP" w:eastAsia="en-US" w:bidi="ar-SA"/>
      </w:rPr>
    </w:lvl>
    <w:lvl w:ilvl="1">
      <w:start w:val="1"/>
      <w:numFmt w:val="decimal"/>
      <w:lvlText w:val="%2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240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220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200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8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160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140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20" w:hanging="260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5"/>
      <w:numFmt w:val="decimal"/>
      <w:lvlText w:val="%1"/>
      <w:lvlJc w:val="left"/>
      <w:pPr>
        <w:ind w:left="297" w:hanging="178"/>
        <w:jc w:val="left"/>
      </w:pPr>
      <w:rPr>
        <w:rFonts w:hint="default" w:ascii="Verdana" w:hAnsi="Verdana" w:eastAsia="Verdana" w:cs="Verdana"/>
        <w:i/>
        <w:iCs/>
        <w:w w:val="100"/>
        <w:position w:val="7"/>
        <w:sz w:val="18"/>
        <w:szCs w:val="18"/>
        <w:lang w:val="Cy-sr-SP" w:eastAsia="en-US" w:bidi="ar-SA"/>
      </w:rPr>
    </w:lvl>
    <w:lvl w:ilvl="1">
      <w:start w:val="1"/>
      <w:numFmt w:val="decimal"/>
      <w:lvlText w:val="%2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497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95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893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091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288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486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684" w:hanging="260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2"/>
      <w:numFmt w:val="decimal"/>
      <w:lvlText w:val="%1"/>
      <w:lvlJc w:val="left"/>
      <w:pPr>
        <w:ind w:left="2269" w:hanging="42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2269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24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906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788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670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552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434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316" w:hanging="424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728" w:hanging="25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4353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5426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133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840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546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253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960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666" w:hanging="424"/>
      </w:pPr>
      <w:rPr>
        <w:rFonts w:hint="default"/>
        <w:lang w:val="Cy-sr-SP" w:eastAsia="en-US" w:bidi="ar-SA"/>
      </w:rPr>
    </w:lvl>
  </w:abstract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spacing w:before="150"/>
      <w:ind w:left="119"/>
    </w:pPr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1240" w:hanging="255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spacing w:before="141"/>
      <w:ind w:left="119" w:hanging="261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>
      <w:spacing w:line="218" w:lineRule="exact"/>
      <w:ind w:left="52"/>
    </w:pPr>
    <w:rPr>
      <w:rFonts w:ascii="Verdana" w:hAnsi="Verdana" w:eastAsia="Verdana" w:cs="Verdana"/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hyperlink" Target="http://www.e-glasnik.rs/SlGlasnikPortal/viewdoc?uuid=72544979-9991-483c-a706-7b05b5eb95e7" TargetMode="External"/><Relationship Id="rId16" Type="http://schemas.openxmlformats.org/officeDocument/2006/relationships/hyperlink" Target="http://www.apml.gov.rs/cyr34/tdoc/" TargetMode="External"/><Relationship Id="rId17" Type="http://schemas.openxmlformats.org/officeDocument/2006/relationships/image" Target="media/image9.png"/><Relationship Id="rId1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2022-10-12T11:41:42Z</dcterms:created>
  <dcterms:modified xsi:type="dcterms:W3CDTF">2022-10-12T11:41:42Z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2022-10-12T00:00:00Z</vt:filetime>
  </property>
</Properties>
</file>