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gif" PartName="/word/media/document_image_rId10.gif"/>
  <Override ContentType="image/gif" PartName="/word/media/document_image_rId11.gif"/>
  <Override ContentType="image/gif" PartName="/word/media/document_image_rId12.gif"/>
  <Override ContentType="image/gif" PartName="/word/media/document_image_rId13.gif"/>
  <Override ContentType="image/gif" PartName="/word/media/document_image_rId14.gif"/>
  <Override ContentType="image/gif" PartName="/word/media/document_image_rId15.gif"/>
  <Override ContentType="image/gif" PartName="/word/media/document_image_rId16.gif"/>
  <Override ContentType="image/gif" PartName="/word/media/document_image_rId17.gif"/>
  <Override ContentType="image/gif" PartName="/word/media/document_image_rId18.gif"/>
  <Override ContentType="image/gif" PartName="/word/media/document_image_rId19.gif"/>
  <Override ContentType="image/gif" PartName="/word/media/document_image_rId20.gif"/>
  <Override ContentType="image/gif" PartName="/word/media/document_image_rId4.gif"/>
  <Override ContentType="image/gif" PartName="/word/media/document_image_rId5.gif"/>
  <Override ContentType="image/gif" PartName="/word/media/document_image_rId6.gif"/>
  <Override ContentType="image/gif" PartName="/word/media/document_image_rId7.gif"/>
  <Override ContentType="image/gif" PartName="/word/media/document_image_rId8.gif"/>
  <Override ContentType="image/gif" PartName="/word/media/document_image_rId9.gif"/>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67b3fa6" w14:textId="67b3fa6">
      <w:pPr>
        <w:spacing w:after="150"/>
        <w:ind w:left="0"/>
        <w:jc w:val="left"/>
        <w15:collapsed w:val="false"/>
      </w:pP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0"/>
        <w:ind w:left="0"/>
        <w:jc w:val="right"/>
      </w:pPr>
      <w:r>
        <w:rPr>
          <w:rFonts w:ascii="Arial"/>
          <w:b/>
          <w:i w:val="false"/>
          <w:color w:val="000000"/>
          <w:sz w:val="22"/>
        </w:rPr>
        <w:t>Редакцијски пречишћен текст</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На основу члана 45. став 1. Закона о Влади („Службени гласник РС”, бр. 55/05, 71/05 – исправка и 101/07),</w:t>
      </w:r>
    </w:p>
    <w:p>
      <w:pPr>
        <w:spacing w:after="0"/>
        <w:ind w:left="0"/>
        <w:jc w:val="left"/>
      </w:pPr>
      <w:r>
        <w:rPr>
          <w:rFonts w:ascii="Verdana"/>
          <w:b w:val="false"/>
          <w:i w:val="false"/>
          <w:color w:val="000000"/>
          <w:sz w:val="22"/>
        </w:rPr>
        <w:t>Влада доноси</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СТРАТЕГИЈУ</w:t>
      </w:r>
    </w:p>
    <w:p>
      <w:pPr>
        <w:spacing w:after="0"/>
        <w:ind w:left="0"/>
        <w:jc w:val="center"/>
      </w:pPr>
      <w:r>
        <w:rPr>
          <w:rFonts w:ascii="Verdana"/>
          <w:b/>
          <w:i w:val="false"/>
          <w:color w:val="000000"/>
          <w:sz w:val="22"/>
        </w:rPr>
        <w:t>развоја поштанских услуга у Србији</w:t>
      </w:r>
    </w:p>
    <w:p>
      <w:pPr>
        <w:spacing w:after="0"/>
        <w:ind w:left="0"/>
        <w:jc w:val="center"/>
      </w:pPr>
      <w:r>
        <w:rPr>
          <w:rFonts w:ascii="Verdana"/>
          <w:b w:val="false"/>
          <w:i w:val="false"/>
          <w:color w:val="000000"/>
          <w:sz w:val="22"/>
        </w:rPr>
        <w:t>"Службени гласник РС", бр</w:t>
      </w:r>
      <w:r>
        <w:rPr>
          <w:rFonts w:ascii="Verdana"/>
          <w:b w:val="false"/>
          <w:i w:val="false"/>
          <w:color w:val="000000"/>
          <w:sz w:val="22"/>
        </w:rPr>
        <w:t>.</w:t>
      </w:r>
      <w:r>
        <w:rPr>
          <w:rFonts w:ascii="Verdana"/>
          <w:b w:val="false"/>
          <w:i w:val="false"/>
          <w:color w:val="000000"/>
          <w:sz w:val="22"/>
        </w:rPr>
        <w:t xml:space="preserve"> </w:t>
      </w:r>
      <w:r>
        <w:rPr>
          <w:rFonts w:ascii="Verdana"/>
          <w:b w:val="false"/>
          <w:i w:val="false"/>
          <w:color w:val="000000"/>
          <w:sz w:val="22"/>
        </w:rPr>
        <w:t>23 од 29.</w:t>
      </w:r>
      <w:r>
        <w:rPr>
          <w:rFonts w:ascii="Verdana"/>
          <w:b w:val="false"/>
          <w:i w:val="false"/>
          <w:color w:val="000000"/>
          <w:sz w:val="22"/>
        </w:rPr>
        <w:t xml:space="preserve"> </w:t>
      </w:r>
      <w:r>
        <w:rPr>
          <w:rFonts w:ascii="Verdana"/>
          <w:b w:val="false"/>
          <w:i w:val="false"/>
          <w:color w:val="000000"/>
          <w:sz w:val="22"/>
        </w:rPr>
        <w:t>фебруара</w:t>
      </w:r>
      <w:r>
        <w:rPr>
          <w:rFonts w:ascii="Verdana"/>
          <w:b w:val="false"/>
          <w:i w:val="false"/>
          <w:color w:val="000000"/>
          <w:sz w:val="22"/>
        </w:rPr>
        <w:t xml:space="preserve"> </w:t>
      </w:r>
      <w:r>
        <w:rPr>
          <w:rFonts w:ascii="Verdana"/>
          <w:b w:val="false"/>
          <w:i w:val="false"/>
          <w:color w:val="000000"/>
          <w:sz w:val="22"/>
        </w:rPr>
        <w:t>2008</w:t>
      </w:r>
      <w:r>
        <w:rPr>
          <w:rFonts w:ascii="Verdana"/>
          <w:b w:val="false"/>
          <w:i w:val="false"/>
          <w:color w:val="000000"/>
          <w:sz w:val="22"/>
        </w:rPr>
        <w:t>, 21 од 6. априла 2010.</w:t>
      </w:r>
    </w:p>
    <w:p>
      <w:pPr>
        <w:spacing w:after="0"/>
        <w:ind w:left="0"/>
        <w:jc w:val="left"/>
      </w:pPr>
      <w:r>
        <w:rPr>
          <w:rFonts w:ascii="Verdana"/>
          <w:b w:val="false"/>
          <w:i w:val="false"/>
          <w:color w:val="000000"/>
          <w:sz w:val="22"/>
        </w:rPr>
        <w:t> </w:t>
      </w:r>
    </w:p>
    <w:p>
      <w:pPr>
        <w:spacing w:after="0"/>
        <w:ind w:left="0"/>
        <w:jc w:val="center"/>
      </w:pPr>
      <w:r>
        <w:rPr>
          <w:rFonts w:ascii="Verdana"/>
          <w:b w:val="false"/>
          <w:i w:val="false"/>
          <w:color w:val="000000"/>
          <w:sz w:val="22"/>
        </w:rPr>
        <w:t> УВОДНИ ДЕО</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Доношењем Стратегије развоја поштанских услуга у Србији (у даљем тексту: Стратегија) Влада утврђује правце развоја поштанских услуга у Републици Србији, начин њихове реализације, као и мере за унапређење и развој конкурентских односа на тржишту поштанских услуга. Обављање универзалне поштанске услуге се поверава Јавном поштанском оператору и истовремено се омогућава обављање осталих поштанских услуга и другим поштанским операторима сходно утврђеним стандардима квалитета и потребама грађана и привреде. На овај начин ће у Републици Србији бити задовољена потреба нације за квалитетним и свима доступним традиционалним (класичним) и електронским поштанским услугама што ће битно утицати и на развој малих и средњих предузећа.</w:t>
      </w:r>
    </w:p>
    <w:p>
      <w:pPr>
        <w:spacing w:after="0"/>
        <w:ind w:left="0"/>
        <w:jc w:val="left"/>
      </w:pPr>
      <w:r>
        <w:rPr>
          <w:rFonts w:ascii="Verdana"/>
          <w:b w:val="false"/>
          <w:i w:val="false"/>
          <w:color w:val="000000"/>
          <w:sz w:val="22"/>
        </w:rPr>
        <w:t>Стратегијом се дефинишу циљеви Републике Србије у области поштанских услуга и утврђује Акциони план за реализацију формулисаних стратешких циљева.</w:t>
      </w:r>
    </w:p>
    <w:p>
      <w:pPr>
        <w:spacing w:after="0"/>
        <w:ind w:left="0"/>
        <w:jc w:val="left"/>
      </w:pPr>
      <w:r>
        <w:rPr>
          <w:rFonts w:ascii="Verdana"/>
          <w:b w:val="false"/>
          <w:i w:val="false"/>
          <w:color w:val="000000"/>
          <w:sz w:val="22"/>
        </w:rPr>
        <w:t>Стратегија обухвата пет области:</w:t>
      </w:r>
    </w:p>
    <w:p>
      <w:pPr>
        <w:spacing w:after="0"/>
        <w:ind w:left="0"/>
        <w:jc w:val="left"/>
      </w:pPr>
      <w:r>
        <w:rPr>
          <w:rFonts w:ascii="Verdana"/>
          <w:b w:val="false"/>
          <w:i w:val="false"/>
          <w:color w:val="000000"/>
          <w:sz w:val="22"/>
        </w:rPr>
        <w:t>1. Потреба за трансформацијом поштанског сектора,</w:t>
      </w:r>
    </w:p>
    <w:p>
      <w:pPr>
        <w:spacing w:after="0"/>
        <w:ind w:left="0"/>
        <w:jc w:val="left"/>
      </w:pPr>
      <w:r>
        <w:rPr>
          <w:rFonts w:ascii="Verdana"/>
          <w:b w:val="false"/>
          <w:i w:val="false"/>
          <w:color w:val="000000"/>
          <w:sz w:val="22"/>
        </w:rPr>
        <w:t>2. Анализа окружења поштанског сектора,</w:t>
      </w:r>
    </w:p>
    <w:p>
      <w:pPr>
        <w:spacing w:after="0"/>
        <w:ind w:left="0"/>
        <w:jc w:val="left"/>
      </w:pPr>
      <w:r>
        <w:rPr>
          <w:rFonts w:ascii="Verdana"/>
          <w:b w:val="false"/>
          <w:i w:val="false"/>
          <w:color w:val="000000"/>
          <w:sz w:val="22"/>
        </w:rPr>
        <w:t>3. Формулисање Стратегије,</w:t>
      </w:r>
    </w:p>
    <w:p>
      <w:pPr>
        <w:spacing w:after="0"/>
        <w:ind w:left="0"/>
        <w:jc w:val="left"/>
      </w:pPr>
      <w:r>
        <w:rPr>
          <w:rFonts w:ascii="Verdana"/>
          <w:b w:val="false"/>
          <w:i w:val="false"/>
          <w:color w:val="000000"/>
          <w:sz w:val="22"/>
        </w:rPr>
        <w:t>4. Спровођење стратегија развоја поштанских услуга у Републици Србији и</w:t>
      </w:r>
    </w:p>
    <w:p>
      <w:pPr>
        <w:spacing w:after="0"/>
        <w:ind w:left="0"/>
        <w:jc w:val="left"/>
      </w:pPr>
      <w:r>
        <w:rPr>
          <w:rFonts w:ascii="Verdana"/>
          <w:b w:val="false"/>
          <w:i w:val="false"/>
          <w:color w:val="000000"/>
          <w:sz w:val="22"/>
        </w:rPr>
        <w:t>5. Контрола и развој Стратегије.</w:t>
      </w:r>
    </w:p>
    <w:p>
      <w:pPr>
        <w:spacing w:after="0"/>
        <w:ind w:left="0"/>
        <w:jc w:val="left"/>
      </w:pPr>
      <w:r>
        <w:rPr>
          <w:rFonts w:ascii="Verdana"/>
          <w:b w:val="false"/>
          <w:i w:val="false"/>
          <w:color w:val="000000"/>
          <w:sz w:val="22"/>
        </w:rPr>
        <w:t>Скраћенице и изрази који се користе у тексту Стратегије имају следеће значење:</w:t>
      </w:r>
    </w:p>
    <w:p>
      <w:pPr>
        <w:spacing w:after="0"/>
        <w:ind w:left="0"/>
        <w:jc w:val="left"/>
      </w:pPr>
      <w:r>
        <w:rPr>
          <w:rFonts w:ascii="Verdana"/>
          <w:b w:val="false"/>
          <w:i w:val="false"/>
          <w:color w:val="000000"/>
          <w:sz w:val="22"/>
        </w:rPr>
        <w:t>UPU – Universal Postal Union – Светски поштански савез;</w:t>
      </w:r>
    </w:p>
    <w:p>
      <w:pPr>
        <w:spacing w:after="0"/>
        <w:ind w:left="0"/>
        <w:jc w:val="left"/>
      </w:pPr>
      <w:r>
        <w:rPr>
          <w:rFonts w:ascii="Verdana"/>
          <w:b w:val="false"/>
          <w:i w:val="false"/>
          <w:color w:val="000000"/>
          <w:sz w:val="22"/>
        </w:rPr>
        <w:t>БДП – Бруто домаћи производ;</w:t>
      </w:r>
    </w:p>
    <w:p>
      <w:pPr>
        <w:spacing w:after="0"/>
        <w:ind w:left="0"/>
        <w:jc w:val="left"/>
      </w:pPr>
      <w:r>
        <w:rPr>
          <w:rFonts w:ascii="Verdana"/>
          <w:b w:val="false"/>
          <w:i w:val="false"/>
          <w:color w:val="000000"/>
          <w:sz w:val="22"/>
        </w:rPr>
        <w:t>ЕУ – Европска унија;</w:t>
      </w:r>
    </w:p>
    <w:p>
      <w:pPr>
        <w:spacing w:after="0"/>
        <w:ind w:left="0"/>
        <w:jc w:val="left"/>
      </w:pPr>
      <w:r>
        <w:rPr>
          <w:rFonts w:ascii="Verdana"/>
          <w:b w:val="false"/>
          <w:i w:val="false"/>
          <w:color w:val="000000"/>
          <w:sz w:val="22"/>
        </w:rPr>
        <w:t>USP – Universal Service Provider – Оператор универзалне услуге;</w:t>
      </w:r>
    </w:p>
    <w:p>
      <w:pPr>
        <w:spacing w:after="0"/>
        <w:ind w:left="0"/>
        <w:jc w:val="left"/>
      </w:pPr>
      <w:r>
        <w:rPr>
          <w:rFonts w:ascii="Verdana"/>
          <w:b w:val="false"/>
          <w:i w:val="false"/>
          <w:color w:val="000000"/>
          <w:sz w:val="22"/>
        </w:rPr>
        <w:t>ДП – Друштвени производ;</w:t>
      </w:r>
    </w:p>
    <w:p>
      <w:pPr>
        <w:spacing w:after="0"/>
        <w:ind w:left="0"/>
        <w:jc w:val="left"/>
      </w:pPr>
      <w:r>
        <w:rPr>
          <w:rFonts w:ascii="Verdana"/>
          <w:b w:val="false"/>
          <w:i w:val="false"/>
          <w:color w:val="000000"/>
          <w:sz w:val="22"/>
        </w:rPr>
        <w:t>НД – Национални доходак;</w:t>
      </w:r>
    </w:p>
    <w:p>
      <w:pPr>
        <w:spacing w:after="0"/>
        <w:ind w:left="0"/>
        <w:jc w:val="left"/>
      </w:pPr>
      <w:r>
        <w:rPr>
          <w:rFonts w:ascii="Verdana"/>
          <w:b w:val="false"/>
          <w:i w:val="false"/>
          <w:color w:val="000000"/>
          <w:sz w:val="22"/>
        </w:rPr>
        <w:t>НБС – Народна банка Србије;</w:t>
      </w:r>
    </w:p>
    <w:p>
      <w:pPr>
        <w:spacing w:after="0"/>
        <w:ind w:left="0"/>
        <w:jc w:val="left"/>
      </w:pPr>
      <w:r>
        <w:rPr>
          <w:rFonts w:ascii="Verdana"/>
          <w:b w:val="false"/>
          <w:i w:val="false"/>
          <w:color w:val="000000"/>
          <w:sz w:val="22"/>
        </w:rPr>
        <w:t>ЈПО – Јавни поштански оператор;</w:t>
      </w:r>
    </w:p>
    <w:p>
      <w:pPr>
        <w:spacing w:after="0"/>
        <w:ind w:left="0"/>
        <w:jc w:val="left"/>
      </w:pPr>
      <w:r>
        <w:rPr>
          <w:rFonts w:ascii="Verdana"/>
          <w:b w:val="false"/>
          <w:i w:val="false"/>
          <w:color w:val="000000"/>
          <w:sz w:val="22"/>
        </w:rPr>
        <w:t>ЈПМ – Јединица поштанске мреже;</w:t>
      </w:r>
    </w:p>
    <w:p>
      <w:pPr>
        <w:spacing w:after="0"/>
        <w:ind w:left="0"/>
        <w:jc w:val="left"/>
      </w:pPr>
      <w:r>
        <w:rPr>
          <w:rFonts w:ascii="Verdana"/>
          <w:b w:val="false"/>
          <w:i w:val="false"/>
          <w:color w:val="000000"/>
          <w:sz w:val="22"/>
        </w:rPr>
        <w:t>РЗР – Републички завод за развој;</w:t>
      </w:r>
    </w:p>
    <w:p>
      <w:pPr>
        <w:spacing w:after="0"/>
        <w:ind w:left="0"/>
        <w:jc w:val="left"/>
      </w:pPr>
      <w:r>
        <w:rPr>
          <w:rFonts w:ascii="Verdana"/>
          <w:b w:val="false"/>
          <w:i w:val="false"/>
          <w:color w:val="000000"/>
          <w:sz w:val="22"/>
        </w:rPr>
        <w:t>РСЗ – Републички статистички завод;</w:t>
      </w:r>
    </w:p>
    <w:p>
      <w:pPr>
        <w:spacing w:after="0"/>
        <w:ind w:left="0"/>
        <w:jc w:val="left"/>
      </w:pPr>
      <w:r>
        <w:rPr>
          <w:rFonts w:ascii="Verdana"/>
          <w:b w:val="false"/>
          <w:i w:val="false"/>
          <w:color w:val="000000"/>
          <w:sz w:val="22"/>
        </w:rPr>
        <w:t>ДХЛ – Немачки експресни поштански оператор;</w:t>
      </w:r>
    </w:p>
    <w:p>
      <w:pPr>
        <w:spacing w:after="0"/>
        <w:ind w:left="0"/>
        <w:jc w:val="left"/>
      </w:pPr>
      <w:r>
        <w:rPr>
          <w:rFonts w:ascii="Verdana"/>
          <w:b w:val="false"/>
          <w:i w:val="false"/>
          <w:color w:val="000000"/>
          <w:sz w:val="22"/>
        </w:rPr>
        <w:t>УПС – Амерички експресни поштански оператор;</w:t>
      </w:r>
    </w:p>
    <w:p>
      <w:pPr>
        <w:spacing w:after="0"/>
        <w:ind w:left="0"/>
        <w:jc w:val="left"/>
      </w:pPr>
      <w:r>
        <w:rPr>
          <w:rFonts w:ascii="Verdana"/>
          <w:b w:val="false"/>
          <w:i w:val="false"/>
          <w:color w:val="000000"/>
          <w:sz w:val="22"/>
        </w:rPr>
        <w:t>ТПГ – Холандски експресни поштански оператор;</w:t>
      </w:r>
    </w:p>
    <w:p>
      <w:pPr>
        <w:spacing w:after="0"/>
        <w:ind w:left="0"/>
        <w:jc w:val="left"/>
      </w:pPr>
      <w:r>
        <w:rPr>
          <w:rFonts w:ascii="Verdana"/>
          <w:b w:val="false"/>
          <w:i w:val="false"/>
          <w:color w:val="000000"/>
          <w:sz w:val="22"/>
        </w:rPr>
        <w:t>ТНТ – Холандски експресни поштански оператор;</w:t>
      </w:r>
    </w:p>
    <w:p>
      <w:pPr>
        <w:spacing w:after="0"/>
        <w:ind w:left="0"/>
        <w:jc w:val="left"/>
      </w:pPr>
      <w:r>
        <w:rPr>
          <w:rFonts w:ascii="Verdana"/>
          <w:b w:val="false"/>
          <w:i w:val="false"/>
          <w:color w:val="000000"/>
          <w:sz w:val="22"/>
        </w:rPr>
        <w:t>FedEx – Амерички експресни поштански оператор;</w:t>
      </w:r>
    </w:p>
    <w:p>
      <w:pPr>
        <w:spacing w:after="0"/>
        <w:ind w:left="0"/>
        <w:jc w:val="left"/>
      </w:pPr>
      <w:r>
        <w:rPr>
          <w:rFonts w:ascii="Verdana"/>
          <w:b w:val="false"/>
          <w:i w:val="false"/>
          <w:color w:val="000000"/>
          <w:sz w:val="22"/>
        </w:rPr>
        <w:t>PostEurop – Асоцијација ЈПО Европе;</w:t>
      </w:r>
    </w:p>
    <w:p>
      <w:pPr>
        <w:spacing w:after="0"/>
        <w:ind w:left="0"/>
        <w:jc w:val="left"/>
      </w:pPr>
      <w:r>
        <w:rPr>
          <w:rFonts w:ascii="Verdana"/>
          <w:b w:val="false"/>
          <w:i/>
          <w:color w:val="000000"/>
          <w:sz w:val="22"/>
        </w:rPr>
        <w:t>Direct mail</w:t>
      </w:r>
      <w:r>
        <w:rPr>
          <w:rFonts w:ascii="Verdana"/>
          <w:b w:val="false"/>
          <w:i w:val="false"/>
          <w:color w:val="000000"/>
          <w:sz w:val="22"/>
        </w:rPr>
        <w:t xml:space="preserve"> </w:t>
      </w:r>
      <w:r>
        <w:rPr>
          <w:rFonts w:ascii="Verdana"/>
          <w:b w:val="false"/>
          <w:i w:val="false"/>
          <w:color w:val="000000"/>
          <w:sz w:val="22"/>
        </w:rPr>
        <w:t>– Услуга директне поште;</w:t>
      </w:r>
    </w:p>
    <w:p>
      <w:pPr>
        <w:spacing w:after="0"/>
        <w:ind w:left="0"/>
        <w:jc w:val="left"/>
      </w:pPr>
      <w:r>
        <w:rPr>
          <w:rFonts w:ascii="Verdana"/>
          <w:b w:val="false"/>
          <w:i/>
          <w:color w:val="000000"/>
          <w:sz w:val="22"/>
        </w:rPr>
        <w:t>T&amp;T – Track and trace</w:t>
      </w:r>
      <w:r>
        <w:rPr>
          <w:rFonts w:ascii="Verdana"/>
          <w:b w:val="false"/>
          <w:i w:val="false"/>
          <w:color w:val="000000"/>
          <w:sz w:val="22"/>
        </w:rPr>
        <w:t xml:space="preserve"> </w:t>
      </w:r>
      <w:r>
        <w:rPr>
          <w:rFonts w:ascii="Verdana"/>
          <w:b w:val="false"/>
          <w:i w:val="false"/>
          <w:color w:val="000000"/>
          <w:sz w:val="22"/>
        </w:rPr>
        <w:t>– Услуга електронског праћења преноса пошиљака;</w:t>
      </w:r>
    </w:p>
    <w:p>
      <w:pPr>
        <w:spacing w:after="0"/>
        <w:ind w:left="0"/>
        <w:jc w:val="left"/>
      </w:pPr>
      <w:r>
        <w:rPr>
          <w:rFonts w:ascii="Verdana"/>
          <w:b w:val="false"/>
          <w:i w:val="false"/>
          <w:color w:val="000000"/>
          <w:sz w:val="22"/>
        </w:rPr>
        <w:t>CEP – Courrier Express Parcel;</w:t>
      </w:r>
    </w:p>
    <w:p>
      <w:pPr>
        <w:spacing w:after="0"/>
        <w:ind w:left="0"/>
        <w:jc w:val="left"/>
      </w:pPr>
      <w:r>
        <w:rPr>
          <w:rFonts w:ascii="Verdana"/>
          <w:b w:val="false"/>
          <w:i w:val="false"/>
          <w:color w:val="000000"/>
          <w:sz w:val="22"/>
        </w:rPr>
        <w:t>DPWN – Deutsche Post World Net;</w:t>
      </w:r>
    </w:p>
    <w:p>
      <w:pPr>
        <w:spacing w:after="0"/>
        <w:ind w:left="0"/>
        <w:jc w:val="left"/>
      </w:pPr>
      <w:r>
        <w:rPr>
          <w:rFonts w:ascii="Verdana"/>
          <w:b w:val="false"/>
          <w:i/>
          <w:color w:val="000000"/>
          <w:sz w:val="22"/>
        </w:rPr>
        <w:t>Express mail</w:t>
      </w:r>
      <w:r>
        <w:rPr>
          <w:rFonts w:ascii="Verdana"/>
          <w:b w:val="false"/>
          <w:i w:val="false"/>
          <w:color w:val="000000"/>
          <w:sz w:val="22"/>
        </w:rPr>
        <w:t xml:space="preserve"> </w:t>
      </w:r>
      <w:r>
        <w:rPr>
          <w:rFonts w:ascii="Verdana"/>
          <w:b w:val="false"/>
          <w:i w:val="false"/>
          <w:color w:val="000000"/>
          <w:sz w:val="22"/>
        </w:rPr>
        <w:t>– Услуга експресног преноса пошиљака;</w:t>
      </w:r>
    </w:p>
    <w:p>
      <w:pPr>
        <w:spacing w:after="0"/>
        <w:ind w:left="0"/>
        <w:jc w:val="left"/>
      </w:pPr>
      <w:r>
        <w:rPr>
          <w:rFonts w:ascii="Verdana"/>
          <w:b w:val="false"/>
          <w:i w:val="false"/>
          <w:color w:val="000000"/>
          <w:sz w:val="22"/>
        </w:rPr>
        <w:t>EMS – Express Mail Services;</w:t>
      </w:r>
    </w:p>
    <w:p>
      <w:pPr>
        <w:spacing w:after="0"/>
        <w:ind w:left="0"/>
        <w:jc w:val="left"/>
      </w:pPr>
      <w:r>
        <w:rPr>
          <w:rFonts w:ascii="Verdana"/>
          <w:b w:val="false"/>
          <w:i w:val="false"/>
          <w:color w:val="000000"/>
          <w:sz w:val="22"/>
        </w:rPr>
        <w:t>USPS – United States Postal Service;</w:t>
      </w:r>
    </w:p>
    <w:p>
      <w:pPr>
        <w:spacing w:after="0"/>
        <w:ind w:left="0"/>
        <w:jc w:val="left"/>
      </w:pPr>
      <w:r>
        <w:rPr>
          <w:rFonts w:ascii="Verdana"/>
          <w:b w:val="false"/>
          <w:i w:val="false"/>
          <w:color w:val="000000"/>
          <w:sz w:val="22"/>
        </w:rPr>
        <w:t>SMS – Smart Mail Services;</w:t>
      </w:r>
    </w:p>
    <w:p>
      <w:pPr>
        <w:spacing w:after="0"/>
        <w:ind w:left="0"/>
        <w:jc w:val="left"/>
      </w:pPr>
      <w:r>
        <w:rPr>
          <w:rFonts w:ascii="Verdana"/>
          <w:b w:val="false"/>
          <w:i/>
          <w:color w:val="000000"/>
          <w:sz w:val="22"/>
        </w:rPr>
        <w:t>Cost-based pricing</w:t>
      </w:r>
      <w:r>
        <w:rPr>
          <w:rFonts w:ascii="Verdana"/>
          <w:b w:val="false"/>
          <w:i w:val="false"/>
          <w:color w:val="000000"/>
          <w:sz w:val="22"/>
        </w:rPr>
        <w:t xml:space="preserve"> </w:t>
      </w:r>
      <w:r>
        <w:rPr>
          <w:rFonts w:ascii="Verdana"/>
          <w:b w:val="false"/>
          <w:i w:val="false"/>
          <w:color w:val="000000"/>
          <w:sz w:val="22"/>
        </w:rPr>
        <w:t>– одређивање цена на основу коштања услуге;</w:t>
      </w:r>
    </w:p>
    <w:p>
      <w:pPr>
        <w:spacing w:after="0"/>
        <w:ind w:left="0"/>
        <w:jc w:val="left"/>
      </w:pPr>
      <w:r>
        <w:rPr>
          <w:rFonts w:ascii="Verdana"/>
          <w:b w:val="false"/>
          <w:i w:val="false"/>
          <w:color w:val="000000"/>
          <w:sz w:val="22"/>
        </w:rPr>
        <w:t>GATS – General Agreements on Trade in Services – Општи споразум о трговини услугама;</w:t>
      </w:r>
    </w:p>
    <w:p>
      <w:pPr>
        <w:spacing w:after="0"/>
        <w:ind w:left="0"/>
        <w:jc w:val="left"/>
      </w:pPr>
      <w:r>
        <w:rPr>
          <w:rFonts w:ascii="Verdana"/>
          <w:b w:val="false"/>
          <w:i w:val="false"/>
          <w:color w:val="000000"/>
          <w:sz w:val="22"/>
        </w:rPr>
        <w:t>ACCORD II – „Програм за обнову”;</w:t>
      </w:r>
    </w:p>
    <w:p>
      <w:pPr>
        <w:spacing w:after="0"/>
        <w:ind w:left="0"/>
        <w:jc w:val="left"/>
      </w:pPr>
      <w:r>
        <w:rPr>
          <w:rFonts w:ascii="Verdana"/>
          <w:b w:val="false"/>
          <w:i w:val="false"/>
          <w:color w:val="000000"/>
          <w:sz w:val="22"/>
        </w:rPr>
        <w:t>ГПЦ – Главни поштански центар;</w:t>
      </w:r>
    </w:p>
    <w:p>
      <w:pPr>
        <w:spacing w:after="0"/>
        <w:ind w:left="0"/>
        <w:jc w:val="left"/>
      </w:pPr>
      <w:r>
        <w:rPr>
          <w:rFonts w:ascii="Verdana"/>
          <w:b w:val="false"/>
          <w:i w:val="false"/>
          <w:color w:val="000000"/>
          <w:sz w:val="22"/>
        </w:rPr>
        <w:t>WTO – World Trade Organization – Светска трговинска организација;</w:t>
      </w:r>
    </w:p>
    <w:p>
      <w:pPr>
        <w:spacing w:after="0"/>
        <w:ind w:left="0"/>
        <w:jc w:val="left"/>
      </w:pPr>
      <w:r>
        <w:rPr>
          <w:rFonts w:ascii="Verdana"/>
          <w:b w:val="false"/>
          <w:i w:val="false"/>
          <w:color w:val="000000"/>
          <w:sz w:val="22"/>
        </w:rPr>
        <w:t>МСП – Мала и средња предузећа;</w:t>
      </w:r>
    </w:p>
    <w:p>
      <w:pPr>
        <w:spacing w:after="0"/>
        <w:ind w:left="0"/>
        <w:jc w:val="left"/>
      </w:pPr>
      <w:r>
        <w:rPr>
          <w:rFonts w:ascii="Verdana"/>
          <w:b w:val="false"/>
          <w:i w:val="false"/>
          <w:color w:val="000000"/>
          <w:sz w:val="22"/>
        </w:rPr>
        <w:t>БДВ – Бруто додата вредност;</w:t>
      </w:r>
    </w:p>
    <w:p>
      <w:pPr>
        <w:spacing w:after="0"/>
        <w:ind w:left="0"/>
        <w:jc w:val="left"/>
      </w:pPr>
      <w:r>
        <w:rPr>
          <w:rFonts w:ascii="Verdana"/>
          <w:b w:val="false"/>
          <w:i w:val="false"/>
          <w:color w:val="000000"/>
          <w:sz w:val="22"/>
        </w:rPr>
        <w:t>EDI – Electronic Data Interchange – електронска размена података;</w:t>
      </w:r>
    </w:p>
    <w:p>
      <w:pPr>
        <w:spacing w:after="0"/>
        <w:ind w:left="0"/>
        <w:jc w:val="left"/>
      </w:pPr>
      <w:r>
        <w:rPr>
          <w:rFonts w:ascii="Verdana"/>
          <w:b w:val="false"/>
          <w:i w:val="false"/>
          <w:color w:val="000000"/>
          <w:sz w:val="22"/>
        </w:rPr>
        <w:t>Д+2 – Рок за уручење пошиљака је два дана од дана пријема исте.</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1. Потреба за трансформацијом поштанског сектора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Поштанска реформа је генерални назив за све директно или индиректно предузете мере и кораке у процесу побољшања квалитета поштанских услуга, модернизације поштанског сектора, редукције цена и спровођења структурних и регулаторних промена. То је систематски и свеобухватни програм државних промена, подржан доношењем закона који прецизно дефинише овлашћења и одговорности између поштанске управе, оператора и државних органа.</w:t>
      </w:r>
    </w:p>
    <w:p>
      <w:pPr>
        <w:spacing w:after="0"/>
        <w:ind w:left="0"/>
        <w:jc w:val="left"/>
      </w:pPr>
      <w:r>
        <w:rPr>
          <w:rFonts w:ascii="Verdana"/>
          <w:b w:val="false"/>
          <w:i w:val="false"/>
          <w:color w:val="000000"/>
          <w:sz w:val="22"/>
        </w:rPr>
        <w:t>Препоручује се да се у поштанске реформе уђе са следећим циљевима:</w:t>
      </w:r>
    </w:p>
    <w:p>
      <w:pPr>
        <w:spacing w:after="0"/>
        <w:ind w:left="0"/>
        <w:jc w:val="left"/>
      </w:pPr>
      <w:r>
        <w:rPr>
          <w:rFonts w:ascii="Verdana"/>
          <w:b w:val="false"/>
          <w:i w:val="false"/>
          <w:color w:val="000000"/>
          <w:sz w:val="22"/>
        </w:rPr>
        <w:t>1) ревитализовати целокупан поштански сектор;</w:t>
      </w:r>
    </w:p>
    <w:p>
      <w:pPr>
        <w:spacing w:after="0"/>
        <w:ind w:left="0"/>
        <w:jc w:val="left"/>
      </w:pPr>
      <w:r>
        <w:rPr>
          <w:rFonts w:ascii="Verdana"/>
          <w:b w:val="false"/>
          <w:i w:val="false"/>
          <w:color w:val="000000"/>
          <w:sz w:val="22"/>
        </w:rPr>
        <w:t>2) унапређивати квалитет поштанских услуга;</w:t>
      </w:r>
    </w:p>
    <w:p>
      <w:pPr>
        <w:spacing w:after="0"/>
        <w:ind w:left="0"/>
        <w:jc w:val="left"/>
      </w:pPr>
      <w:r>
        <w:rPr>
          <w:rFonts w:ascii="Verdana"/>
          <w:b w:val="false"/>
          <w:i w:val="false"/>
          <w:color w:val="000000"/>
          <w:sz w:val="22"/>
        </w:rPr>
        <w:t>3) наставити испуњавање друштвене обавезе;</w:t>
      </w:r>
    </w:p>
    <w:p>
      <w:pPr>
        <w:spacing w:after="0"/>
        <w:ind w:left="0"/>
        <w:jc w:val="left"/>
      </w:pPr>
      <w:r>
        <w:rPr>
          <w:rFonts w:ascii="Verdana"/>
          <w:b w:val="false"/>
          <w:i w:val="false"/>
          <w:color w:val="000000"/>
          <w:sz w:val="22"/>
        </w:rPr>
        <w:t>4) спремити се за будуће послове и такмичење са конкуренцијом;</w:t>
      </w:r>
    </w:p>
    <w:p>
      <w:pPr>
        <w:spacing w:after="0"/>
        <w:ind w:left="0"/>
        <w:jc w:val="left"/>
      </w:pPr>
      <w:r>
        <w:rPr>
          <w:rFonts w:ascii="Verdana"/>
          <w:b w:val="false"/>
          <w:i w:val="false"/>
          <w:color w:val="000000"/>
          <w:sz w:val="22"/>
        </w:rPr>
        <w:t>5) побољшати имовинско стање поште;</w:t>
      </w:r>
    </w:p>
    <w:p>
      <w:pPr>
        <w:spacing w:after="0"/>
        <w:ind w:left="0"/>
        <w:jc w:val="left"/>
      </w:pPr>
      <w:r>
        <w:rPr>
          <w:rFonts w:ascii="Verdana"/>
          <w:b w:val="false"/>
          <w:i w:val="false"/>
          <w:color w:val="000000"/>
          <w:sz w:val="22"/>
        </w:rPr>
        <w:t>6) оспособљавати поштански сектор да сопственим средствима обезбеђује стабилан раст и развој и</w:t>
      </w:r>
    </w:p>
    <w:p>
      <w:pPr>
        <w:spacing w:after="0"/>
        <w:ind w:left="0"/>
        <w:jc w:val="left"/>
      </w:pPr>
      <w:r>
        <w:rPr>
          <w:rFonts w:ascii="Verdana"/>
          <w:b w:val="false"/>
          <w:i w:val="false"/>
          <w:color w:val="000000"/>
          <w:sz w:val="22"/>
        </w:rPr>
        <w:t>7) развити тржиште нових поштанских услуга које ће представљати спој базичних са логистичким и подржаних са информационо-комуникационим сервисима.</w:t>
      </w:r>
    </w:p>
    <w:p>
      <w:pPr>
        <w:spacing w:after="0"/>
        <w:ind w:left="0"/>
        <w:jc w:val="left"/>
      </w:pPr>
      <w:r>
        <w:rPr>
          <w:rFonts w:ascii="Verdana"/>
          <w:b w:val="false"/>
          <w:i w:val="false"/>
          <w:color w:val="000000"/>
          <w:sz w:val="22"/>
        </w:rPr>
        <w:t>Од XIX Конгреса UPU одржаног у Вашингтону 1989. године поштански сектор широм света је у сталном процесу трансформације, што представља реакцију на низ квалитативних промена у окружењу. Поштански сектор је у сталном преиспитивању своје основне функције у привреди и друштву.</w:t>
      </w:r>
    </w:p>
    <w:p>
      <w:pPr>
        <w:spacing w:after="0"/>
        <w:ind w:left="0"/>
        <w:jc w:val="left"/>
      </w:pPr>
      <w:r>
        <w:rPr>
          <w:rFonts w:ascii="Verdana"/>
          <w:b w:val="false"/>
          <w:i w:val="false"/>
          <w:color w:val="000000"/>
          <w:sz w:val="22"/>
        </w:rPr>
        <w:t>Има неколико кључних фактора који су на то утицали.</w:t>
      </w:r>
    </w:p>
    <w:p>
      <w:pPr>
        <w:spacing w:after="0"/>
        <w:ind w:left="0"/>
        <w:jc w:val="left"/>
      </w:pPr>
      <w:r>
        <w:rPr>
          <w:rFonts w:ascii="Verdana"/>
          <w:b w:val="false"/>
          <w:i w:val="false"/>
          <w:color w:val="000000"/>
          <w:sz w:val="22"/>
        </w:rPr>
        <w:t>То је пре свега процес глобализације у размени роба и услуга који је створио снажне мултинационалне компаније, специјализоване за тржиште експрес пошиљака и са тенденцијом да се шире и на међународне услуге засноване на класичном преносу пошиљака. Оне су, објективно, највећа конкуренција пошти у тој области, а данас имају преко 500.000 запослених широм света.</w:t>
      </w:r>
    </w:p>
    <w:p>
      <w:pPr>
        <w:spacing w:after="0"/>
        <w:ind w:left="0"/>
        <w:jc w:val="left"/>
      </w:pPr>
      <w:r>
        <w:rPr>
          <w:rFonts w:ascii="Verdana"/>
          <w:b w:val="false"/>
          <w:i w:val="false"/>
          <w:color w:val="000000"/>
          <w:sz w:val="22"/>
        </w:rPr>
        <w:t>Други значајан фактор на унутрашњем и на међународном плану, јесте револуција у области електронских комуникација.</w:t>
      </w:r>
    </w:p>
    <w:p>
      <w:pPr>
        <w:spacing w:after="0"/>
        <w:ind w:left="0"/>
        <w:jc w:val="left"/>
      </w:pPr>
      <w:r>
        <w:rPr>
          <w:rFonts w:ascii="Verdana"/>
          <w:b w:val="false"/>
          <w:i w:val="false"/>
          <w:color w:val="000000"/>
          <w:sz w:val="22"/>
        </w:rPr>
        <w:t>Трећа кључна промена која се догодила у наведеном периоду, односила се на раздвајање поште и телекомуникација. Овај растанак је био тежак за пошту, имајући у виду дугогодишње заједништво са телекомуникацијама. Пошта је сада требало сама да докаже своју економску виталност. На основу досадашњих искустава, поштанске управе света и међународне поштанске организације изражавају благи оптимизам да пошта може да функционише самостално и да може да буде профитабилна.</w:t>
      </w:r>
    </w:p>
    <w:p>
      <w:pPr>
        <w:spacing w:after="0"/>
        <w:ind w:left="0"/>
        <w:jc w:val="left"/>
      </w:pPr>
      <w:r>
        <w:rPr>
          <w:rFonts w:ascii="Verdana"/>
          <w:b w:val="false"/>
          <w:i w:val="false"/>
          <w:color w:val="000000"/>
          <w:sz w:val="22"/>
        </w:rPr>
        <w:t>За чланице ЕУ и за садашње и будуће кандидате за ЕУ, поштанско окружење је дефинисано Поштанским директивама Европског парламента и Савета од 1997. и 2002. године. На основу њих, од поште се захтева да одржи своју основну социјалну функцију путем пружања универзалне поштанске услуге целокупној популацији ЕУ и то услуге високог квалитета по приступачним и јединственим ценама.</w:t>
      </w:r>
    </w:p>
    <w:p>
      <w:pPr>
        <w:spacing w:after="0"/>
        <w:ind w:left="0"/>
        <w:jc w:val="left"/>
      </w:pPr>
      <w:r>
        <w:rPr>
          <w:rFonts w:ascii="Verdana"/>
          <w:b w:val="false"/>
          <w:i w:val="false"/>
          <w:color w:val="000000"/>
          <w:sz w:val="22"/>
        </w:rPr>
        <w:t>На промене у окружењу поштански сектор реагује редефинисањем пословања и стратешком преориентацијом активности кроз:</w:t>
      </w:r>
    </w:p>
    <w:p>
      <w:pPr>
        <w:spacing w:after="0"/>
        <w:ind w:left="0"/>
        <w:jc w:val="left"/>
      </w:pPr>
      <w:r>
        <w:rPr>
          <w:rFonts w:ascii="Verdana"/>
          <w:b w:val="false"/>
          <w:i w:val="false"/>
          <w:color w:val="000000"/>
          <w:sz w:val="22"/>
        </w:rPr>
        <w:t>1) повећање ефикасности пословања;</w:t>
      </w:r>
    </w:p>
    <w:p>
      <w:pPr>
        <w:spacing w:after="0"/>
        <w:ind w:left="0"/>
        <w:jc w:val="left"/>
      </w:pPr>
      <w:r>
        <w:rPr>
          <w:rFonts w:ascii="Verdana"/>
          <w:b w:val="false"/>
          <w:i w:val="false"/>
          <w:color w:val="000000"/>
          <w:sz w:val="22"/>
        </w:rPr>
        <w:t>2) редефинисање послова поштанског сектора;</w:t>
      </w:r>
    </w:p>
    <w:p>
      <w:pPr>
        <w:spacing w:after="0"/>
        <w:ind w:left="0"/>
        <w:jc w:val="left"/>
      </w:pPr>
      <w:r>
        <w:rPr>
          <w:rFonts w:ascii="Verdana"/>
          <w:b w:val="false"/>
          <w:i w:val="false"/>
          <w:color w:val="000000"/>
          <w:sz w:val="22"/>
        </w:rPr>
        <w:t>3) побољшање и ширење основних активности поштанског сектора;</w:t>
      </w:r>
    </w:p>
    <w:p>
      <w:pPr>
        <w:spacing w:after="0"/>
        <w:ind w:left="0"/>
        <w:jc w:val="left"/>
      </w:pPr>
      <w:r>
        <w:rPr>
          <w:rFonts w:ascii="Verdana"/>
          <w:b w:val="false"/>
          <w:i w:val="false"/>
          <w:color w:val="000000"/>
          <w:sz w:val="22"/>
        </w:rPr>
        <w:t>4) диверсификацију производа и услуга;</w:t>
      </w:r>
    </w:p>
    <w:p>
      <w:pPr>
        <w:spacing w:after="0"/>
        <w:ind w:left="0"/>
        <w:jc w:val="left"/>
      </w:pPr>
      <w:r>
        <w:rPr>
          <w:rFonts w:ascii="Verdana"/>
          <w:b w:val="false"/>
          <w:i w:val="false"/>
          <w:color w:val="000000"/>
          <w:sz w:val="22"/>
        </w:rPr>
        <w:t>5) прилагођавање организације за електронску трговину и услуге;</w:t>
      </w:r>
    </w:p>
    <w:p>
      <w:pPr>
        <w:spacing w:after="0"/>
        <w:ind w:left="0"/>
        <w:jc w:val="left"/>
      </w:pPr>
      <w:r>
        <w:rPr>
          <w:rFonts w:ascii="Verdana"/>
          <w:b w:val="false"/>
          <w:i w:val="false"/>
          <w:color w:val="000000"/>
          <w:sz w:val="22"/>
        </w:rPr>
        <w:t>6) стратешко позиционирање поштанског сектора и</w:t>
      </w:r>
    </w:p>
    <w:p>
      <w:pPr>
        <w:spacing w:after="0"/>
        <w:ind w:left="0"/>
        <w:jc w:val="left"/>
      </w:pPr>
      <w:r>
        <w:rPr>
          <w:rFonts w:ascii="Verdana"/>
          <w:b w:val="false"/>
          <w:i w:val="false"/>
          <w:color w:val="000000"/>
          <w:sz w:val="22"/>
        </w:rPr>
        <w:t>7) редефинисање универзалне услуге.</w:t>
      </w:r>
    </w:p>
    <w:p>
      <w:pPr>
        <w:spacing w:after="0"/>
        <w:ind w:left="0"/>
        <w:jc w:val="left"/>
      </w:pPr>
      <w:r>
        <w:rPr>
          <w:rFonts w:ascii="Verdana"/>
          <w:b w:val="false"/>
          <w:i w:val="false"/>
          <w:color w:val="000000"/>
          <w:sz w:val="22"/>
        </w:rPr>
        <w:t>Због великог друштвеног значаја, универзална поштанска услуга је унета у први члан Светске поштанске конвенције UPU. „Универзална поштанска услуга односи се на основне поштанске услуге за које се влада обавезала да гарантује свим сегментима популације на трајној основи, са специфичним степеном квалитета, по повољним ценама.”</w:t>
      </w:r>
    </w:p>
    <w:p>
      <w:pPr>
        <w:spacing w:after="0"/>
        <w:ind w:left="0"/>
        <w:jc w:val="left"/>
      </w:pPr>
      <w:r>
        <w:rPr>
          <w:rFonts w:ascii="Verdana"/>
          <w:b w:val="false"/>
          <w:i w:val="false"/>
          <w:color w:val="000000"/>
          <w:sz w:val="22"/>
        </w:rPr>
        <w:t>Обављање универзалне услуге је једна врста проблема, али је њено финансирање други, веома значајан проблем. Питање је да ли се из прихода остварених од универзалне услуге могу покрити њени трошкови.</w:t>
      </w:r>
    </w:p>
    <w:p>
      <w:pPr>
        <w:spacing w:after="0"/>
        <w:ind w:left="0"/>
        <w:jc w:val="left"/>
      </w:pPr>
      <w:r>
        <w:rPr>
          <w:rFonts w:ascii="Verdana"/>
          <w:b w:val="false"/>
          <w:i w:val="false"/>
          <w:color w:val="000000"/>
          <w:sz w:val="22"/>
        </w:rPr>
        <w:t>У највећем броју случајева универзална поштанска услуга се финансира из монопола – такође и у земљама ЕУ. Међутим, у ЕУ једна од најважнијих тема је либерализација поштанског тржишта, чији је крајњи циљ потпуно укидање поштанског монопола. Основна препрека бржој либерализацији поштанског тржишта је питање финансирања универзалне услуге. Свесни тога, Европски парламент и Савет су у својим Директивама 97/67/ЕС и 2002/39/ЕС навели и следећу могућност: „Земље чланице морају имати опцију да формирају компензациони фонд којим ће се обештетити давалац универзалне услуге за не-фер финансијски положај у којем се налази приликом пружања ове услуге.”</w:t>
      </w:r>
    </w:p>
    <w:p>
      <w:pPr>
        <w:spacing w:after="0"/>
        <w:ind w:left="0"/>
        <w:jc w:val="left"/>
      </w:pPr>
      <w:r>
        <w:rPr>
          <w:rFonts w:ascii="Verdana"/>
          <w:b w:val="false"/>
          <w:i w:val="false"/>
          <w:color w:val="000000"/>
          <w:sz w:val="22"/>
        </w:rPr>
        <w:t>За побољшање положаја поштанског сектора држави на располагању стоје бројни модели, укључујући корпоратизацију, комерцијализацију пословања и либерализацију тржишта. Искуства у реформама многих земаља показују да избор модела и програма реформи зависи од специфичности сваке од земаља, као што су окружење, демографски и географски фактори, историјски контекст, ниво развоја и др.</w:t>
      </w:r>
    </w:p>
    <w:p>
      <w:pPr>
        <w:spacing w:after="0"/>
        <w:ind w:left="0"/>
        <w:jc w:val="left"/>
      </w:pPr>
      <w:r>
        <w:rPr>
          <w:rFonts w:ascii="Verdana"/>
          <w:b w:val="false"/>
          <w:i w:val="false"/>
          <w:color w:val="000000"/>
          <w:sz w:val="22"/>
        </w:rPr>
        <w:t>Кључни фактори за успешност реформе су:</w:t>
      </w:r>
    </w:p>
    <w:p>
      <w:pPr>
        <w:spacing w:after="0"/>
        <w:ind w:left="0"/>
        <w:jc w:val="left"/>
      </w:pPr>
      <w:r>
        <w:rPr>
          <w:rFonts w:ascii="Verdana"/>
          <w:b w:val="false"/>
          <w:i w:val="false"/>
          <w:color w:val="000000"/>
          <w:sz w:val="22"/>
        </w:rPr>
        <w:t>1) Раздвајање поште од државе;</w:t>
      </w:r>
    </w:p>
    <w:p>
      <w:pPr>
        <w:spacing w:after="0"/>
        <w:ind w:left="0"/>
        <w:jc w:val="left"/>
      </w:pPr>
      <w:r>
        <w:rPr>
          <w:rFonts w:ascii="Verdana"/>
          <w:b w:val="false"/>
          <w:i w:val="false"/>
          <w:color w:val="000000"/>
          <w:sz w:val="22"/>
        </w:rPr>
        <w:t>2) Чврста политичка воља и широка друштвена подршка;</w:t>
      </w:r>
    </w:p>
    <w:p>
      <w:pPr>
        <w:spacing w:after="0"/>
        <w:ind w:left="0"/>
        <w:jc w:val="left"/>
      </w:pPr>
      <w:r>
        <w:rPr>
          <w:rFonts w:ascii="Verdana"/>
          <w:b w:val="false"/>
          <w:i w:val="false"/>
          <w:color w:val="000000"/>
          <w:sz w:val="22"/>
        </w:rPr>
        <w:t>3) Аутономија у управљању;</w:t>
      </w:r>
    </w:p>
    <w:p>
      <w:pPr>
        <w:spacing w:after="0"/>
        <w:ind w:left="0"/>
        <w:jc w:val="left"/>
      </w:pPr>
      <w:r>
        <w:rPr>
          <w:rFonts w:ascii="Verdana"/>
          <w:b w:val="false"/>
          <w:i w:val="false"/>
          <w:color w:val="000000"/>
          <w:sz w:val="22"/>
        </w:rPr>
        <w:t>4) Подстицајна управљачка структура (уговори повезани са резултатом);</w:t>
      </w:r>
    </w:p>
    <w:p>
      <w:pPr>
        <w:spacing w:after="0"/>
        <w:ind w:left="0"/>
        <w:jc w:val="left"/>
      </w:pPr>
      <w:r>
        <w:rPr>
          <w:rFonts w:ascii="Verdana"/>
          <w:b w:val="false"/>
          <w:i w:val="false"/>
          <w:color w:val="000000"/>
          <w:sz w:val="22"/>
        </w:rPr>
        <w:t>5) Могућност дугорочног финансијског планирања;</w:t>
      </w:r>
    </w:p>
    <w:p>
      <w:pPr>
        <w:spacing w:after="0"/>
        <w:ind w:left="0"/>
        <w:jc w:val="left"/>
      </w:pPr>
      <w:r>
        <w:rPr>
          <w:rFonts w:ascii="Verdana"/>
          <w:b w:val="false"/>
          <w:i w:val="false"/>
          <w:color w:val="000000"/>
          <w:sz w:val="22"/>
        </w:rPr>
        <w:t>6) Развој и модернизација мреже и услуга;</w:t>
      </w:r>
    </w:p>
    <w:p>
      <w:pPr>
        <w:spacing w:after="0"/>
        <w:ind w:left="0"/>
        <w:jc w:val="left"/>
      </w:pPr>
      <w:r>
        <w:rPr>
          <w:rFonts w:ascii="Verdana"/>
          <w:b w:val="false"/>
          <w:i w:val="false"/>
          <w:color w:val="000000"/>
          <w:sz w:val="22"/>
        </w:rPr>
        <w:t>7) Јасна обавеза у погледу универзалне услуге и начина финансирања;</w:t>
      </w:r>
    </w:p>
    <w:p>
      <w:pPr>
        <w:spacing w:after="0"/>
        <w:ind w:left="0"/>
        <w:jc w:val="left"/>
      </w:pPr>
      <w:r>
        <w:rPr>
          <w:rFonts w:ascii="Verdana"/>
          <w:b w:val="false"/>
          <w:i w:val="false"/>
          <w:color w:val="000000"/>
          <w:sz w:val="22"/>
        </w:rPr>
        <w:t>8) Комерцијализација и тарифна политика заснована на трошковима;</w:t>
      </w:r>
    </w:p>
    <w:p>
      <w:pPr>
        <w:spacing w:after="0"/>
        <w:ind w:left="0"/>
        <w:jc w:val="left"/>
      </w:pPr>
      <w:r>
        <w:rPr>
          <w:rFonts w:ascii="Verdana"/>
          <w:b w:val="false"/>
          <w:i w:val="false"/>
          <w:color w:val="000000"/>
          <w:sz w:val="22"/>
        </w:rPr>
        <w:t>9) Притисак корисника и тежиште ка реформи;</w:t>
      </w:r>
    </w:p>
    <w:p>
      <w:pPr>
        <w:spacing w:after="0"/>
        <w:ind w:left="0"/>
        <w:jc w:val="left"/>
      </w:pPr>
      <w:r>
        <w:rPr>
          <w:rFonts w:ascii="Verdana"/>
          <w:b w:val="false"/>
          <w:i w:val="false"/>
          <w:color w:val="000000"/>
          <w:sz w:val="22"/>
        </w:rPr>
        <w:t>10) Ефикасна регулатива и</w:t>
      </w:r>
    </w:p>
    <w:p>
      <w:pPr>
        <w:spacing w:after="0"/>
        <w:ind w:left="0"/>
        <w:jc w:val="left"/>
      </w:pPr>
      <w:r>
        <w:rPr>
          <w:rFonts w:ascii="Verdana"/>
          <w:b w:val="false"/>
          <w:i w:val="false"/>
          <w:color w:val="000000"/>
          <w:sz w:val="22"/>
        </w:rPr>
        <w:t>11) Заинтересованост поштанског особља.</w:t>
      </w:r>
    </w:p>
    <w:p>
      <w:pPr>
        <w:spacing w:after="0"/>
        <w:ind w:left="0"/>
        <w:jc w:val="left"/>
      </w:pPr>
      <w:r>
        <w:rPr>
          <w:rFonts w:ascii="Verdana"/>
          <w:b w:val="false"/>
          <w:i w:val="false"/>
          <w:color w:val="000000"/>
          <w:sz w:val="22"/>
        </w:rPr>
        <w:t>Успешна корпоратизација јавних предузећа у готово свим европским земљама омогућила је да ново предузеће буде солидна основа за будуће комерцијалне активности, јер је власничка структура претежно државна, а управљачка препуштена менаџменту, независно од власништва. Искуства у досадашњем основном пословању, у класичном преносу писмоносних пошиљака, послужила су новоформираним предузећима да у редефинисаном пословању прошире гаму својих услуга заснованих на физичком преносу и да корисницима понуде нове услуге са додатном вредношћу. Паралелно са тим, она су бољим управљањем и применом нових технологија, заснованих пре свега на информационо-комуникационим технологијама, побољшали квалитет писмоносних пошиљака. Све то им је омогућило и продор на нова тржишта као што су електронска трговина и електронске услуге.</w:t>
      </w:r>
    </w:p>
    <w:p>
      <w:pPr>
        <w:spacing w:after="0"/>
        <w:ind w:left="0"/>
        <w:jc w:val="left"/>
      </w:pPr>
      <w:r>
        <w:rPr>
          <w:rFonts w:ascii="Verdana"/>
          <w:b w:val="false"/>
          <w:i w:val="false"/>
          <w:color w:val="000000"/>
          <w:sz w:val="22"/>
        </w:rPr>
        <w:t>Резолуције усвојене на конгресима UPU обавезују земље чланице да изврше реформе у регулаторној области. Циљ ових реформи је постепено укидање поштанског монопола које ће омогућити очување универзалне услуге доброг квалитета и по приступачним ценама. Такође, ове реформе омогућују поштама довољно маневарског простора у области управљања и финансијску аутономију која је неопходна да се што ефикасније одговори на комерцијалне потребе клијената.</w:t>
      </w:r>
    </w:p>
    <w:p>
      <w:pPr>
        <w:spacing w:after="0"/>
        <w:ind w:left="0"/>
        <w:jc w:val="left"/>
      </w:pPr>
      <w:r>
        <w:rPr>
          <w:rFonts w:ascii="Verdana"/>
          <w:b w:val="false"/>
          <w:i w:val="false"/>
          <w:color w:val="000000"/>
          <w:sz w:val="22"/>
        </w:rPr>
        <w:t>Регулатива у области поштанског сектора треба да обухвати услове обављања универзалне услуге, модалитете приступа услузи, тарифе и квалитет услуга. Пракса је у свету да се наведени послови, затим издавање лиценци, концесија или везаних уговора на бази поштанске регулативе, као и контрола поштовања ових уговора и квалитета услуга, поверавају националном регулаторном телу (у даљем тексту: регулатор), агенцији и сл., која има обавезу да објављује резултате наведених контрола.</w:t>
      </w:r>
    </w:p>
    <w:p>
      <w:pPr>
        <w:spacing w:after="0"/>
        <w:ind w:left="0"/>
        <w:jc w:val="left"/>
      </w:pPr>
      <w:r>
        <w:rPr>
          <w:rFonts w:ascii="Verdana"/>
          <w:b w:val="false"/>
          <w:i w:val="false"/>
          <w:color w:val="000000"/>
          <w:sz w:val="22"/>
        </w:rPr>
        <w:t>Регулатор има кључну улогу у поштанској структурној реформи. Два основна аспекта активности регулатора која су и међусобно повезана јесу: гарантовање универзалне услуге целокупној популацији, као и свега оног што је она по дефиницији и друго, контрола функционисања поштанског тржишта.</w:t>
      </w:r>
    </w:p>
    <w:p>
      <w:pPr>
        <w:spacing w:after="0"/>
        <w:ind w:left="0"/>
        <w:jc w:val="left"/>
      </w:pPr>
      <w:r>
        <w:rPr>
          <w:rFonts w:ascii="Verdana"/>
          <w:b w:val="false"/>
          <w:i w:val="false"/>
          <w:color w:val="000000"/>
          <w:sz w:val="22"/>
        </w:rPr>
        <w:t>Као гарант за универзалну поштанску услугу регулатор мора да учествује, заједно са државом, у дефинисању универзалне услуге, њеног квалитета, карактеристика и приступачних тарифа.</w:t>
      </w:r>
    </w:p>
    <w:p>
      <w:pPr>
        <w:spacing w:after="0"/>
        <w:ind w:left="0"/>
        <w:jc w:val="left"/>
      </w:pPr>
      <w:r>
        <w:rPr>
          <w:rFonts w:ascii="Verdana"/>
          <w:b w:val="false"/>
          <w:i w:val="false"/>
          <w:color w:val="000000"/>
          <w:sz w:val="22"/>
        </w:rPr>
        <w:t>Регулатор, уз сагласност Владе, прописује лимите по маси и цени за резервисане поштанске услуге. Контролу и све видове надзора организује надлежно министарство како би се избегло кршење прописа из ове области, а посебно ради утврђивања да ли услуге из резервисаног домена нуде неовлашћени оператори.</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2. Анализа окружења поштанског сектора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Окружењем поштанског сектора настављају да доминирају силе глобализације, либерализације, конкуренције, технолошких промена, недостатка ресурса и остале покретачке промене. У последње време претње које се односе на сигурност, појавиле су се као нови подстицај развоја. У складу са тим променама неки поштански оператори су већ на добром путу да их имплементирају у своје стратегије, док су остале у раној фази суочавања са променама.</w:t>
      </w:r>
    </w:p>
    <w:p>
      <w:pPr>
        <w:spacing w:after="0"/>
        <w:ind w:left="0"/>
        <w:jc w:val="left"/>
      </w:pPr>
      <w:r>
        <w:rPr>
          <w:rFonts w:ascii="Verdana"/>
          <w:b w:val="false"/>
          <w:i w:val="false"/>
          <w:color w:val="000000"/>
          <w:sz w:val="22"/>
        </w:rPr>
        <w:t>Глобализација у оквиру USP, као и код осталих оператора поштанских услуга, огледа се кроз удруживање у једног глобалног. У овом процесу поштанска мрежа мора понудити већи број услуга и покрити већу територију.</w:t>
      </w:r>
    </w:p>
    <w:p>
      <w:pPr>
        <w:spacing w:after="0"/>
        <w:ind w:left="0"/>
        <w:jc w:val="left"/>
      </w:pPr>
      <w:r>
        <w:rPr>
          <w:rFonts w:ascii="Verdana"/>
          <w:b w:val="false"/>
          <w:i w:val="false"/>
          <w:color w:val="000000"/>
          <w:sz w:val="22"/>
        </w:rPr>
        <w:t>Либерализација и конкуренција су тесно повезане са глобализацијом и овај тренд се и даље изграђује. Иако је степен либерализације тржишта поштанских услуга различит у појединим земљама, процес демонополизације је незаустављив и временом ће пошта бити ослобођена било каквог монопола на пружање поштанских услуга. Генерално гледано, може се рећи да ће до либерализације поштанског тржишта, свакако доћи, али временски распоред њеног догађања у регионима/земљама, диктираће друштвени услови.</w:t>
      </w:r>
    </w:p>
    <w:p>
      <w:pPr>
        <w:spacing w:after="0"/>
        <w:ind w:left="0"/>
        <w:jc w:val="left"/>
      </w:pPr>
      <w:r>
        <w:rPr>
          <w:rFonts w:ascii="Verdana"/>
          <w:b w:val="false"/>
          <w:i w:val="false"/>
          <w:color w:val="000000"/>
          <w:sz w:val="22"/>
        </w:rPr>
        <w:t>У складу са Директивом ЕУ о тржишту поштанских услуга 39/2002 утврђен је рок од 1. јануара 2006. године до којег су све државе чланице ЕУ биле у обавези да у складу са одлуком о постепеној либерализацији тржишта, снизе лимите по маси и цени на 50 грама и двоипоструки износ поштарине за писма прве стопе тежине.</w:t>
      </w:r>
    </w:p>
    <w:p>
      <w:pPr>
        <w:spacing w:after="0"/>
        <w:ind w:left="0"/>
        <w:jc w:val="left"/>
      </w:pPr>
      <w:r>
        <w:rPr>
          <w:rFonts w:ascii="Verdana"/>
          <w:b w:val="false"/>
          <w:i w:val="false"/>
          <w:color w:val="000000"/>
          <w:sz w:val="22"/>
        </w:rPr>
        <w:t>Резервисане поштанске услуге су услуге које држава гарантује поштанском оператору универзалне поштанске услуге, као ексклузивна права у оквирима одређеног лимитима по маси и цени.</w:t>
      </w:r>
    </w:p>
    <w:p>
      <w:pPr>
        <w:spacing w:after="0"/>
        <w:ind w:left="0"/>
        <w:jc w:val="left"/>
      </w:pPr>
      <w:r>
        <w:rPr>
          <w:rFonts w:ascii="Verdana"/>
          <w:b w:val="false"/>
          <w:i w:val="false"/>
          <w:color w:val="000000"/>
          <w:sz w:val="22"/>
        </w:rPr>
        <w:t>Универзална поштанска услуга представља скуп поштанских услуга које се константно обављају на територији Републике Србије, под једнаким условима за све кориснике, у оквиру прописаног квалитета и по приступачним ценама.</w:t>
      </w:r>
    </w:p>
    <w:p>
      <w:pPr>
        <w:spacing w:after="0"/>
        <w:ind w:left="0"/>
        <w:jc w:val="left"/>
      </w:pPr>
      <w:r>
        <w:rPr>
          <w:rFonts w:ascii="Verdana"/>
          <w:b w:val="false"/>
          <w:i w:val="false"/>
          <w:color w:val="000000"/>
          <w:sz w:val="22"/>
        </w:rPr>
        <w:t>Као илустрацију горе наведеног следи табеларни преглед степена либерализације поштанског тржишта у државама ЕУ и статуса националног оператора.</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bookmarkStart w:name="Picture 35" w:id="0"/>
      <w:r>
        <w:drawing>
          <wp:inline distT="0" distB="0" distL="0" distR="0">
            <wp:extent cx="5732145" cy="67269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5732145" cy="6726980"/>
                    </a:xfrm>
                    <a:prstGeom prst="rect">
                      <a:avLst/>
                    </a:prstGeom>
                  </pic:spPr>
                </pic:pic>
              </a:graphicData>
            </a:graphic>
          </wp:inline>
        </w:drawing>
      </w:r>
      <w:bookmarkEnd w:id="0"/>
    </w:p>
    <w:p>
      <w:pPr>
        <w:spacing w:after="0"/>
        <w:ind w:left="0"/>
        <w:jc w:val="center"/>
      </w:pPr>
      <w:bookmarkStart w:name="Picture 36" w:id="1"/>
      <w:r>
        <w:drawing>
          <wp:inline distT="0" distB="0" distL="0" distR="0">
            <wp:extent cx="5732145" cy="108010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5732145" cy="1080107"/>
                    </a:xfrm>
                    <a:prstGeom prst="rect">
                      <a:avLst/>
                    </a:prstGeom>
                  </pic:spPr>
                </pic:pic>
              </a:graphicData>
            </a:graphic>
          </wp:inline>
        </w:drawing>
      </w:r>
      <w:bookmarkEnd w:id="1"/>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Земље у поступку придруживања ЕУ из окружења, задржале су лимит од 100 грама по маси и троструки износ поштарине за писма прве стопе тежине по цени (Хрватска, Македонија, Босна и Херцеговина и Црна Гора).</w:t>
      </w:r>
    </w:p>
    <w:p>
      <w:pPr>
        <w:spacing w:after="0"/>
        <w:ind w:left="0"/>
        <w:jc w:val="left"/>
      </w:pPr>
      <w:r>
        <w:rPr>
          <w:rFonts w:ascii="Verdana"/>
          <w:b w:val="false"/>
          <w:i w:val="false"/>
          <w:color w:val="000000"/>
          <w:sz w:val="22"/>
        </w:rPr>
        <w:t>Предвиђа се да би до 2011. године, а након усвајања III Директиве ЕУ европско тржиште поштанских услуга било потпуно слободно.</w:t>
      </w:r>
    </w:p>
    <w:p>
      <w:pPr>
        <w:spacing w:after="0"/>
        <w:ind w:left="0"/>
        <w:jc w:val="left"/>
      </w:pPr>
      <w:r>
        <w:rPr>
          <w:rFonts w:ascii="Verdana"/>
          <w:b w:val="false"/>
          <w:i w:val="false"/>
          <w:color w:val="000000"/>
          <w:sz w:val="22"/>
        </w:rPr>
        <w:t>Као одговор на промене у окружењу, USP су стратегијски преусмерили своје активности, настојећи да промене облик свог пословања (нпр. диверсификација). Приоритет је дат CEP, финансијским и банкарским услугама, електронским услугама (хибридне поште, електронске услуге у финансијском сектору, услуге типа е-цоммерце, итд.). Јасно је да је развијање ових услуга стратешког карактера све док се трага за улогом поште на тржиштима која још увек нису довољно развијена.</w:t>
      </w:r>
    </w:p>
    <w:p>
      <w:pPr>
        <w:spacing w:after="0"/>
        <w:ind w:left="0"/>
        <w:jc w:val="left"/>
      </w:pPr>
      <w:r>
        <w:rPr>
          <w:rFonts w:ascii="Verdana"/>
          <w:b w:val="false"/>
          <w:i w:val="false"/>
          <w:color w:val="000000"/>
          <w:sz w:val="22"/>
        </w:rPr>
        <w:t>Промене регулаторног окружења директно се односе на статус USP, односно на либерализацију њиховог оперативног деловања. Након извршених процеса реструктурирања компанија – поштанских оператора (уместо ПТТ компанија које су интегрисале, у целини или делимично и телекомуникациону делатност, конституисане су компаније у чијој надлежности је искључиво пружање поштанске делатности), уследило је постепено смањење контролне функције државе.</w:t>
      </w:r>
    </w:p>
    <w:p>
      <w:pPr>
        <w:spacing w:after="0"/>
        <w:ind w:left="0"/>
        <w:jc w:val="left"/>
      </w:pPr>
      <w:r>
        <w:rPr>
          <w:rFonts w:ascii="Verdana"/>
          <w:b w:val="false"/>
          <w:i w:val="false"/>
          <w:color w:val="000000"/>
          <w:sz w:val="22"/>
        </w:rPr>
        <w:t>Поред наведених промена правног статуса, последњих пет година долази и до интензивних промена на пољу самог регулаторног механизма, којим се у појединим земљама контролише и уређује обављање поштанске делатности у смислу оснивања регулатора, а што даље условљава слабљење непосредне државне ингеренције, која се до краја 90-их година најчешће спроводила преко ресорних министарстава.</w:t>
      </w:r>
    </w:p>
    <w:p>
      <w:pPr>
        <w:spacing w:after="0"/>
        <w:ind w:left="0"/>
        <w:jc w:val="left"/>
      </w:pPr>
      <w:r>
        <w:rPr>
          <w:rFonts w:ascii="Verdana"/>
          <w:b w:val="false"/>
          <w:i w:val="false"/>
          <w:color w:val="000000"/>
          <w:sz w:val="22"/>
        </w:rPr>
        <w:t>Иако и данас у највећем броју земаља статус USP имају јавне компаније, односно компаније у државном власништву, процеси приватизације поштанских компанија су настављени.</w:t>
      </w:r>
    </w:p>
    <w:p>
      <w:pPr>
        <w:spacing w:after="0"/>
        <w:ind w:left="0"/>
        <w:jc w:val="left"/>
      </w:pPr>
      <w:r>
        <w:rPr>
          <w:rFonts w:ascii="Verdana"/>
          <w:b w:val="false"/>
          <w:i w:val="false"/>
          <w:color w:val="000000"/>
          <w:sz w:val="22"/>
        </w:rPr>
        <w:t>На основу анализе динамичког окружења поштанског сектора генерисане су информације које се односе на идентификовање постојећих и будућих позитивних утицаја, шанси, као и негативних утицаја, претњи развоју поштанских услуга, а у циљу формулисања стратешких циљева развоја и стратегија за њихово спровођење. Уочавају се динамичне промене у окружењу и висок степен неизвесности, с чим у вези стоји и ризик. Поштански оператори на исте морају брзо и ефикасно да одговоре, редефинисањем свог пословања и оријентацијом према корисницима.</w:t>
      </w:r>
    </w:p>
    <w:p>
      <w:pPr>
        <w:spacing w:after="0"/>
        <w:ind w:left="0"/>
        <w:jc w:val="center"/>
      </w:pPr>
      <w:r>
        <w:rPr>
          <w:rFonts w:ascii="Verdana"/>
          <w:b w:val="false"/>
          <w:i w:val="false"/>
          <w:color w:val="000000"/>
          <w:sz w:val="22"/>
        </w:rPr>
        <w:t> </w:t>
      </w:r>
    </w:p>
    <w:p>
      <w:pPr>
        <w:spacing w:after="0"/>
        <w:ind w:left="0"/>
        <w:jc w:val="center"/>
      </w:pPr>
      <w:r>
        <w:rPr>
          <w:rFonts w:ascii="Verdana"/>
          <w:b w:val="false"/>
          <w:i/>
          <w:color w:val="000000"/>
          <w:sz w:val="22"/>
        </w:rPr>
        <w:t>2.1. Анализа екстерног окружења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Поштански оператори у 30% земаља чланица UPU имају статус јавних служби. У овим случајевима, пошта функционише као класична јавна служба, али никако као служба која се ангажује на пословима комерцијалног типа и у процесима комерцијалне размене. По правилу, поште у овим земљама се ослањају на финансијску подршку из државног буџета.</w:t>
      </w:r>
    </w:p>
    <w:p>
      <w:pPr>
        <w:spacing w:after="0"/>
        <w:ind w:left="0"/>
        <w:jc w:val="left"/>
      </w:pPr>
      <w:r>
        <w:rPr>
          <w:rFonts w:ascii="Verdana"/>
          <w:b w:val="false"/>
          <w:i w:val="false"/>
          <w:color w:val="000000"/>
          <w:sz w:val="22"/>
        </w:rPr>
        <w:t>Око 23% поштанских управа има статус друштава са ограниченом одговорношћу.</w:t>
      </w:r>
    </w:p>
    <w:p>
      <w:pPr>
        <w:spacing w:after="0"/>
        <w:ind w:left="0"/>
        <w:jc w:val="left"/>
      </w:pPr>
      <w:r>
        <w:rPr>
          <w:rFonts w:ascii="Verdana"/>
          <w:b w:val="false"/>
          <w:i w:val="false"/>
          <w:color w:val="000000"/>
          <w:sz w:val="22"/>
        </w:rPr>
        <w:t>Осталих 47% ентитета има статус правног лица, типа јавног или статутарног предузећа, чија су права и обавезе одвојене од државе. Они су задужени да обезбеђују управљање и развој националне поштанске мреже под контролом државе.</w:t>
      </w:r>
    </w:p>
    <w:p>
      <w:pPr>
        <w:spacing w:after="0"/>
        <w:ind w:left="0"/>
        <w:jc w:val="left"/>
      </w:pPr>
      <w:r>
        <w:rPr>
          <w:rFonts w:ascii="Verdana"/>
          <w:b w:val="false"/>
          <w:i w:val="false"/>
          <w:color w:val="000000"/>
          <w:sz w:val="22"/>
        </w:rPr>
        <w:t>Око 20% земаља нису раздвојиле регулаторне и експлоатационе функције. У највећем броју, то је случај са поштама које имају статус јавне управе. Када је о раздвајању пошта од телекомуникација реч, само 10% земаља није извршило ову структурну промену.</w:t>
      </w:r>
    </w:p>
    <w:p>
      <w:pPr>
        <w:spacing w:after="0"/>
        <w:ind w:left="0"/>
        <w:jc w:val="left"/>
      </w:pPr>
      <w:r>
        <w:rPr>
          <w:rFonts w:ascii="Verdana"/>
          <w:b w:val="false"/>
          <w:i w:val="false"/>
          <w:color w:val="000000"/>
          <w:sz w:val="22"/>
        </w:rPr>
        <w:t>Што значи да постоје различити модели трансформације поштанске управе и они пре свега зависе од услова окружења у којима се те управе налазе.</w:t>
      </w:r>
    </w:p>
    <w:p>
      <w:pPr>
        <w:spacing w:after="0"/>
        <w:ind w:left="0"/>
        <w:jc w:val="left"/>
      </w:pPr>
      <w:r>
        <w:rPr>
          <w:rFonts w:ascii="Verdana"/>
          <w:b w:val="false"/>
          <w:i w:val="false"/>
          <w:color w:val="000000"/>
          <w:sz w:val="22"/>
        </w:rPr>
        <w:t>Тешко је сажети промене на плану структурних реформи које су се у највећем броју догодиле у последњих 10-ак година и током којих је велики број земаља променио регулативу, статус поште и њену комерцијалну структуру.</w:t>
      </w:r>
    </w:p>
    <w:p>
      <w:pPr>
        <w:spacing w:after="0"/>
        <w:ind w:left="0"/>
        <w:jc w:val="left"/>
      </w:pPr>
      <w:r>
        <w:rPr>
          <w:rFonts w:ascii="Verdana"/>
          <w:b w:val="false"/>
          <w:i w:val="false"/>
          <w:color w:val="000000"/>
          <w:sz w:val="22"/>
        </w:rPr>
        <w:t>У поштанском сектору Европе могу се идентификовати три групације поштанских предузећа (Графикони 1. и 2):</w:t>
      </w:r>
    </w:p>
    <w:p>
      <w:pPr>
        <w:spacing w:after="0"/>
        <w:ind w:left="0"/>
        <w:jc w:val="left"/>
      </w:pPr>
      <w:r>
        <w:rPr>
          <w:rFonts w:ascii="Verdana"/>
          <w:b w:val="false"/>
          <w:i w:val="false"/>
          <w:color w:val="000000"/>
          <w:sz w:val="22"/>
        </w:rPr>
        <w:t>1) у првој су тзв. „велике европске поште” које чине немачки Deutsche Post, холандски TPG, британска Consignia и француска La Poste. У овој групацији су и глобални приватни оператори (UPS, FedEx и др.);</w:t>
      </w:r>
    </w:p>
    <w:p>
      <w:pPr>
        <w:spacing w:after="0"/>
        <w:ind w:left="0"/>
        <w:jc w:val="left"/>
      </w:pPr>
      <w:r>
        <w:rPr>
          <w:rFonts w:ascii="Verdana"/>
          <w:b w:val="false"/>
          <w:i w:val="false"/>
          <w:color w:val="000000"/>
          <w:sz w:val="22"/>
        </w:rPr>
        <w:t>2) другу групу чине поштанска предузећа која обављају делатност у националним оквирима;</w:t>
      </w:r>
    </w:p>
    <w:p>
      <w:pPr>
        <w:spacing w:after="0"/>
        <w:ind w:left="0"/>
        <w:jc w:val="left"/>
      </w:pPr>
      <w:r>
        <w:rPr>
          <w:rFonts w:ascii="Verdana"/>
          <w:b w:val="false"/>
          <w:i w:val="false"/>
          <w:color w:val="000000"/>
          <w:sz w:val="22"/>
        </w:rPr>
        <w:t>3) трећу групу чине приватни оператори чија се делатност своди на локално и регионално тржиште.</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bookmarkStart w:name="Picture 37" w:id="2"/>
      <w:r>
        <w:drawing>
          <wp:inline distT="0" distB="0" distL="0" distR="0">
            <wp:extent cx="5732145" cy="403618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5732145" cy="4036188"/>
                    </a:xfrm>
                    <a:prstGeom prst="rect">
                      <a:avLst/>
                    </a:prstGeom>
                  </pic:spPr>
                </pic:pic>
              </a:graphicData>
            </a:graphic>
          </wp:inline>
        </w:drawing>
      </w:r>
      <w:bookmarkEnd w:id="2"/>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bookmarkStart w:name="Picture 38" w:id="3"/>
      <w:r>
        <w:drawing>
          <wp:inline distT="0" distB="0" distL="0" distR="0">
            <wp:extent cx="5732145" cy="357784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5732145" cy="3577845"/>
                    </a:xfrm>
                    <a:prstGeom prst="rect">
                      <a:avLst/>
                    </a:prstGeom>
                  </pic:spPr>
                </pic:pic>
              </a:graphicData>
            </a:graphic>
          </wp:inline>
        </w:drawing>
      </w:r>
      <w:bookmarkEnd w:id="3"/>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Може се закључити да извршена анализа екстерног окружења, средине у којој послују поштански оператори, даје одговоре везане за утврђивање позиције поштанских оператора, узрока који су до те позиције довели, као и могућег начина обезбеђења даљег раста и развоја поштанских услуга.</w:t>
      </w:r>
    </w:p>
    <w:p>
      <w:pPr>
        <w:spacing w:after="0"/>
        <w:ind w:left="0"/>
        <w:jc w:val="center"/>
      </w:pPr>
      <w:r>
        <w:rPr>
          <w:rFonts w:ascii="Verdana"/>
          <w:b w:val="false"/>
          <w:i w:val="false"/>
          <w:color w:val="000000"/>
          <w:sz w:val="22"/>
        </w:rPr>
        <w:t> </w:t>
      </w:r>
    </w:p>
    <w:p>
      <w:pPr>
        <w:spacing w:after="0"/>
        <w:ind w:left="0"/>
        <w:jc w:val="center"/>
      </w:pPr>
      <w:r>
        <w:rPr>
          <w:rFonts w:ascii="Verdana"/>
          <w:b w:val="false"/>
          <w:i/>
          <w:color w:val="000000"/>
          <w:sz w:val="22"/>
        </w:rPr>
        <w:t>2.2. Анализа друштвено-економског окружења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Друштвено-економски фактори као што су политичка стабилност, демографски фактори, економски раст, затим глобализација економије, инфлација, развој кључних сектора и сл., од највећег су утицаја на обим писмоносног саобраћаја. Друштвене и економске факторе (који према студији UPU-а утичу са 66% на писмоносни саобраћај) је неопходно посматрати заједно пре свега због њихове узрочно-последичне природе.</w:t>
      </w:r>
    </w:p>
    <w:p>
      <w:pPr>
        <w:spacing w:after="0"/>
        <w:ind w:left="0"/>
        <w:jc w:val="left"/>
      </w:pPr>
      <w:r>
        <w:rPr>
          <w:rFonts w:ascii="Verdana"/>
          <w:b w:val="false"/>
          <w:i w:val="false"/>
          <w:color w:val="000000"/>
          <w:sz w:val="22"/>
        </w:rPr>
        <w:t>Почев од 2001. године долази до значајних позитивних промена, како у политичком тако и у привредном окружењу, што је довело до следећих резултата у економској политици:</w:t>
      </w:r>
    </w:p>
    <w:p>
      <w:pPr>
        <w:spacing w:after="0"/>
        <w:ind w:left="0"/>
        <w:jc w:val="left"/>
      </w:pPr>
      <w:r>
        <w:rPr>
          <w:rFonts w:ascii="Verdana"/>
          <w:b w:val="false"/>
          <w:i w:val="false"/>
          <w:color w:val="000000"/>
          <w:sz w:val="22"/>
        </w:rPr>
        <w:t>1) У овом периоду остварен је висок реални раст БДП, у просеку од 5,5% годишње који је пре свега заснован на индустријском расту, расту пољопривредне производње и значајном расту сектора услуга, посебно поштанских и телекомуникационих. Без обзира на услове транзиције и неповољних кретања у светској привреди и трговини постигнут је значајан кумулативни раст БДП од 30,9% као резултат економске политике протеклог периода.</w:t>
      </w:r>
    </w:p>
    <w:p>
      <w:pPr>
        <w:spacing w:after="0"/>
        <w:ind w:left="0"/>
        <w:jc w:val="left"/>
      </w:pPr>
      <w:r>
        <w:rPr>
          <w:rFonts w:ascii="Verdana"/>
          <w:b w:val="false"/>
          <w:i w:val="false"/>
          <w:color w:val="000000"/>
          <w:sz w:val="22"/>
        </w:rPr>
        <w:t>2) И у области стандарда становништва је остварен значајан напредак. Остварен је значајан реални раст просечних нето зарада, са 102 ЕУР у 2001. години на 275 ЕУР у 2006. години. Укупна запосленост је смањена као ефекат приватизације и реструктурирања предузећа.</w:t>
      </w:r>
    </w:p>
    <w:p>
      <w:pPr>
        <w:spacing w:after="0"/>
        <w:ind w:left="0"/>
        <w:jc w:val="left"/>
      </w:pPr>
      <w:r>
        <w:rPr>
          <w:rFonts w:ascii="Verdana"/>
          <w:b w:val="false"/>
          <w:i w:val="false"/>
          <w:color w:val="000000"/>
          <w:sz w:val="22"/>
        </w:rPr>
        <w:t>Основне резултате реформски оријентисане економске политике у периоду од 2001. до 2006. године приказује табела 2:</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bookmarkStart w:name="Picture 39" w:id="4"/>
      <w:r>
        <w:drawing>
          <wp:inline distT="0" distB="0" distL="0" distR="0">
            <wp:extent cx="5732145" cy="165805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5732145" cy="1658058"/>
                    </a:xfrm>
                    <a:prstGeom prst="rect">
                      <a:avLst/>
                    </a:prstGeom>
                  </pic:spPr>
                </pic:pic>
              </a:graphicData>
            </a:graphic>
          </wp:inline>
        </w:drawing>
      </w:r>
      <w:bookmarkEnd w:id="4"/>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Реални раст БДП у протеклих шест година транзиције пратила је висока инфлација, висок дефицит текућих трансакција и висока стопа регистроване незапослености, што указује на унутрашњу и спољну макроекономску неравнотежу која неповољно утиче на макроекономску стабилност и успорава привредни раст.</w:t>
      </w:r>
    </w:p>
    <w:p>
      <w:pPr>
        <w:spacing w:after="0"/>
        <w:ind w:left="0"/>
        <w:jc w:val="left"/>
      </w:pPr>
      <w:r>
        <w:rPr>
          <w:rFonts w:ascii="Verdana"/>
          <w:b w:val="false"/>
          <w:i w:val="false"/>
          <w:color w:val="000000"/>
          <w:sz w:val="22"/>
        </w:rPr>
        <w:t>Народна скупштина Републике Србије је 13. октобра 2004. године донела Резолуцију о придруживању ЕУ („Службени гласник РС”, број 112/04), са циљем да се Република Србија припреми за чланство у ЕУ.</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2.2.1. Пројекција основних макроекономских индикатора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Након периода 2001–2006. године у коме је остварен кумулативни раст БДП од 31,8% и инфлација редукована са 114% колико је износила крајем 2000. године на 17,7% крајем 2005. године, наставиће се са одржавањем макроекономске стабилности и динамичног привредног раста заснованог на повећању домаће штедње и инвестиционе активности и на повећању конкурентности привреде и извоза.</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bookmarkStart w:name="Picture 40" w:id="5"/>
      <w:r>
        <w:drawing>
          <wp:inline distT="0" distB="0" distL="0" distR="0">
            <wp:extent cx="5732145" cy="255814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5732145" cy="2558147"/>
                    </a:xfrm>
                    <a:prstGeom prst="rect">
                      <a:avLst/>
                    </a:prstGeom>
                  </pic:spPr>
                </pic:pic>
              </a:graphicData>
            </a:graphic>
          </wp:inline>
        </w:drawing>
      </w:r>
      <w:bookmarkEnd w:id="5"/>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Процењује се реални раст БДП у 2007. години од 7%, а у наредне две године у просеку по стопи од 6,3% ослоњен на пораст инвестиција и извоза, што подразумева смањивање спољнотрговинске неравнотеже, уз чврсту контролу дефицита платног биланса и одржавање уравнотеженог републичког буџета, као и уз чврсту контролу спољног дуга.</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2.2.2. Анализа демографских фактора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Укупна домаћа тражња за поштанским услугама детерминисана је факторима који одређују политичко-економско окружење (од којих примарно зависи понашање две кључне категорије корисника поштанских услуга, тј. привредних субјеката и јавне администрације) и факторима који рефлектују демографске карактеристике популације (фактор којим је детерминисана тражња физичких лица, као корисника поштанских услуга).</w:t>
      </w:r>
    </w:p>
    <w:p>
      <w:pPr>
        <w:spacing w:after="0"/>
        <w:ind w:left="0"/>
        <w:jc w:val="left"/>
      </w:pPr>
      <w:r>
        <w:rPr>
          <w:rFonts w:ascii="Verdana"/>
          <w:b w:val="false"/>
          <w:i w:val="false"/>
          <w:color w:val="000000"/>
          <w:sz w:val="22"/>
        </w:rPr>
        <w:t>На бази података званичне статистике, од 1991. године долази до значајнијег смањења укупног броја становника у Републици Србији. С друге стране, кретање осталих демографских фактора указује на постојање неискоришћене латентне тражње и на промену захтева самих корисника, као и смањење аналитичког оквира за детерминисање величине потенцијалног тржишта поштанских услуга.</w:t>
      </w:r>
    </w:p>
    <w:p>
      <w:pPr>
        <w:spacing w:after="0"/>
        <w:ind w:left="0"/>
        <w:jc w:val="left"/>
      </w:pPr>
      <w:r>
        <w:rPr>
          <w:rFonts w:ascii="Verdana"/>
          <w:b w:val="false"/>
          <w:i w:val="false"/>
          <w:color w:val="000000"/>
          <w:sz w:val="22"/>
        </w:rPr>
        <w:t>У периоду до 2002. године дошло је до значајног побољшања образовне структуре становништва, мерено односом писменог и неписменог становништва. Уочена је редукција неписменог становништва за 3%, односно за 182 хиљаде лица (табела 4).</w:t>
      </w:r>
    </w:p>
    <w:p>
      <w:pPr>
        <w:spacing w:after="0"/>
        <w:ind w:left="0"/>
        <w:jc w:val="left"/>
      </w:pPr>
      <w:r>
        <w:rPr>
          <w:rFonts w:ascii="Verdana"/>
          <w:b w:val="false"/>
          <w:i w:val="false"/>
          <w:color w:val="000000"/>
          <w:sz w:val="22"/>
        </w:rPr>
        <w:t> </w:t>
      </w:r>
    </w:p>
    <w:p>
      <w:pPr>
        <w:spacing w:after="0"/>
        <w:ind w:left="0"/>
        <w:jc w:val="left"/>
      </w:pPr>
      <w:bookmarkStart w:name="Picture 41" w:id="6"/>
      <w:r>
        <w:drawing>
          <wp:inline distT="0" distB="0" distL="0" distR="0">
            <wp:extent cx="5732145" cy="258657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
                    <a:stretch>
                      <a:fillRect/>
                    </a:stretch>
                  </pic:blipFill>
                  <pic:spPr>
                    <a:xfrm>
                      <a:off x="0" y="0"/>
                      <a:ext cx="5732145" cy="2586571"/>
                    </a:xfrm>
                    <a:prstGeom prst="rect">
                      <a:avLst/>
                    </a:prstGeom>
                  </pic:spPr>
                </pic:pic>
              </a:graphicData>
            </a:graphic>
          </wp:inline>
        </w:drawing>
      </w:r>
      <w:bookmarkEnd w:id="6"/>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С друге стране, релативни пораст куповне моћи становништва омогућио је значајан раст дискреционог дохотка (Објашњење: Дискрециони доходак представља доходак који преостаје по намирењу основних животних потреба – табела 5). У последњих пет година кумулативни дискрециони доходак у личној потрошњи становника повећан је за 15,4%. Треба имати у виду да (према подацима ЈП ПТТ саобраћаја „Србија” – у даљем тексту: Пошта Србије или ЈПО) издаци становништва за поштанске услуге учествују са 0,18% у укупној просечној потрошњи становника.</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Табела 5 – Структура личне потрошње по годинама</w:t>
      </w:r>
    </w:p>
    <w:p>
      <w:pPr>
        <w:spacing w:after="0"/>
        <w:ind w:left="0"/>
        <w:jc w:val="center"/>
      </w:pPr>
      <w:r>
        <w:rPr>
          <w:rFonts w:ascii="Verdana"/>
          <w:b w:val="false"/>
          <w:i w:val="false"/>
          <w:color w:val="000000"/>
          <w:sz w:val="22"/>
        </w:rPr>
        <w:t>(Извор: Статистички годишњак Србије за 2004. годину и Србија у бројкама 2003. – РСЗ,</w:t>
      </w:r>
    </w:p>
    <w:p>
      <w:pPr>
        <w:spacing w:after="0"/>
        <w:ind w:left="0"/>
        <w:jc w:val="center"/>
      </w:pPr>
      <w:r>
        <w:rPr>
          <w:rFonts w:ascii="Verdana"/>
          <w:b w:val="false"/>
          <w:i w:val="false"/>
          <w:color w:val="000000"/>
          <w:sz w:val="22"/>
        </w:rPr>
        <w:t>Друштвено-економска кретања у 2003. – РСЗ, РСЗ – Саопштење бр. 74 од 06.04.2005.)</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bookmarkStart w:name="Picture 42" w:id="7"/>
      <w:r>
        <w:drawing>
          <wp:inline distT="0" distB="0" distL="0" distR="0">
            <wp:extent cx="5732145" cy="217916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
                    <a:stretch>
                      <a:fillRect/>
                    </a:stretch>
                  </pic:blipFill>
                  <pic:spPr>
                    <a:xfrm>
                      <a:off x="0" y="0"/>
                      <a:ext cx="5732145" cy="2179163"/>
                    </a:xfrm>
                    <a:prstGeom prst="rect">
                      <a:avLst/>
                    </a:prstGeom>
                  </pic:spPr>
                </pic:pic>
              </a:graphicData>
            </a:graphic>
          </wp:inline>
        </w:drawing>
      </w:r>
      <w:bookmarkEnd w:id="7"/>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Изнети подаци указују на чињеницу да без обзира на глобално смањење величине тржишта поштанских услуга, долази до раста латентне тражње, што ће у наредном периоду деловати у правцу интензивирања захтева корисника, како у погледу обима поштанских услуга, тако и у погледу развоја услуга са тзв. додатном вредношћу за корисника.</w:t>
      </w:r>
    </w:p>
    <w:p>
      <w:pPr>
        <w:spacing w:after="0"/>
        <w:ind w:left="0"/>
        <w:jc w:val="left"/>
      </w:pPr>
      <w:r>
        <w:rPr>
          <w:rFonts w:ascii="Verdana"/>
          <w:b w:val="false"/>
          <w:i w:val="false"/>
          <w:color w:val="000000"/>
          <w:sz w:val="22"/>
        </w:rPr>
        <w:t>Анализи демографских фактора, као што се може видети, треба посветити посебну пажњу јер представља детерминанту будућег развоја поштанских услуга и одређује развој будуће примарне тражње за истима, као стратешком елементу пројекције и формулисања циљева поштанског сервиса.</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r>
        <w:rPr>
          <w:rFonts w:ascii="Verdana"/>
          <w:b w:val="false"/>
          <w:i/>
          <w:color w:val="000000"/>
          <w:sz w:val="22"/>
        </w:rPr>
        <w:t>2.3. Анализа тржишта поштанских услуга у Републици Србији</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Тржиште поштанских услуга представља кључни извор раста и развоја поштанских услуга.</w:t>
      </w:r>
    </w:p>
    <w:p>
      <w:pPr>
        <w:spacing w:after="0"/>
        <w:ind w:left="0"/>
        <w:jc w:val="left"/>
      </w:pPr>
      <w:r>
        <w:rPr>
          <w:rFonts w:ascii="Verdana"/>
          <w:b w:val="false"/>
          <w:i w:val="false"/>
          <w:color w:val="000000"/>
          <w:sz w:val="22"/>
        </w:rPr>
        <w:t>На тржишту у Републици Србији, поштанске услуге обавља ЈПО – Пошта Србије, и други поштански оператори (око 70 регистрованих) из домена нерезервисаних услуга.</w:t>
      </w:r>
    </w:p>
    <w:p>
      <w:pPr>
        <w:spacing w:after="0"/>
        <w:ind w:left="0"/>
        <w:jc w:val="left"/>
      </w:pPr>
      <w:r>
        <w:rPr>
          <w:rFonts w:ascii="Verdana"/>
          <w:b w:val="false"/>
          <w:i w:val="false"/>
          <w:color w:val="000000"/>
          <w:sz w:val="22"/>
        </w:rPr>
        <w:t>Тренутно стање конкурентских односа на поштанском тржишту Србије одликује се високом стопом нерегулисаности, због непотпуне примене Закона о поштанским услугама („Службени гласник РС”, број 18/05 – у даљем тексту: Закон) из разлога непостојања Републичке агенције за поштанске услуге (у даљем тексту – Агенција).</w:t>
      </w:r>
    </w:p>
    <w:p>
      <w:pPr>
        <w:spacing w:after="0"/>
        <w:ind w:left="0"/>
        <w:jc w:val="left"/>
      </w:pPr>
      <w:r>
        <w:rPr>
          <w:rFonts w:ascii="Verdana"/>
          <w:b w:val="false"/>
          <w:i w:val="false"/>
          <w:color w:val="000000"/>
          <w:sz w:val="22"/>
        </w:rPr>
        <w:t>На основу расположивих података и спроведених истраживања, тржиште поштанских услуга у Србији, према критеријуму услуге, може се поделити на четири сегмента:</w:t>
      </w:r>
    </w:p>
    <w:p>
      <w:pPr>
        <w:spacing w:after="0"/>
        <w:ind w:left="0"/>
        <w:jc w:val="left"/>
      </w:pPr>
      <w:r>
        <w:rPr>
          <w:rFonts w:ascii="Verdana"/>
          <w:b w:val="false"/>
          <w:i w:val="false"/>
          <w:color w:val="000000"/>
          <w:sz w:val="22"/>
        </w:rPr>
        <w:t>1) Тржиште универзалне поштанске услуге (класичне);</w:t>
      </w:r>
    </w:p>
    <w:p>
      <w:pPr>
        <w:spacing w:after="0"/>
        <w:ind w:left="0"/>
        <w:jc w:val="left"/>
      </w:pPr>
      <w:r>
        <w:rPr>
          <w:rFonts w:ascii="Verdana"/>
          <w:b w:val="false"/>
          <w:i w:val="false"/>
          <w:color w:val="000000"/>
          <w:sz w:val="22"/>
        </w:rPr>
        <w:t>2) Тржиште експрес услуга;</w:t>
      </w:r>
    </w:p>
    <w:p>
      <w:pPr>
        <w:spacing w:after="0"/>
        <w:ind w:left="0"/>
        <w:jc w:val="left"/>
      </w:pPr>
      <w:r>
        <w:rPr>
          <w:rFonts w:ascii="Verdana"/>
          <w:b w:val="false"/>
          <w:i w:val="false"/>
          <w:color w:val="000000"/>
          <w:sz w:val="22"/>
        </w:rPr>
        <w:t>3) Тржиште директне поште (</w:t>
      </w:r>
      <w:r>
        <w:rPr>
          <w:rFonts w:ascii="Verdana"/>
          <w:b w:val="false"/>
          <w:i/>
          <w:color w:val="000000"/>
          <w:sz w:val="22"/>
        </w:rPr>
        <w:t>direct mail</w:t>
      </w:r>
      <w:r>
        <w:rPr>
          <w:rFonts w:ascii="Verdana"/>
          <w:b w:val="false"/>
          <w:i w:val="false"/>
          <w:color w:val="000000"/>
          <w:sz w:val="22"/>
        </w:rPr>
        <w:t>);</w:t>
      </w:r>
    </w:p>
    <w:p>
      <w:pPr>
        <w:spacing w:after="0"/>
        <w:ind w:left="0"/>
        <w:jc w:val="left"/>
      </w:pPr>
      <w:r>
        <w:rPr>
          <w:rFonts w:ascii="Verdana"/>
          <w:b w:val="false"/>
          <w:i w:val="false"/>
          <w:color w:val="000000"/>
          <w:sz w:val="22"/>
        </w:rPr>
        <w:t>4) Тржиште међународних поштанских услуга.</w:t>
      </w:r>
    </w:p>
    <w:p>
      <w:pPr>
        <w:spacing w:after="0"/>
        <w:ind w:left="0"/>
        <w:jc w:val="left"/>
      </w:pPr>
      <w:r>
        <w:rPr>
          <w:rFonts w:ascii="Verdana"/>
          <w:b w:val="false"/>
          <w:i w:val="false"/>
          <w:color w:val="000000"/>
          <w:sz w:val="22"/>
        </w:rPr>
        <w:t>1. Тржиште универзалне поштанске услуге подразумева пријем, пренос и уручење пошиљака у складу са стандардима квалитета и роковима прописаним Законом. Диверсификована мрежа садржана у 1510 јединица поштанске мреже, 172 уговорне поште, 3289 шалтера, 4122 ковчежића, 3552 рејона поштоноша, омогућава Пошти Србије лидерску позицију на овом тржишном сегменту. Процена је да се на овом тржишту обави годишње преко 280 милиона услуга.</w:t>
      </w:r>
    </w:p>
    <w:p>
      <w:pPr>
        <w:spacing w:after="0"/>
        <w:ind w:left="0"/>
        <w:jc w:val="left"/>
      </w:pPr>
      <w:r>
        <w:rPr>
          <w:rFonts w:ascii="Verdana"/>
          <w:b w:val="false"/>
          <w:i w:val="false"/>
          <w:color w:val="000000"/>
          <w:sz w:val="22"/>
        </w:rPr>
        <w:t>2. Тржиште експрес услуга – под којим се подразумева тржиште курирских служби, које пружају услуге експрес преноса пошиљака. Захваљујући релативно високом профитном потенцијалу овог тржишног сегмента, на истом доминира изразита конкуренција. Посебно је карактеристичан податак да се сваке године оснује али и престане са радом велики број предузећа која се баве пружањем ових услуга. Захваљујући могућности за постизање додатне ефикасности на овом тржишту, а посебно у великим градовима, доминантну позицију имају приватне курирске службе глобалног, националног и локалног карактера. Запажа се присутност проблема везаних за поштанске операторе код реализације откупних пошиљака и царинског поступка. Процена је да се на овом тржишту обави око 5 милиона услуга годишње.</w:t>
      </w:r>
    </w:p>
    <w:p>
      <w:pPr>
        <w:spacing w:after="0"/>
        <w:ind w:left="0"/>
        <w:jc w:val="left"/>
      </w:pPr>
      <w:r>
        <w:rPr>
          <w:rFonts w:ascii="Verdana"/>
          <w:b w:val="false"/>
          <w:i w:val="false"/>
          <w:color w:val="000000"/>
          <w:sz w:val="22"/>
        </w:rPr>
        <w:t>3. Тржиште директне поште – под којим се подразумева тржиште адресованих и неадресованих пошиљака (летака, брошура, каталога и другог штампаног рекламног материјала). За ово тржиште нарочито је карактеристична нелојална конкуренција. Поред високог тржишног учешћа Поште Србије, тржишни примат ипак остварују „алтернативни дистрибутивни канали”, као што су омладинске и студентске задруге и друга правна и физичка лица. Процена је да се на годишњем нивоу изврши око 80 милиона ових услуга.</w:t>
      </w:r>
    </w:p>
    <w:p>
      <w:pPr>
        <w:spacing w:after="0"/>
        <w:ind w:left="0"/>
        <w:jc w:val="left"/>
      </w:pPr>
      <w:r>
        <w:rPr>
          <w:rFonts w:ascii="Verdana"/>
          <w:b w:val="false"/>
          <w:i w:val="false"/>
          <w:color w:val="000000"/>
          <w:sz w:val="22"/>
        </w:rPr>
        <w:t>4. Тржиште међународних поштанских услуга – На овом тржишту јавља се конкуренција између Поште Србије (са својом класичном услугом и, ускоро, услугом ЕМС) и глобалних оператора поштанских услуга, али и облици међусобне сарадње, нарочито у области експресног преноса пошиљака. Процена је да се на годишњем нивоу изврши око 10 милиона ових услуга.</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2.3.1 Очекивани развој конкурентских односа на домаћем тржишту поштанских услуга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За антиципирање развоја конкурентских односа на домаћем тржишту поштанских услуга неопходно је сагледати најважније факторе који утичу на конкуренцију на тржишту поштанских услуга:</w:t>
      </w:r>
    </w:p>
    <w:p>
      <w:pPr>
        <w:spacing w:after="0"/>
        <w:ind w:left="0"/>
        <w:jc w:val="left"/>
      </w:pPr>
      <w:r>
        <w:rPr>
          <w:rFonts w:ascii="Verdana"/>
          <w:b w:val="false"/>
          <w:i w:val="false"/>
          <w:color w:val="000000"/>
          <w:sz w:val="22"/>
        </w:rPr>
        <w:t>1. Могућност уласка нових конкурената на тржиште поштанских услуга;</w:t>
      </w:r>
    </w:p>
    <w:p>
      <w:pPr>
        <w:spacing w:after="0"/>
        <w:ind w:left="0"/>
        <w:jc w:val="left"/>
      </w:pPr>
      <w:r>
        <w:rPr>
          <w:rFonts w:ascii="Verdana"/>
          <w:b w:val="false"/>
          <w:i w:val="false"/>
          <w:color w:val="000000"/>
          <w:sz w:val="22"/>
        </w:rPr>
        <w:t>2. Супституција поштанских услуга;</w:t>
      </w:r>
    </w:p>
    <w:p>
      <w:pPr>
        <w:spacing w:after="0"/>
        <w:ind w:left="0"/>
        <w:jc w:val="left"/>
      </w:pPr>
      <w:r>
        <w:rPr>
          <w:rFonts w:ascii="Verdana"/>
          <w:b w:val="false"/>
          <w:i w:val="false"/>
          <w:color w:val="000000"/>
          <w:sz w:val="22"/>
        </w:rPr>
        <w:t>3. Преговарачка моћ купаца;</w:t>
      </w:r>
    </w:p>
    <w:p>
      <w:pPr>
        <w:spacing w:after="0"/>
        <w:ind w:left="0"/>
        <w:jc w:val="left"/>
      </w:pPr>
      <w:r>
        <w:rPr>
          <w:rFonts w:ascii="Verdana"/>
          <w:b w:val="false"/>
          <w:i w:val="false"/>
          <w:color w:val="000000"/>
          <w:sz w:val="22"/>
        </w:rPr>
        <w:t>4. Преговарачка моћ добављача и</w:t>
      </w:r>
    </w:p>
    <w:p>
      <w:pPr>
        <w:spacing w:after="0"/>
        <w:ind w:left="0"/>
        <w:jc w:val="left"/>
      </w:pPr>
      <w:r>
        <w:rPr>
          <w:rFonts w:ascii="Verdana"/>
          <w:b w:val="false"/>
          <w:i w:val="false"/>
          <w:color w:val="000000"/>
          <w:sz w:val="22"/>
        </w:rPr>
        <w:t>5. Степен ривалитета између постојећих конкурената.</w:t>
      </w:r>
    </w:p>
    <w:p>
      <w:pPr>
        <w:spacing w:after="0"/>
        <w:ind w:left="0"/>
        <w:jc w:val="left"/>
      </w:pPr>
      <w:r>
        <w:rPr>
          <w:rFonts w:ascii="Verdana"/>
          <w:b w:val="false"/>
          <w:i w:val="false"/>
          <w:color w:val="000000"/>
          <w:sz w:val="22"/>
        </w:rPr>
        <w:t>Сагледавање утицаја наведених фактора представља оквир за сагледавање развоја конкуренције на тржишту поштанских услуга:</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1. Могућност уласка нових конкурената на тржиште поштанских услуга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Потенцијални улазак нових конкурената на тржиште поштанских услуга требало би да буде одређен кроз регулативу Агенције. Што се тиче резервисаних услуга, ту заправо могућност уласка нових конкурената на тржиште поштанских услуга не постоји, док кад су у питању универзалне и комерцијалне услуге оваква могућност свакако постоји, али би требало да је пре свега усмерена регулативом иницираном од стране Агенције како би се обезбедили фер услови постојећим и потенцијалним конкурентима, како у погледу њихових права, тако и у погледу њихових обавеза.</w:t>
      </w:r>
    </w:p>
    <w:p>
      <w:pPr>
        <w:spacing w:after="0"/>
        <w:ind w:left="0"/>
        <w:jc w:val="left"/>
      </w:pPr>
      <w:r>
        <w:rPr>
          <w:rFonts w:ascii="Verdana"/>
          <w:b w:val="false"/>
          <w:i w:val="false"/>
          <w:color w:val="000000"/>
          <w:sz w:val="22"/>
        </w:rPr>
        <w:t>Што се тиче појединих сегмената поштанског тржишта, конкуренција ће се развијати, пре свега, у сегменту експрес услуга, директне поште, али и у области средстава кореспонденције између правних и физичких лица (изводи банака, рачуни комуналних услуга, итд.). Слична ситуација је и са превозом пакета и експрес услуга, где је конкуренција већ доста изражена и захтева одређену регулативу у смислу добијања дозвола, покривања појединих подручја, неопходног броја пошиљака, итд. Такође, као конкуренти ЈПО, све се више јављају предузећа која се баве логистиком и дистрибуцијом робе (пошиљака са адресом) за рачун других (логистичка предузећа).</w:t>
      </w:r>
    </w:p>
    <w:p>
      <w:pPr>
        <w:spacing w:after="0"/>
        <w:ind w:left="0"/>
        <w:jc w:val="left"/>
      </w:pPr>
      <w:r>
        <w:rPr>
          <w:rFonts w:ascii="Verdana"/>
          <w:b w:val="false"/>
          <w:i w:val="false"/>
          <w:color w:val="000000"/>
          <w:sz w:val="22"/>
        </w:rPr>
        <w:t>Сви потенцијални конкуренти (поштански оператори) који би могли ући на тржиште поштанских услуга су они који су везани за неке од поштанских услуга и налазе се у оквиру неког сегмента како традиционалног, тако и савременог поштанског ланца вредности.</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2. Супституција поштанских услуга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Развојем нових технологија, могућност супституције поштанских услуга постаје све већа. У том смислу, као могући супститути поштанских услуга у домену електронске комуникације, поред већ традиционалног комуницирања путем телефона и факс апарата појављује се и електронска пошта али и други облици Интернет сервиса.</w:t>
      </w:r>
    </w:p>
    <w:p>
      <w:pPr>
        <w:spacing w:after="0"/>
        <w:ind w:left="0"/>
        <w:jc w:val="left"/>
      </w:pPr>
      <w:r>
        <w:rPr>
          <w:rFonts w:ascii="Verdana"/>
          <w:b w:val="false"/>
          <w:i w:val="false"/>
          <w:color w:val="000000"/>
          <w:sz w:val="22"/>
        </w:rPr>
        <w:t>Предвиђа се да ће у апсолутном износу физички обим поштанских услуга расти али да ће се његов удео на тржишту комуникација смањивати.</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3. Преговарачка моћ купаца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Преговарачку моћ купаца поштанских услуга је потребно сагледати како за правна, тако и за физичка лица. У том смислу, преговарачка моћ купаца у привредној области је значајна и може у предстојећем периоду значајно утицати на ниво обима поштанског оператора, с обзиром на то да захтевају већи квалитет услуга, а имају могућност супституције било да су у питању конкурентска предузећа или алтернативни начини комуникације. Ово је посебно изражено на релацији правна – физичка лица, а нарочито у областима где послују банке, осигуравајуће компаније, издавачка предузећа, као и јавне службе и институције (нпр. судови, јавно-комунална предузећа, итд.).</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4. Преговарачка моћ добављача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Преговарачка моћ добављача опреме за обављање поштанских делатности (нпр. произвођачи машина за сортирање пошиљака, произвођачи транспортних средстава, итд.) зависиће, пре свега, од карактера њихове стратегије (активна или пасивна) у наступу према јавном поштанском оператору. Унапред дефинисане стратегије поштанских оператора према добављачима треба да наметну сопствене развојне планове за избор поменуте врсте опреме (у смислу жељене технологије, стратегије и политике цена, капацитета и других битних фактора).</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5. Степен ривалитета између постојећих конкурената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Степен ривалитета између постојећих конкурената (поштанских оператора) има значајан утицај на структуру тржишта поштанских услуга за сваки од сегмената поштанских услуга.</w:t>
      </w:r>
    </w:p>
    <w:p>
      <w:pPr>
        <w:spacing w:after="0"/>
        <w:ind w:left="0"/>
        <w:jc w:val="left"/>
      </w:pPr>
      <w:r>
        <w:rPr>
          <w:rFonts w:ascii="Verdana"/>
          <w:b w:val="false"/>
          <w:i w:val="false"/>
          <w:color w:val="000000"/>
          <w:sz w:val="22"/>
        </w:rPr>
        <w:t>Тренутно највећи степен ривалитета је у области експрес-курирских услуга где је на тржишту Републике Србије идентификовано 6 значајних конкурената, као поштански оператори који су регистровани за обављање те делатности. Слична ситуација је и у области директне поште где постоји неколико регистрованих поштанских оператора који су специјализовани за директну пошту, али и већи број маркетиншких агенција које у оквиру интегрисаних маркетиншких кампања организују и обављају директну пошту. Поред наведених поштанских оператора, потребно је истаћи и нелегалну конкуренцију која је активна како у области експрес услуга (аутобуски, комби и такси превозници, омладинске задруге), тако и у области директне поште и збирног преноса поштанских пошиљака. У том смислу, регулатива Агенције уредиће степен ривалитета између постојећих, али и потенцијалних конкурената (кроз дозволе), а надлежна инспекција министарства кроз надзор, чиме ће права корисника бити гарантована за све учеснике на тржишту поштанских услуга.</w:t>
      </w:r>
    </w:p>
    <w:p>
      <w:pPr>
        <w:spacing w:after="0"/>
        <w:ind w:left="0"/>
        <w:jc w:val="left"/>
      </w:pPr>
      <w:r>
        <w:rPr>
          <w:rFonts w:ascii="Verdana"/>
          <w:b w:val="false"/>
          <w:i w:val="false"/>
          <w:color w:val="000000"/>
          <w:sz w:val="22"/>
        </w:rPr>
        <w:t>Анализираних пет фактора доминантно утичу на развој поштанских услуга у будућности, а формулисање Стратегије у Републици Србији представља начин да се наведене претње неутралишу и претворе у шансе за стабилан раст и развој поштанских услуга.</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2.3.2. Анализа поштанских фактора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Поштанске факторе, који према студији УПУ утичу са 24% на физички обим поштанских услуга, можемо поделити на оне факторе на које пошта може да утиче у већој мери и на оне факторе на које пошта може да утиче у мањој мери.</w:t>
      </w:r>
    </w:p>
    <w:p>
      <w:pPr>
        <w:spacing w:after="0"/>
        <w:ind w:left="0"/>
        <w:jc w:val="left"/>
      </w:pPr>
      <w:r>
        <w:rPr>
          <w:rFonts w:ascii="Verdana"/>
          <w:b w:val="false"/>
          <w:i w:val="false"/>
          <w:color w:val="000000"/>
          <w:sz w:val="22"/>
        </w:rPr>
        <w:t>Фактори на које пошта има већи утицај:</w:t>
      </w:r>
    </w:p>
    <w:p>
      <w:pPr>
        <w:spacing w:after="0"/>
        <w:ind w:left="0"/>
        <w:jc w:val="left"/>
      </w:pPr>
      <w:r>
        <w:rPr>
          <w:rFonts w:ascii="Verdana"/>
          <w:b w:val="false"/>
          <w:i w:val="false"/>
          <w:color w:val="000000"/>
          <w:sz w:val="22"/>
        </w:rPr>
        <w:t>1. Квалитет услуге,</w:t>
      </w:r>
    </w:p>
    <w:p>
      <w:pPr>
        <w:spacing w:after="0"/>
        <w:ind w:left="0"/>
        <w:jc w:val="left"/>
      </w:pPr>
      <w:r>
        <w:rPr>
          <w:rFonts w:ascii="Verdana"/>
          <w:b w:val="false"/>
          <w:i w:val="false"/>
          <w:color w:val="000000"/>
          <w:sz w:val="22"/>
        </w:rPr>
        <w:t>2. Маркетинг,</w:t>
      </w:r>
    </w:p>
    <w:p>
      <w:pPr>
        <w:spacing w:after="0"/>
        <w:ind w:left="0"/>
        <w:jc w:val="left"/>
      </w:pPr>
      <w:r>
        <w:rPr>
          <w:rFonts w:ascii="Verdana"/>
          <w:b w:val="false"/>
          <w:i w:val="false"/>
          <w:color w:val="000000"/>
          <w:sz w:val="22"/>
        </w:rPr>
        <w:t>3. Поштанска инфраструктура и</w:t>
      </w:r>
    </w:p>
    <w:p>
      <w:pPr>
        <w:spacing w:after="0"/>
        <w:ind w:left="0"/>
        <w:jc w:val="left"/>
      </w:pPr>
      <w:r>
        <w:rPr>
          <w:rFonts w:ascii="Verdana"/>
          <w:b w:val="false"/>
          <w:i w:val="false"/>
          <w:color w:val="000000"/>
          <w:sz w:val="22"/>
        </w:rPr>
        <w:t>4. Производи и услуге.</w:t>
      </w:r>
    </w:p>
    <w:p>
      <w:pPr>
        <w:spacing w:after="0"/>
        <w:ind w:left="0"/>
        <w:jc w:val="left"/>
      </w:pPr>
      <w:r>
        <w:rPr>
          <w:rFonts w:ascii="Verdana"/>
          <w:b w:val="false"/>
          <w:i w:val="false"/>
          <w:color w:val="000000"/>
          <w:sz w:val="22"/>
        </w:rPr>
        <w:t>Фактори на које пошта има мањи утицај, а из ове групе фактора наводимо:</w:t>
      </w:r>
    </w:p>
    <w:p>
      <w:pPr>
        <w:spacing w:after="0"/>
        <w:ind w:left="0"/>
        <w:jc w:val="left"/>
      </w:pPr>
      <w:r>
        <w:rPr>
          <w:rFonts w:ascii="Verdana"/>
          <w:b w:val="false"/>
          <w:i w:val="false"/>
          <w:color w:val="000000"/>
          <w:sz w:val="22"/>
        </w:rPr>
        <w:t>1. Тарифе–цене (у случају Поште Србије),</w:t>
      </w:r>
    </w:p>
    <w:p>
      <w:pPr>
        <w:spacing w:after="0"/>
        <w:ind w:left="0"/>
        <w:jc w:val="left"/>
      </w:pPr>
      <w:r>
        <w:rPr>
          <w:rFonts w:ascii="Verdana"/>
          <w:b w:val="false"/>
          <w:i w:val="false"/>
          <w:color w:val="000000"/>
          <w:sz w:val="22"/>
        </w:rPr>
        <w:t>2. Конкуренцију других давалаца услуга и</w:t>
      </w:r>
    </w:p>
    <w:p>
      <w:pPr>
        <w:spacing w:after="0"/>
        <w:ind w:left="0"/>
        <w:jc w:val="left"/>
      </w:pPr>
      <w:r>
        <w:rPr>
          <w:rFonts w:ascii="Verdana"/>
          <w:b w:val="false"/>
          <w:i w:val="false"/>
          <w:color w:val="000000"/>
          <w:sz w:val="22"/>
        </w:rPr>
        <w:t>3. Поштанско законодавство.</w:t>
      </w:r>
    </w:p>
    <w:p>
      <w:pPr>
        <w:spacing w:after="0"/>
        <w:ind w:left="0"/>
        <w:jc w:val="left"/>
      </w:pPr>
      <w:r>
        <w:rPr>
          <w:rFonts w:ascii="Verdana"/>
          <w:b w:val="false"/>
          <w:i w:val="false"/>
          <w:color w:val="000000"/>
          <w:sz w:val="22"/>
        </w:rPr>
        <w:t>Поштански фактори утичу на латентну тражњу, односно тражњу која постоји али из неког разлога није задовољена. Незадовољене потребе грађана и привреде (латентне тражње) мета су конкуренције која је најчешће флексибилнија и бржа од јавног поштанског оператора и која на овај начин осваја тржиште.</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2.3.3. Анализа технолошких фактора у Републици Србији</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Технолошки фактори према студији UPU утичу са 10% на физички обим поштанских услуга. На тржишту преноса порука и саопштења, на којем делује пошта са писмоносним пошиљкама, данас су присутни:</w:t>
      </w:r>
    </w:p>
    <w:p>
      <w:pPr>
        <w:spacing w:after="0"/>
        <w:ind w:left="0"/>
        <w:jc w:val="left"/>
      </w:pPr>
      <w:r>
        <w:rPr>
          <w:rFonts w:ascii="Verdana"/>
          <w:b w:val="false"/>
          <w:i w:val="false"/>
          <w:color w:val="000000"/>
          <w:sz w:val="22"/>
        </w:rPr>
        <w:t>1) физички пренос;</w:t>
      </w:r>
    </w:p>
    <w:p>
      <w:pPr>
        <w:spacing w:after="0"/>
        <w:ind w:left="0"/>
        <w:jc w:val="left"/>
      </w:pPr>
      <w:r>
        <w:rPr>
          <w:rFonts w:ascii="Verdana"/>
          <w:b w:val="false"/>
          <w:i w:val="false"/>
          <w:color w:val="000000"/>
          <w:sz w:val="22"/>
        </w:rPr>
        <w:t>2) телефонија;</w:t>
      </w:r>
    </w:p>
    <w:p>
      <w:pPr>
        <w:spacing w:after="0"/>
        <w:ind w:left="0"/>
        <w:jc w:val="left"/>
      </w:pPr>
      <w:r>
        <w:rPr>
          <w:rFonts w:ascii="Verdana"/>
          <w:b w:val="false"/>
          <w:i w:val="false"/>
          <w:color w:val="000000"/>
          <w:sz w:val="22"/>
        </w:rPr>
        <w:t>3) телефакс;</w:t>
      </w:r>
    </w:p>
    <w:p>
      <w:pPr>
        <w:spacing w:after="0"/>
        <w:ind w:left="0"/>
        <w:jc w:val="left"/>
      </w:pPr>
      <w:r>
        <w:rPr>
          <w:rFonts w:ascii="Verdana"/>
          <w:b w:val="false"/>
          <w:i w:val="false"/>
          <w:color w:val="000000"/>
          <w:sz w:val="22"/>
        </w:rPr>
        <w:t>4) мелектронска пошта, и</w:t>
      </w:r>
    </w:p>
    <w:p>
      <w:pPr>
        <w:spacing w:after="0"/>
        <w:ind w:left="0"/>
        <w:jc w:val="left"/>
      </w:pPr>
      <w:r>
        <w:rPr>
          <w:rFonts w:ascii="Verdana"/>
          <w:b w:val="false"/>
          <w:i w:val="false"/>
          <w:color w:val="000000"/>
          <w:sz w:val="22"/>
        </w:rPr>
        <w:t>5) хибридна пошта.</w:t>
      </w:r>
    </w:p>
    <w:p>
      <w:pPr>
        <w:spacing w:after="0"/>
        <w:ind w:left="0"/>
        <w:jc w:val="left"/>
      </w:pPr>
      <w:r>
        <w:rPr>
          <w:rFonts w:ascii="Verdana"/>
          <w:b w:val="false"/>
          <w:i w:val="false"/>
          <w:color w:val="000000"/>
          <w:sz w:val="22"/>
        </w:rPr>
        <w:t>Према истраживању нашег тржишта које се поклапа са прогнозама UPU, заступљеност физичког преноса пошиљака на тржишту комуникација ће се смањити са садашњих 20% на мање од 15%. Овај пад учешћа само значи да се комуникационо (електронско поштанско) тржиште развија брже него класично, што је тенденција која ће се задржати и у будућности. Да би се компензовао губитак тржишта и остварио годишњи пораст писмоносног саобраћаја од 2,5%, тржиште комуникација би морало да расте по стопи од 5,6% годишње.</w:t>
      </w:r>
    </w:p>
    <w:p>
      <w:pPr>
        <w:spacing w:after="0"/>
        <w:ind w:left="0"/>
        <w:jc w:val="left"/>
      </w:pPr>
      <w:r>
        <w:rPr>
          <w:rFonts w:ascii="Verdana"/>
          <w:b w:val="false"/>
          <w:i w:val="false"/>
          <w:color w:val="000000"/>
          <w:sz w:val="22"/>
        </w:rPr>
        <w:t>Раст тржишта комуникација (електронске поштанске комуникације) ће бити веома значајан под утицајем глобализације, чак иако класичан пренос буде супституисан електронским. Пораст физичког обима класичних пошиљака ће се повећавати због потребе класичног уручења примаоцима. Не треба заборавити да и електронска пошта генерише „физичке” пошиљке. На поштанском тржишту услуга у Републици Србији, и поред евентуалног постојања ефеката супституције, долази до раста обима писмоносних услуга и то у периоду од протеклих 6 година, који је најинтензивнији када се ради о расту употребе Интернета.</w:t>
      </w:r>
    </w:p>
    <w:p>
      <w:pPr>
        <w:spacing w:after="0"/>
        <w:ind w:left="0"/>
        <w:jc w:val="center"/>
      </w:pPr>
      <w:r>
        <w:rPr>
          <w:rFonts w:ascii="Verdana"/>
          <w:b w:val="false"/>
          <w:i w:val="false"/>
          <w:color w:val="000000"/>
          <w:sz w:val="22"/>
        </w:rPr>
        <w:t> </w:t>
      </w:r>
    </w:p>
    <w:p>
      <w:pPr>
        <w:spacing w:after="0"/>
        <w:ind w:left="0"/>
        <w:jc w:val="center"/>
      </w:pPr>
      <w:r>
        <w:rPr>
          <w:rFonts w:ascii="Verdana"/>
          <w:b w:val="false"/>
          <w:i/>
          <w:color w:val="000000"/>
          <w:sz w:val="22"/>
        </w:rPr>
        <w:t>2.4. Анализа обављања поштанских услуга у Србији</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2.4.1. Универзална поштанска услуга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Универзална поштанска услуга представља скуп поштанских услуга које се обављају у континуитету на територији Републике Србије у оквиру прописаног квалитета по приступачним ценама и под једнаким условима за све кориснике без дискриминације.</w:t>
      </w:r>
    </w:p>
    <w:p>
      <w:pPr>
        <w:spacing w:after="0"/>
        <w:ind w:left="0"/>
        <w:jc w:val="left"/>
      </w:pPr>
      <w:r>
        <w:rPr>
          <w:rFonts w:ascii="Verdana"/>
          <w:b w:val="false"/>
          <w:i w:val="false"/>
          <w:color w:val="000000"/>
          <w:sz w:val="22"/>
        </w:rPr>
        <w:t>Универзална поштанска услуга у унутрашњем и међународном поштанском саобраћају, сагласно Закону обухвата:</w:t>
      </w:r>
    </w:p>
    <w:p>
      <w:pPr>
        <w:spacing w:after="0"/>
        <w:ind w:left="0"/>
        <w:jc w:val="left"/>
      </w:pPr>
      <w:r>
        <w:rPr>
          <w:rFonts w:ascii="Verdana"/>
          <w:b w:val="false"/>
          <w:i w:val="false"/>
          <w:color w:val="000000"/>
          <w:sz w:val="22"/>
        </w:rPr>
        <w:t>1) Пријем, пренос и уручење писмоносних пошиљака, укључујући регистроване пошиљке, масе до 2 kg, као и писмоносне пошиљке у електронској форми;</w:t>
      </w:r>
    </w:p>
    <w:p>
      <w:pPr>
        <w:spacing w:after="0"/>
        <w:ind w:left="0"/>
        <w:jc w:val="left"/>
      </w:pPr>
      <w:r>
        <w:rPr>
          <w:rFonts w:ascii="Verdana"/>
          <w:b w:val="false"/>
          <w:i w:val="false"/>
          <w:color w:val="000000"/>
          <w:sz w:val="22"/>
        </w:rPr>
        <w:t>2) Пријем, пренос и уручење пакета масе до 10 kg у унутрашњем поштанском саобраћају и уручење пакета масе до 20 kg у међународном поштанском саобраћају;</w:t>
      </w:r>
    </w:p>
    <w:p>
      <w:pPr>
        <w:spacing w:after="0"/>
        <w:ind w:left="0"/>
        <w:jc w:val="left"/>
      </w:pPr>
      <w:r>
        <w:rPr>
          <w:rFonts w:ascii="Verdana"/>
          <w:b w:val="false"/>
          <w:i w:val="false"/>
          <w:color w:val="000000"/>
          <w:sz w:val="22"/>
        </w:rPr>
        <w:t>3) Пријем, пренос и исплату упутница у класичној и електронској форми и</w:t>
      </w:r>
    </w:p>
    <w:p>
      <w:pPr>
        <w:spacing w:after="0"/>
        <w:ind w:left="0"/>
        <w:jc w:val="left"/>
      </w:pPr>
      <w:r>
        <w:rPr>
          <w:rFonts w:ascii="Verdana"/>
          <w:b w:val="false"/>
          <w:i w:val="false"/>
          <w:color w:val="000000"/>
          <w:sz w:val="22"/>
        </w:rPr>
        <w:t>4) Пријем, пренос и уручење секограма до 7 kg.</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Табела 6 – Реализација поштанских услуга Поште Србије у 2006. години</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bookmarkStart w:name="Picture 43" w:id="8"/>
      <w:r>
        <w:drawing>
          <wp:inline distT="0" distB="0" distL="0" distR="0">
            <wp:extent cx="5732145" cy="146856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
                    <a:stretch>
                      <a:fillRect/>
                    </a:stretch>
                  </pic:blipFill>
                  <pic:spPr>
                    <a:xfrm>
                      <a:off x="0" y="0"/>
                      <a:ext cx="5732145" cy="1468566"/>
                    </a:xfrm>
                    <a:prstGeom prst="rect">
                      <a:avLst/>
                    </a:prstGeom>
                  </pic:spPr>
                </pic:pic>
              </a:graphicData>
            </a:graphic>
          </wp:inline>
        </w:drawing>
      </w:r>
      <w:bookmarkEnd w:id="8"/>
    </w:p>
    <w:p>
      <w:pPr>
        <w:spacing w:after="0"/>
        <w:ind w:left="0"/>
        <w:jc w:val="left"/>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Табела 7 – Универзална поштанска услуга Поште Србије</w:t>
      </w:r>
    </w:p>
    <w:p>
      <w:pPr>
        <w:spacing w:after="0"/>
        <w:ind w:left="0"/>
        <w:jc w:val="center"/>
      </w:pPr>
      <w:r>
        <w:rPr>
          <w:rFonts w:ascii="Verdana"/>
          <w:b w:val="false"/>
          <w:i w:val="false"/>
          <w:color w:val="000000"/>
          <w:sz w:val="22"/>
        </w:rPr>
        <w:t>(на основу остварења из 2006. год.)</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bookmarkStart w:name="Picture 44" w:id="9"/>
      <w:r>
        <w:drawing>
          <wp:inline distT="0" distB="0" distL="0" distR="0">
            <wp:extent cx="5732145" cy="231180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5732145" cy="2311807"/>
                    </a:xfrm>
                    <a:prstGeom prst="rect">
                      <a:avLst/>
                    </a:prstGeom>
                  </pic:spPr>
                </pic:pic>
              </a:graphicData>
            </a:graphic>
          </wp:inline>
        </w:drawing>
      </w:r>
      <w:bookmarkEnd w:id="9"/>
    </w:p>
    <w:p>
      <w:pPr>
        <w:spacing w:after="0"/>
        <w:ind w:left="0"/>
        <w:jc w:val="left"/>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2.4.2. Резервисане поштанске услуге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Резервисане поштанске услуге су услуге које држава гарантује поштанском оператору универзалне поштанске услуге као ексклузивна права у оквирима одређеног лимита по маси и цени. Ове услуге обавља ЈПО.</w:t>
      </w:r>
    </w:p>
    <w:p>
      <w:pPr>
        <w:spacing w:after="0"/>
        <w:ind w:left="0"/>
        <w:jc w:val="left"/>
      </w:pPr>
      <w:r>
        <w:rPr>
          <w:rFonts w:ascii="Verdana"/>
          <w:b w:val="false"/>
          <w:i w:val="false"/>
          <w:color w:val="000000"/>
          <w:sz w:val="22"/>
        </w:rPr>
        <w:t>У резервисане поштанске услуге спадају:</w:t>
      </w:r>
    </w:p>
    <w:p>
      <w:pPr>
        <w:spacing w:after="0"/>
        <w:ind w:left="0"/>
        <w:jc w:val="left"/>
      </w:pPr>
      <w:r>
        <w:rPr>
          <w:rFonts w:ascii="Verdana"/>
          <w:b w:val="false"/>
          <w:i w:val="false"/>
          <w:color w:val="000000"/>
          <w:sz w:val="22"/>
        </w:rPr>
        <w:t>1) Пријем и/или пренос и/или уручење писмоносних пошиљака, до утврђеног лимита по маси и цени;</w:t>
      </w:r>
    </w:p>
    <w:p>
      <w:pPr>
        <w:spacing w:after="0"/>
        <w:ind w:left="0"/>
        <w:jc w:val="left"/>
      </w:pPr>
      <w:r>
        <w:rPr>
          <w:rFonts w:ascii="Verdana"/>
          <w:b w:val="false"/>
          <w:i w:val="false"/>
          <w:color w:val="000000"/>
          <w:sz w:val="22"/>
        </w:rPr>
        <w:t>2) Пријем и/или пренос и/или исплату упутница у класичној и електронској форми;</w:t>
      </w:r>
    </w:p>
    <w:p>
      <w:pPr>
        <w:spacing w:after="0"/>
        <w:ind w:left="0"/>
        <w:jc w:val="left"/>
      </w:pPr>
      <w:r>
        <w:rPr>
          <w:rFonts w:ascii="Verdana"/>
          <w:b w:val="false"/>
          <w:i w:val="false"/>
          <w:color w:val="000000"/>
          <w:sz w:val="22"/>
        </w:rPr>
        <w:t>3) Пријем и/или пренос и/или уручење писмена у судском, управном и прекршајном поступку, без обзира на лимите.</w:t>
      </w:r>
    </w:p>
    <w:p>
      <w:pPr>
        <w:spacing w:after="0"/>
        <w:ind w:left="0"/>
        <w:jc w:val="left"/>
      </w:pPr>
      <w:r>
        <w:rPr>
          <w:rFonts w:ascii="Verdana"/>
          <w:b w:val="false"/>
          <w:i w:val="false"/>
          <w:color w:val="000000"/>
          <w:sz w:val="22"/>
        </w:rPr>
        <w:t>Лимите по маси и цени утврђује Агенција, уз сагласност Владе, у складу са Законом, при чему они не могу бити већи од 350 г и петоструког износа поштарине за писмо прве стопе тежине и најбржег степена преноса.</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Табела 8 – Резервисане поштанске услуге Поште Србије</w:t>
      </w:r>
    </w:p>
    <w:p>
      <w:pPr>
        <w:spacing w:after="0"/>
        <w:ind w:left="0"/>
        <w:jc w:val="center"/>
      </w:pPr>
      <w:r>
        <w:rPr>
          <w:rFonts w:ascii="Verdana"/>
          <w:b w:val="false"/>
          <w:i w:val="false"/>
          <w:color w:val="000000"/>
          <w:sz w:val="22"/>
        </w:rPr>
        <w:t>(на основу остварења и снимања у 2006. години)</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bookmarkStart w:name="Picture 45" w:id="10"/>
      <w:r>
        <w:drawing>
          <wp:inline distT="0" distB="0" distL="0" distR="0">
            <wp:extent cx="5732145" cy="206546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5732145" cy="2065467"/>
                    </a:xfrm>
                    <a:prstGeom prst="rect">
                      <a:avLst/>
                    </a:prstGeom>
                  </pic:spPr>
                </pic:pic>
              </a:graphicData>
            </a:graphic>
          </wp:inline>
        </w:drawing>
      </w:r>
      <w:bookmarkEnd w:id="10"/>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2.4.3. Нерезервисане поштанске услуге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Нерезервисане поштанске услуге су услуге са и без додатне вредности, за које на тржишту поштанског саобраћаја равноправно конкуришу сви поштански оператори, на основу издатих одобрења.</w:t>
      </w:r>
    </w:p>
    <w:p>
      <w:pPr>
        <w:spacing w:after="0"/>
        <w:ind w:left="0"/>
        <w:jc w:val="left"/>
      </w:pPr>
      <w:r>
        <w:rPr>
          <w:rFonts w:ascii="Verdana"/>
          <w:b w:val="false"/>
          <w:i w:val="false"/>
          <w:color w:val="000000"/>
          <w:sz w:val="22"/>
        </w:rPr>
        <w:t>Нерезервисане поштанске услуге обухватају:</w:t>
      </w:r>
    </w:p>
    <w:p>
      <w:pPr>
        <w:spacing w:after="0"/>
        <w:ind w:left="0"/>
        <w:jc w:val="left"/>
      </w:pPr>
      <w:r>
        <w:rPr>
          <w:rFonts w:ascii="Verdana"/>
          <w:b w:val="false"/>
          <w:i w:val="false"/>
          <w:color w:val="000000"/>
          <w:sz w:val="22"/>
        </w:rPr>
        <w:t>1) поштанске услуге из домена универзалних које превазилазе утврђене лимите по маси и цени за резервисане и</w:t>
      </w:r>
    </w:p>
    <w:p>
      <w:pPr>
        <w:spacing w:after="0"/>
        <w:ind w:left="0"/>
        <w:jc w:val="left"/>
      </w:pPr>
      <w:r>
        <w:rPr>
          <w:rFonts w:ascii="Verdana"/>
          <w:b w:val="false"/>
          <w:i w:val="false"/>
          <w:color w:val="000000"/>
          <w:sz w:val="22"/>
        </w:rPr>
        <w:t>2) све друге поштанске услуге, укључујући и услуге додатне вредности (поштанске услуге комерцијалног сервиса које имају посебне захтеве у погледу квалитета и начина преноса – курирске, експресне, убрзане, хибридне, збирне, директне, итд.).</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Табела 9 – Нерезервисане поштанске услуге Поште Србије из домена универзалног сервиса које превазилазе утврђене лимите</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bookmarkStart w:name="Picture 46" w:id="11"/>
      <w:r>
        <w:drawing>
          <wp:inline distT="0" distB="0" distL="0" distR="0">
            <wp:extent cx="5732145" cy="202756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5732145" cy="2027569"/>
                    </a:xfrm>
                    <a:prstGeom prst="rect">
                      <a:avLst/>
                    </a:prstGeom>
                  </pic:spPr>
                </pic:pic>
              </a:graphicData>
            </a:graphic>
          </wp:inline>
        </w:drawing>
      </w:r>
      <w:bookmarkEnd w:id="11"/>
    </w:p>
    <w:p>
      <w:pPr>
        <w:spacing w:after="0"/>
        <w:ind w:left="0"/>
        <w:jc w:val="left"/>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Табела 10 – Нерезервисане поштанске услуге Поште Србије (комерцијални сервис) у 2006. год.</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bookmarkStart w:name="Picture 47" w:id="12"/>
      <w:r>
        <w:drawing>
          <wp:inline distT="0" distB="0" distL="0" distR="0">
            <wp:extent cx="5732145" cy="145909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5732145" cy="1459091"/>
                    </a:xfrm>
                    <a:prstGeom prst="rect">
                      <a:avLst/>
                    </a:prstGeom>
                  </pic:spPr>
                </pic:pic>
              </a:graphicData>
            </a:graphic>
          </wp:inline>
        </w:drawing>
      </w:r>
      <w:bookmarkEnd w:id="12"/>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Табела 11 – Процена нерезервисаних поштанских услуга (комерцијални сервис) – остали поштански оператери у 2006. години</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bookmarkStart w:name="Picture 48" w:id="13"/>
      <w:r>
        <w:drawing>
          <wp:inline distT="0" distB="0" distL="0" distR="0">
            <wp:extent cx="5732145" cy="146856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
                    <a:stretch>
                      <a:fillRect/>
                    </a:stretch>
                  </pic:blipFill>
                  <pic:spPr>
                    <a:xfrm>
                      <a:off x="0" y="0"/>
                      <a:ext cx="5732145" cy="1468566"/>
                    </a:xfrm>
                    <a:prstGeom prst="rect">
                      <a:avLst/>
                    </a:prstGeom>
                  </pic:spPr>
                </pic:pic>
              </a:graphicData>
            </a:graphic>
          </wp:inline>
        </w:drawing>
      </w:r>
      <w:bookmarkEnd w:id="13"/>
    </w:p>
    <w:p>
      <w:pPr>
        <w:spacing w:after="0"/>
        <w:ind w:left="0"/>
        <w:jc w:val="left"/>
      </w:pPr>
      <w:r>
        <w:rPr>
          <w:rFonts w:ascii="Verdana"/>
          <w:b w:val="false"/>
          <w:i w:val="false"/>
          <w:color w:val="000000"/>
          <w:sz w:val="22"/>
        </w:rPr>
        <w:t> </w:t>
      </w:r>
    </w:p>
    <w:p>
      <w:pPr>
        <w:spacing w:after="0"/>
        <w:ind w:left="0"/>
        <w:jc w:val="center"/>
      </w:pPr>
      <w:r>
        <w:rPr>
          <w:rFonts w:ascii="Verdana"/>
          <w:b w:val="false"/>
          <w:i/>
          <w:color w:val="000000"/>
          <w:sz w:val="22"/>
        </w:rPr>
        <w:t>2.5. Предвиђање фактора раста услуга у Републици Србији</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Предвиђање обима поштанских услуга – писмоносних пошиљака је одувек била једна од главних преокупација поштанских управа. У стратешком планирању веома је важно проценити факторе који имају одлучујући утицај на пословање поштанских оператора.</w:t>
      </w:r>
    </w:p>
    <w:p>
      <w:pPr>
        <w:spacing w:after="0"/>
        <w:ind w:left="0"/>
        <w:jc w:val="left"/>
      </w:pPr>
      <w:r>
        <w:rPr>
          <w:rFonts w:ascii="Verdana"/>
          <w:b w:val="false"/>
          <w:i w:val="false"/>
          <w:color w:val="000000"/>
          <w:sz w:val="22"/>
        </w:rPr>
        <w:t>Према резултатима истраживања спроведених на нивоу UPU, највећи утицај на обим поштанских услуга имају економски фактори (45%), затим поштански (24%), друштвени (21%) и технолошки (10%).</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2.5.1. Предвиђање раста писмоносних услуга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Позитивни економски показатељи повољно утичу на пораст тражње за писмоносним пошиљкама, пошто је утврђена чврста повезаност ове тражње са економским растом. Политичко-економска стабилност је у сваком случају фактор који директно утиче на економски раст одређене земље, али и индиректно на тражњу за писмоносним услугама. У том смислу, направљено је поређење између бруто домаћег производа (БДП) и физичког обима остварених услуга у Републици Србији за период од 2000. до 2005. године што је приказано у табели 12:</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Табела 12. Компарација обима услуга и БДП-а</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bookmarkStart w:name="Picture 49" w:id="14"/>
      <w:r>
        <w:drawing>
          <wp:inline distT="0" distB="0" distL="0" distR="0">
            <wp:extent cx="5732145" cy="123170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
                    <a:stretch>
                      <a:fillRect/>
                    </a:stretch>
                  </pic:blipFill>
                  <pic:spPr>
                    <a:xfrm>
                      <a:off x="0" y="0"/>
                      <a:ext cx="5732145" cy="1231701"/>
                    </a:xfrm>
                    <a:prstGeom prst="rect">
                      <a:avLst/>
                    </a:prstGeom>
                  </pic:spPr>
                </pic:pic>
              </a:graphicData>
            </a:graphic>
          </wp:inline>
        </w:drawing>
      </w:r>
      <w:bookmarkEnd w:id="14"/>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Према наводима UPU, коришћењем одређених економетријских модела, повећање од 1% БДП утиче на повећање обима писмоносних услуга између 0,8% и 1%. Посматрајући период од протеклих 6 година, и на тржишту поштанских услуга у Републици Србији, ово правило се потврђује с тим да је тај однос још нешто већи у корист раста писмоносних услуга (1,06%). Посматрајући претходно приказани графикон, може се видети да ово правило важи за већину приказаних година, док се екстремни резултати виде у 2003. и 2005. години, што би се могло довести у везу са појединим поремећајима егзогеног карактера (политичка дешавања) у тим годинама.</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2.5.2. Предвиђање раста пакетских услуга</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Графикон 3 – Тренд обима пакетских услуга у Пошти Србије</w:t>
      </w:r>
    </w:p>
    <w:p>
      <w:pPr>
        <w:spacing w:after="0"/>
        <w:ind w:left="0"/>
        <w:jc w:val="center"/>
      </w:pPr>
      <w:r>
        <w:rPr>
          <w:rFonts w:ascii="Verdana"/>
          <w:b w:val="false"/>
          <w:i w:val="false"/>
          <w:color w:val="000000"/>
          <w:sz w:val="22"/>
        </w:rPr>
        <w:t> </w:t>
      </w:r>
    </w:p>
    <w:p>
      <w:pPr>
        <w:spacing w:after="0"/>
        <w:ind w:left="0"/>
        <w:jc w:val="center"/>
      </w:pPr>
      <w:bookmarkStart w:name="Picture 50" w:id="15"/>
      <w:r>
        <w:drawing>
          <wp:inline distT="0" distB="0" distL="0" distR="0">
            <wp:extent cx="5732145" cy="236865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9"/>
                    <a:stretch>
                      <a:fillRect/>
                    </a:stretch>
                  </pic:blipFill>
                  <pic:spPr>
                    <a:xfrm>
                      <a:off x="0" y="0"/>
                      <a:ext cx="5732145" cy="2368655"/>
                    </a:xfrm>
                    <a:prstGeom prst="rect">
                      <a:avLst/>
                    </a:prstGeom>
                  </pic:spPr>
                </pic:pic>
              </a:graphicData>
            </a:graphic>
          </wp:inline>
        </w:drawing>
      </w:r>
      <w:bookmarkEnd w:id="15"/>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Пакетске услуге су у протеклом периоду показале значајну зависност од тржишних фактора, како на страни понуде (маркетиншке активности и нове услуге), али пре свега и на страни тражње (појава компанија које се баве каталошком продајом и продајом на даљину). Стога је процењени тренд раста обима пакетских услуга приказан у табели услован и подразумева пасиван приступ конкурената маркетиншким активностима и обради тржишта.</w:t>
      </w:r>
    </w:p>
    <w:p>
      <w:pPr>
        <w:spacing w:after="0"/>
        <w:ind w:left="0"/>
        <w:jc w:val="left"/>
      </w:pPr>
      <w:r>
        <w:rPr>
          <w:rFonts w:ascii="Verdana"/>
          <w:b w:val="false"/>
          <w:i w:val="false"/>
          <w:color w:val="000000"/>
          <w:sz w:val="22"/>
        </w:rPr>
        <w:t>У периоду од 2002. до 2005. године тренд обима пакетских услуга бележи благи пад и то 4,6% од 2002. до 2003. године (са 1.273.000 на 1.214.000 пакета), затим 0,1% од 2003. до 2004. године (са 1.214.000 на 1.213.000 пакета) и 1,7% од 2004. до 2005. године (са 1.213.000 на 1.192.000 пакета). Након тога од 2005. до 2006. године долази до значајног повећања обима пакетских услуга за 23,9% (са 1.192.000 на 1.477.000 пакета). Процена је да ће у 2007. години доћи до смањења количине пакета за 15% у односу на 2006. годину, тако да ће њихов обим на годишњем нивоу бити нешто већи од 1.200.000 пакета.</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Графикон 4 – Тренд обима Пост експрес пакета Поште Србије</w:t>
      </w:r>
    </w:p>
    <w:p>
      <w:pPr>
        <w:spacing w:after="0"/>
        <w:ind w:left="0"/>
        <w:jc w:val="center"/>
      </w:pPr>
      <w:r>
        <w:rPr>
          <w:rFonts w:ascii="Verdana"/>
          <w:b w:val="false"/>
          <w:i w:val="false"/>
          <w:color w:val="000000"/>
          <w:sz w:val="22"/>
        </w:rPr>
        <w:t> </w:t>
      </w:r>
    </w:p>
    <w:p>
      <w:pPr>
        <w:spacing w:after="0"/>
        <w:ind w:left="0"/>
        <w:jc w:val="center"/>
      </w:pPr>
      <w:bookmarkStart w:name="Picture 51" w:id="16"/>
      <w:r>
        <w:drawing>
          <wp:inline distT="0" distB="0" distL="0" distR="0">
            <wp:extent cx="5732145" cy="226443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
                    <a:stretch>
                      <a:fillRect/>
                    </a:stretch>
                  </pic:blipFill>
                  <pic:spPr>
                    <a:xfrm>
                      <a:off x="0" y="0"/>
                      <a:ext cx="5732145" cy="2264434"/>
                    </a:xfrm>
                    <a:prstGeom prst="rect">
                      <a:avLst/>
                    </a:prstGeom>
                  </pic:spPr>
                </pic:pic>
              </a:graphicData>
            </a:graphic>
          </wp:inline>
        </w:drawing>
      </w:r>
      <w:bookmarkEnd w:id="16"/>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Од свог увођења Пост експрес услуге бележе сталан раст обима пошиљака. Највећи проценат повећања обима ПЕ пакета постигнут је на почетку, тј. од 2002. до 2003. године и то 626% (са 7.800 на 48.800 пошиљака). Затим се од 2003. до 2004. године бележи пораст од 224% (са 48.800 на 109.200 пошиљака). Од 2004. до 2005. године евидентно је повећање од 160% (са 109.200 на 174.200 пошиљака), а тај проценат се понавља и у периоду од 2005. до 2006. године када се број ПЕ пакета повећао са 174.200 на 278.200. У 2007. години предвиђа се да ће број ових пошиљака премашити 400.000, што би повећало обим ПЕ пакета за 50% у односу на 2006. годину.</w:t>
      </w:r>
    </w:p>
    <w:p>
      <w:pPr>
        <w:spacing w:after="0"/>
        <w:ind w:left="0"/>
        <w:jc w:val="left"/>
      </w:pPr>
      <w:r>
        <w:rPr>
          <w:rFonts w:ascii="Verdana"/>
          <w:b w:val="false"/>
          <w:i w:val="false"/>
          <w:color w:val="000000"/>
          <w:sz w:val="22"/>
        </w:rPr>
        <w:t>2.5.3. Предвиђање раста нерезервисаних поштанских услуга</w:t>
      </w:r>
    </w:p>
    <w:p>
      <w:pPr>
        <w:spacing w:after="0"/>
        <w:ind w:left="0"/>
        <w:jc w:val="left"/>
      </w:pPr>
      <w:r>
        <w:rPr>
          <w:rFonts w:ascii="Verdana"/>
          <w:b w:val="false"/>
          <w:i w:val="false"/>
          <w:color w:val="000000"/>
          <w:sz w:val="22"/>
        </w:rPr>
        <w:t>Позитивна економска кретања, као и квалитет пружања нерезервисаних услуга од стране осталих поштанских оператера у претходном периоду (2002–2006) су позитивно утицала на тражњу и раст ових услуга.</w:t>
      </w:r>
    </w:p>
    <w:p>
      <w:pPr>
        <w:spacing w:after="0"/>
        <w:ind w:left="0"/>
        <w:jc w:val="left"/>
      </w:pPr>
      <w:r>
        <w:rPr>
          <w:rFonts w:ascii="Verdana"/>
          <w:b w:val="false"/>
          <w:i w:val="false"/>
          <w:color w:val="000000"/>
          <w:sz w:val="22"/>
        </w:rPr>
        <w:t>Процењује се да ће даљи позитивни економски развој, затим регулисање поштанског тржишта од стране Агенције, као и улагања поштанских оператора у развој својих услуга и капацитета, у наредном периоду допринети константном расту нерезервисаних поштанских услуга. У 2007. години се процењује раст од 15% у односу на претходну годину.</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3. Формулисање стратегије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Процес формулисања Стратегије укључује међусобно усаглашавање шанси и претњи у екстерном окружењу, интерних могућности, уочених снага и слабости и намера поштанског сектора исказаних мисијом.</w:t>
      </w:r>
    </w:p>
    <w:p>
      <w:pPr>
        <w:spacing w:after="0"/>
        <w:ind w:left="0"/>
        <w:jc w:val="left"/>
      </w:pPr>
      <w:r>
        <w:rPr>
          <w:rFonts w:ascii="Verdana"/>
          <w:b w:val="false"/>
          <w:i w:val="false"/>
          <w:color w:val="000000"/>
          <w:sz w:val="22"/>
        </w:rPr>
        <w:t>С обзиром на то да се ради о дугорочном, стратегијском процесу одлучивања, веома је важно успоставити неопходне приоритете у хијерархијском процесу доношења одлука.</w:t>
      </w:r>
    </w:p>
    <w:p>
      <w:pPr>
        <w:spacing w:after="0"/>
        <w:ind w:left="0"/>
        <w:jc w:val="left"/>
      </w:pPr>
      <w:r>
        <w:rPr>
          <w:rFonts w:ascii="Verdana"/>
          <w:b w:val="false"/>
          <w:i w:val="false"/>
          <w:color w:val="000000"/>
          <w:sz w:val="22"/>
        </w:rPr>
        <w:t>Мисија поштанског сектора, треба да буде везана за дугорочно виђење главног разлога и сврхе постојања поштанских услуга у привредном и друштвеном амбијенту. На основу тога се онда дефинишу циљеви, политике, стратегије и тактике које се преводе у акцију. Мисија, као највиши циљ, треба да садржи више општих, стратегијских циљева чијом успешном реализацијом ће се остваривати дефинисана мисија развоја поштанских услуга. Начин на који ће се остваривати мисија, представљаће политику развоја поштанских услуга.</w:t>
      </w:r>
    </w:p>
    <w:p>
      <w:pPr>
        <w:spacing w:after="0"/>
        <w:ind w:left="0"/>
        <w:jc w:val="left"/>
      </w:pPr>
      <w:r>
        <w:rPr>
          <w:rFonts w:ascii="Verdana"/>
          <w:b w:val="false"/>
          <w:i w:val="false"/>
          <w:color w:val="000000"/>
          <w:sz w:val="22"/>
        </w:rPr>
        <w:t>Насупрот мисији која дефинише сврху постојања организације, визија дефинише у шта организација верује, шта организација вреднује и чему тежи.</w:t>
      </w:r>
    </w:p>
    <w:p>
      <w:pPr>
        <w:spacing w:after="0"/>
        <w:ind w:left="0"/>
        <w:jc w:val="left"/>
      </w:pPr>
      <w:r>
        <w:rPr>
          <w:rFonts w:ascii="Verdana"/>
          <w:b w:val="false"/>
          <w:i w:val="false"/>
          <w:color w:val="000000"/>
          <w:sz w:val="22"/>
        </w:rPr>
        <w:t>С обзиром на то да је дефинисано више општих, стратегијских циљева поштанских услуга, увида стања у која се желе превести поштанске услуге, потребно је дефинисање прихватљивих стратегија и стратегијских одлука које ће дати ближе одговоре везане за начин остварења дефинисаних циљева који представљају основе за стратегију. Да би се општи циљеви успешно реализовали потребно је извршити њихову конкретизацију, кроз дефинисање оперативних циљева развоја поштанских услуга и тактика као начина њиховог остварења.</w:t>
      </w:r>
    </w:p>
    <w:p>
      <w:pPr>
        <w:spacing w:after="0"/>
        <w:ind w:left="0"/>
        <w:jc w:val="left"/>
      </w:pPr>
      <w:r>
        <w:rPr>
          <w:rFonts w:ascii="Verdana"/>
          <w:b w:val="false"/>
          <w:i w:val="false"/>
          <w:color w:val="000000"/>
          <w:sz w:val="22"/>
        </w:rPr>
        <w:t>На овај начин створиле би се солидне претпоставке одрживог раста и развоја поштанских услуга у Републици Србији, уз истовремено постизање високог нивоа задовољства и лојалности клијената, запослених и напретка друштва у целини.</w:t>
      </w:r>
    </w:p>
    <w:p>
      <w:pPr>
        <w:spacing w:after="0"/>
        <w:ind w:left="0"/>
        <w:jc w:val="center"/>
      </w:pPr>
      <w:r>
        <w:rPr>
          <w:rFonts w:ascii="Verdana"/>
          <w:b w:val="false"/>
          <w:i w:val="false"/>
          <w:color w:val="000000"/>
          <w:sz w:val="22"/>
        </w:rPr>
        <w:t> </w:t>
      </w:r>
    </w:p>
    <w:p>
      <w:pPr>
        <w:spacing w:after="0"/>
        <w:ind w:left="0"/>
        <w:jc w:val="center"/>
      </w:pPr>
      <w:r>
        <w:rPr>
          <w:rFonts w:ascii="Verdana"/>
          <w:b w:val="false"/>
          <w:i/>
          <w:color w:val="000000"/>
          <w:sz w:val="22"/>
        </w:rPr>
        <w:t>3.1. Поштански сектор Републике Србије и стратегије UPU и PostEurop</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Пре изношења стратешких циљева развоја поштанског сектора Републике Србије до 2012. године потребно је сагледати и оценити шта је у Републици Србији урађено на спровођењу Стратегије развоја поштанског саобраћаја која је донета на Конгресу УПУ у Букурешту 2004. године. Такође, треба узети у обзир и ниво спроведених циљева у Републици Србији у односу на опредељења PostEurop.</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3.1.1. Оцена спровођења стратегије UPU у Републици Србији</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Оцена имплементације Стратегије из Букурешта даће нам преглед наше стартне позиције за примену циљева Стратегије UPU.</w:t>
      </w:r>
    </w:p>
    <w:p>
      <w:pPr>
        <w:spacing w:after="0"/>
        <w:ind w:left="0"/>
        <w:jc w:val="left"/>
      </w:pPr>
      <w:r>
        <w:rPr>
          <w:rFonts w:ascii="Verdana"/>
          <w:b w:val="false"/>
          <w:i w:val="false"/>
          <w:color w:val="000000"/>
          <w:sz w:val="22"/>
        </w:rPr>
        <w:t>Чињеница да се Мисија UPU само незнатно редефинисана од Конгреса у Сеулу (1994) до Конгреса у Букурешту (2004), има за последицу да циљеви поштанских стратегија остају већ десет година непромењени. Све ово даје шансу и наду поштанском сектору Републике Србије да оствари „прикључак” са главним циљевима поштанских стратегија и реформи.</w:t>
      </w:r>
    </w:p>
    <w:p>
      <w:pPr>
        <w:spacing w:after="0"/>
        <w:ind w:left="0"/>
        <w:jc w:val="left"/>
      </w:pPr>
      <w:r>
        <w:rPr>
          <w:rFonts w:ascii="Verdana"/>
          <w:b w:val="false"/>
          <w:i w:val="false"/>
          <w:color w:val="000000"/>
          <w:sz w:val="22"/>
        </w:rPr>
        <w:t>Поштанска стратегија из Букурешта је фокусирана на пет циљева:</w:t>
      </w:r>
    </w:p>
    <w:p>
      <w:pPr>
        <w:spacing w:after="0"/>
        <w:ind w:left="0"/>
        <w:jc w:val="left"/>
      </w:pPr>
      <w:r>
        <w:rPr>
          <w:rFonts w:ascii="Verdana"/>
          <w:b w:val="false"/>
          <w:i w:val="false"/>
          <w:color w:val="000000"/>
          <w:sz w:val="22"/>
        </w:rPr>
        <w:t>1. Универзална поштанска услуга;</w:t>
      </w:r>
    </w:p>
    <w:p>
      <w:pPr>
        <w:spacing w:after="0"/>
        <w:ind w:left="0"/>
        <w:jc w:val="left"/>
      </w:pPr>
      <w:r>
        <w:rPr>
          <w:rFonts w:ascii="Verdana"/>
          <w:b w:val="false"/>
          <w:i w:val="false"/>
          <w:color w:val="000000"/>
          <w:sz w:val="22"/>
        </w:rPr>
        <w:t>2. Квалитет и ефикасност међународне поштанске мреже;</w:t>
      </w:r>
    </w:p>
    <w:p>
      <w:pPr>
        <w:spacing w:after="0"/>
        <w:ind w:left="0"/>
        <w:jc w:val="left"/>
      </w:pPr>
      <w:r>
        <w:rPr>
          <w:rFonts w:ascii="Verdana"/>
          <w:b w:val="false"/>
          <w:i w:val="false"/>
          <w:color w:val="000000"/>
          <w:sz w:val="22"/>
        </w:rPr>
        <w:t>3. Тржиште и удовољавање потребама корисника;</w:t>
      </w:r>
    </w:p>
    <w:p>
      <w:pPr>
        <w:spacing w:after="0"/>
        <w:ind w:left="0"/>
        <w:jc w:val="left"/>
      </w:pPr>
      <w:r>
        <w:rPr>
          <w:rFonts w:ascii="Verdana"/>
          <w:b w:val="false"/>
          <w:i w:val="false"/>
          <w:color w:val="000000"/>
          <w:sz w:val="22"/>
        </w:rPr>
        <w:t>4. Поштанска реформа и стабилан развој и</w:t>
      </w:r>
    </w:p>
    <w:p>
      <w:pPr>
        <w:spacing w:after="0"/>
        <w:ind w:left="0"/>
        <w:jc w:val="left"/>
      </w:pPr>
      <w:r>
        <w:rPr>
          <w:rFonts w:ascii="Verdana"/>
          <w:b w:val="false"/>
          <w:i w:val="false"/>
          <w:color w:val="000000"/>
          <w:sz w:val="22"/>
        </w:rPr>
        <w:t>5. Кооперација и интеракција међу најважнијим интересним групама.</w:t>
      </w:r>
    </w:p>
    <w:p>
      <w:pPr>
        <w:spacing w:after="0"/>
        <w:ind w:left="0"/>
        <w:jc w:val="left"/>
      </w:pPr>
      <w:r>
        <w:rPr>
          <w:rFonts w:ascii="Verdana"/>
          <w:b w:val="false"/>
          <w:i w:val="false"/>
          <w:color w:val="000000"/>
          <w:sz w:val="22"/>
        </w:rPr>
        <w:t>Оцена ће обухватити извештај о напретку по појединим областима у земљама чланицама УПУ, са посебним освртом на предузете мере у оквиру поштанског сектора Републике Србије.</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1. Универзална поштанска услуга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Универзална поштанска услуга омогућава корисницима да шаљу и примају робу и поруке из било ког дела света у било који други.</w:t>
      </w:r>
    </w:p>
    <w:p>
      <w:pPr>
        <w:spacing w:after="0"/>
        <w:ind w:left="0"/>
        <w:jc w:val="left"/>
      </w:pPr>
      <w:r>
        <w:rPr>
          <w:rFonts w:ascii="Verdana"/>
          <w:b w:val="false"/>
          <w:i w:val="false"/>
          <w:color w:val="000000"/>
          <w:sz w:val="22"/>
        </w:rPr>
        <w:t>Испитивања које је UPU спровео 2001. године показала су да је универзалну поштанску услугу дефинисало 67% земаља чланица.</w:t>
      </w:r>
    </w:p>
    <w:p>
      <w:pPr>
        <w:spacing w:after="0"/>
        <w:ind w:left="0"/>
        <w:jc w:val="left"/>
      </w:pPr>
      <w:r>
        <w:rPr>
          <w:rFonts w:ascii="Verdana"/>
          <w:b w:val="false"/>
          <w:i w:val="false"/>
          <w:color w:val="000000"/>
          <w:sz w:val="22"/>
        </w:rPr>
        <w:t>У вези универзалне поштанске услуге стање у Републици Србији је следеће: 2005. године усвојен је Закон, и којим је између осталог утврђено да универзална поштанска услуга обухвата пријем, пренос и уручење писмоносних пошиљака до 2 кг и поштанских пакета масе до 10 kg у унутрашњем и уручење пакета масе до 20 kg у међународном поштанском саобраћају. Универзална поштанска услуга такође обухвата и пријем, пренос и уручење упутница и секограма. Наведени скуп поштанских услуга треба да је доступан свим корисницима на територији Републике Србије, по приступачним ценама и у оквиру одређеног стандарда квалитета.</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2. Квалитет и ефикасност међународне поштанске мреже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Побољшање квалитета у међународној поштанској мрежи фокусирано је на поуздану, безбедну и ефикасну услугу.</w:t>
      </w:r>
    </w:p>
    <w:p>
      <w:pPr>
        <w:spacing w:after="0"/>
        <w:ind w:left="0"/>
        <w:jc w:val="left"/>
      </w:pPr>
      <w:r>
        <w:rPr>
          <w:rFonts w:ascii="Verdana"/>
          <w:b w:val="false"/>
          <w:i w:val="false"/>
          <w:color w:val="000000"/>
          <w:sz w:val="22"/>
        </w:rPr>
        <w:t>Брига око успостављања и испуњавања високог квалитета поштанских услуга треба да се оствари кроз утврђивање стандарда услуга и хармонизацијом националних поштанских система са међународном мрежом.</w:t>
      </w:r>
    </w:p>
    <w:p>
      <w:pPr>
        <w:spacing w:after="0"/>
        <w:ind w:left="0"/>
        <w:jc w:val="left"/>
      </w:pPr>
      <w:r>
        <w:rPr>
          <w:rFonts w:ascii="Verdana"/>
          <w:b w:val="false"/>
          <w:i w:val="false"/>
          <w:color w:val="000000"/>
          <w:sz w:val="22"/>
        </w:rPr>
        <w:t>Крајем 2001. године свега 66 земаља или 34,92% чланица UPU (укупан број чланица је 190) је усвојило стандарде квалитета међународне поштанске услуге. Стандарде испоруке за приоритетне авионске пошиљке дефинисало је 167 земаља (88,36%), а за обичне пошиљке у површинском преносу 173 земље (91,53%).</w:t>
      </w:r>
    </w:p>
    <w:p>
      <w:pPr>
        <w:spacing w:after="0"/>
        <w:ind w:left="0"/>
        <w:jc w:val="left"/>
      </w:pPr>
      <w:r>
        <w:rPr>
          <w:rFonts w:ascii="Verdana"/>
          <w:b w:val="false"/>
          <w:i w:val="false"/>
          <w:color w:val="000000"/>
          <w:sz w:val="22"/>
        </w:rPr>
        <w:t>Република Србија још није утврдила стандарде и циљеве квалитета међународних поштанских услуга, а Законом су утврђени рокови за пренос и уручење поштанских пошиљака из домена универзалне поштанске услуге.</w:t>
      </w:r>
    </w:p>
    <w:p>
      <w:pPr>
        <w:spacing w:after="0"/>
        <w:ind w:left="0"/>
        <w:jc w:val="left"/>
      </w:pPr>
      <w:r>
        <w:rPr>
          <w:rFonts w:ascii="Verdana"/>
          <w:b w:val="false"/>
          <w:i w:val="false"/>
          <w:color w:val="000000"/>
          <w:sz w:val="22"/>
        </w:rPr>
        <w:t>До сада је, на бази одредби UPU, у 2004. и 2005. години мерен квалитет преноса писмоносних пошиљака у Републици Србији. Снимања су показала знатно заостајање у односу на прописане стандарде квалитета UPU.</w:t>
      </w:r>
    </w:p>
    <w:p>
      <w:pPr>
        <w:spacing w:after="0"/>
        <w:ind w:left="0"/>
        <w:jc w:val="left"/>
      </w:pPr>
      <w:r>
        <w:rPr>
          <w:rFonts w:ascii="Verdana"/>
          <w:b w:val="false"/>
          <w:i w:val="false"/>
          <w:color w:val="000000"/>
          <w:sz w:val="22"/>
        </w:rPr>
        <w:t>Економска оправданост цена поштанских услуга треба да омогући повећање ефикасности међународне и унутрашње поштанске мреже чиме ће се омогућити корисницима добијање услуге по повољним ценама. Постојала су очекивања да се дефинишу процедуре за утврђивање цене универзалне услуге и да се временом пређе на одређивање цена на основу коштања услуге (cost-based pricing).</w:t>
      </w:r>
    </w:p>
    <w:p>
      <w:pPr>
        <w:spacing w:after="0"/>
        <w:ind w:left="0"/>
        <w:jc w:val="left"/>
      </w:pPr>
      <w:r>
        <w:rPr>
          <w:rFonts w:ascii="Verdana"/>
          <w:b w:val="false"/>
          <w:i w:val="false"/>
          <w:color w:val="000000"/>
          <w:sz w:val="22"/>
        </w:rPr>
        <w:t>У Републици Србији је такође економска ситуација налагала Пошти Србије да, у складу са економском политиком земље, повећава цене не улазећи у анализу трошкова. Ова повећања су најчешће била до нивоа предвиђеног раста инфлације.</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3. Тржиште поштанских услуга и задовољење потреба и очекивања корисника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Коришћење нових сазнања о тржишту и развоју поштанских производа једини је начин за ефикасан одговор на потребе и очекивања корисника поштанских услуга. Корисник очекује услуге најбољег квалитета, по најповољнијим ценама, на поштанском тржишту, које треба да стимулише ефикасност и иновативност.</w:t>
      </w:r>
    </w:p>
    <w:p>
      <w:pPr>
        <w:spacing w:after="0"/>
        <w:ind w:left="0"/>
        <w:jc w:val="left"/>
      </w:pPr>
      <w:r>
        <w:rPr>
          <w:rFonts w:ascii="Verdana"/>
          <w:b w:val="false"/>
          <w:i w:val="false"/>
          <w:color w:val="000000"/>
          <w:sz w:val="22"/>
        </w:rPr>
        <w:t>За већину поштанских оператора, писмоносне услуге представљају највећи извор прихода, упркос очигледном тренду ка диверсификацији производа увођењем пакетских и финансијских услуга.</w:t>
      </w:r>
    </w:p>
    <w:p>
      <w:pPr>
        <w:spacing w:after="0"/>
        <w:ind w:left="0"/>
        <w:jc w:val="left"/>
      </w:pPr>
      <w:r>
        <w:rPr>
          <w:rFonts w:ascii="Verdana"/>
          <w:b w:val="false"/>
          <w:i w:val="false"/>
          <w:color w:val="000000"/>
          <w:sz w:val="22"/>
        </w:rPr>
        <w:t>Значајне продоре направиле су услуге дирецт маил тако да ове услуге пружа 83% индустријализованих земаља Европе и 77% земаља у транзицији.</w:t>
      </w:r>
    </w:p>
    <w:p>
      <w:pPr>
        <w:spacing w:after="0"/>
        <w:ind w:left="0"/>
        <w:jc w:val="left"/>
      </w:pPr>
      <w:r>
        <w:rPr>
          <w:rFonts w:ascii="Verdana"/>
          <w:b w:val="false"/>
          <w:i w:val="false"/>
          <w:color w:val="000000"/>
          <w:sz w:val="22"/>
        </w:rPr>
        <w:t>Конкуренција на поштанском тржишту је све присутнија, тако да поштански монопол нестаје. Сви облици нових комуникација (факс, интернет, е-маил, плаћање рачуна електронским путем) задиру у основну делатност поште. У исто време, поштански оператори експрес услуга представљају један од најважнијих сегмената те делатности (експрес пошта и тржиште малих пакета).</w:t>
      </w:r>
    </w:p>
    <w:p>
      <w:pPr>
        <w:spacing w:after="0"/>
        <w:ind w:left="0"/>
        <w:jc w:val="left"/>
      </w:pPr>
      <w:r>
        <w:rPr>
          <w:rFonts w:ascii="Verdana"/>
          <w:b w:val="false"/>
          <w:i w:val="false"/>
          <w:color w:val="000000"/>
          <w:sz w:val="22"/>
        </w:rPr>
        <w:t>У вези са наведеним циљем, за поштански сектор Републике Србије је карактеристично да је у протеклом периоду имао одређен раст тржишног обима услуга. У 2003. години овај раст је испод очекиваног, чему је допринела и примена Закона о платном промету којим је Пошта Србије изгубила део финансијских услуга које је раније обављала. Поред тога, у 2003. години, раст физичког обима поштанских услуга био је испод раста БДП, што је показатељ да се конкуренција у овој области појавила без обзира на законску регулативу.</w:t>
      </w:r>
    </w:p>
    <w:p>
      <w:pPr>
        <w:spacing w:after="0"/>
        <w:ind w:left="0"/>
        <w:jc w:val="left"/>
      </w:pPr>
      <w:r>
        <w:rPr>
          <w:rFonts w:ascii="Verdana"/>
          <w:b w:val="false"/>
          <w:i w:val="false"/>
          <w:color w:val="000000"/>
          <w:sz w:val="22"/>
        </w:rPr>
        <w:t>Током 2004. и 2005. године, дошло је, кумулативно, до интензивирања раста обима поштанских услуга у односу на раст БДП (просечно поштанске услуге су расле 3,4% брже од раста БДП), што јасно указује да је процес редефинисања поштанске делатности у Републици Србији већ започео.</w:t>
      </w:r>
    </w:p>
    <w:p>
      <w:pPr>
        <w:spacing w:after="0"/>
        <w:ind w:left="0"/>
        <w:jc w:val="left"/>
      </w:pPr>
      <w:r>
        <w:rPr>
          <w:rFonts w:ascii="Verdana"/>
          <w:b w:val="false"/>
          <w:i w:val="false"/>
          <w:color w:val="000000"/>
          <w:sz w:val="22"/>
        </w:rPr>
        <w:t>Позитивне помаке Пошта Србије је направила у сегменту експресних услуга, електронском трансферу новца, услугама директне поште, пакетским и електронским услугама (формирањем центра за електронско пословање). Сви ови сегменти дали су значајне почетне резултате.</w:t>
      </w:r>
    </w:p>
    <w:p>
      <w:pPr>
        <w:spacing w:after="0"/>
        <w:ind w:left="0"/>
        <w:jc w:val="left"/>
      </w:pPr>
      <w:r>
        <w:rPr>
          <w:rFonts w:ascii="Verdana"/>
          <w:b w:val="false"/>
          <w:i w:val="false"/>
          <w:color w:val="000000"/>
          <w:sz w:val="22"/>
        </w:rPr>
        <w:t>На тржишту поштанских услуга у Републици Србији приметна је све интензивнија конкуренција. На основу истраживања стручних служби Поште Србије, тренутно је евидентирано 17 субјеката на тржишту експресног (курирског) преноса пошиљака у унутрашњем саобраћају, 5 субјеката на тржишту експресног преноса пошиљака у међународном саобраћају, преко 100 субјеката који се баве масовном дистрибуцијом, као и око 60 нелегалних субјеката (аутобуски превозници, такси службе).</w:t>
      </w:r>
    </w:p>
    <w:p>
      <w:pPr>
        <w:spacing w:after="0"/>
        <w:ind w:left="0"/>
        <w:jc w:val="left"/>
      </w:pPr>
      <w:r>
        <w:rPr>
          <w:rFonts w:ascii="Verdana"/>
          <w:b w:val="false"/>
          <w:i w:val="false"/>
          <w:color w:val="000000"/>
          <w:sz w:val="22"/>
        </w:rPr>
        <w:t>Све наведено говори да конкуренцију на поштанском тржишту чини више од 200 субјеката који на годишњем нивоу изврше око 320 милиона услуга. Изнети подаци указују на неопходност да Агенција дефинише опште услове обављања поштанских услуга.</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4. Поштанска реформа и стабилан развој</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Реформе и стабилан развој поштанских услуга обухватају технолошке, економске и регулативне промене у поштанском сектору, да би се обезбедиле максималне погодности за кориснике услуга.</w:t>
      </w:r>
    </w:p>
    <w:p>
      <w:pPr>
        <w:spacing w:after="0"/>
        <w:ind w:left="0"/>
        <w:jc w:val="left"/>
      </w:pPr>
      <w:r>
        <w:rPr>
          <w:rFonts w:ascii="Verdana"/>
          <w:b w:val="false"/>
          <w:i w:val="false"/>
          <w:color w:val="000000"/>
          <w:sz w:val="22"/>
        </w:rPr>
        <w:t>У циљу спровођења поштанских реформи усвајају се различити модели реформи у зависности од ситуације у појединим земљама. Ове реформе треба да имају трајне ефекте на развој поштанског сектора. Зато оне морају бити подржане спољним изворима финансирања, експертској помоћи, техничком кооперацијом, применом ефикасних и стабилних пројеката о техничкој сарадњи и сл.</w:t>
      </w:r>
    </w:p>
    <w:p>
      <w:pPr>
        <w:spacing w:after="0"/>
        <w:ind w:left="0"/>
        <w:jc w:val="left"/>
      </w:pPr>
      <w:r>
        <w:rPr>
          <w:rFonts w:ascii="Verdana"/>
          <w:b w:val="false"/>
          <w:i w:val="false"/>
          <w:color w:val="000000"/>
          <w:sz w:val="22"/>
        </w:rPr>
        <w:t>Дерегулација која је спроведена код већине европских земаља, омогућава већу тржишну аутономију поштама, а омогућава контролу тржишта поштанских услуга преко регулатора.</w:t>
      </w:r>
    </w:p>
    <w:p>
      <w:pPr>
        <w:spacing w:after="0"/>
        <w:ind w:left="0"/>
        <w:jc w:val="left"/>
      </w:pPr>
      <w:r>
        <w:rPr>
          <w:rFonts w:ascii="Verdana"/>
          <w:b w:val="false"/>
          <w:i w:val="false"/>
          <w:color w:val="000000"/>
          <w:sz w:val="22"/>
        </w:rPr>
        <w:t>За успех поштанских реформи потребна је системска кооперација и контакти са регионалним банкама за развој. Тренутно се под патронатом Светске банке реализује 14 поштанских пројеката.</w:t>
      </w:r>
    </w:p>
    <w:p>
      <w:pPr>
        <w:spacing w:after="0"/>
        <w:ind w:left="0"/>
        <w:jc w:val="left"/>
      </w:pPr>
      <w:r>
        <w:rPr>
          <w:rFonts w:ascii="Verdana"/>
          <w:b w:val="false"/>
          <w:i w:val="false"/>
          <w:color w:val="000000"/>
          <w:sz w:val="22"/>
        </w:rPr>
        <w:t>Реформе у поштанском сектору Републике Србије, практично су започете 1997. године, одвајањем поште од телекомуникација, али су застале у својој првој фази. Предстоји да се, на основу донетог Закона, изврши одвајање регулатора и оператора, затим корпоратизација јавног оператора универзалне поштанске услуге, и на крају, издвајање и приватизација појединих делатности јавног оператора.</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5. Кооперација и интеракција међу најважнијим интересним групама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Кооперација и интеракција међу најважнијим интересним групама (стејкхолдери) подразумева успостављање и развој кооперативних и интерактивних односа у поштанској индустрији. С тим у вези, потребно је пружити подршку и узети учешће у интеракцији међу најважнијим интересним групама, укључујући удружења потрошача и произвођача поштанске опреме.</w:t>
      </w:r>
    </w:p>
    <w:p>
      <w:pPr>
        <w:spacing w:after="0"/>
        <w:ind w:left="0"/>
        <w:jc w:val="left"/>
      </w:pPr>
      <w:r>
        <w:rPr>
          <w:rFonts w:ascii="Verdana"/>
          <w:b w:val="false"/>
          <w:i w:val="false"/>
          <w:color w:val="000000"/>
          <w:sz w:val="22"/>
        </w:rPr>
        <w:t>Имајући у виду наведено, потребно је размотрити на који начин међународни трговински споразуми могу допринети стимулисању и јачању међународног поштанског сектора. Потребно је развијати сарадњу поштанских администрација на билатералној и регионалној основи у циљу унапређења међународних поштанских услуга, развијати техничку сарадњу и подржавати „технолошке трансфере”.</w:t>
      </w:r>
    </w:p>
    <w:p>
      <w:pPr>
        <w:spacing w:after="0"/>
        <w:ind w:left="0"/>
        <w:jc w:val="left"/>
      </w:pPr>
      <w:r>
        <w:rPr>
          <w:rFonts w:ascii="Verdana"/>
          <w:b w:val="false"/>
          <w:i w:val="false"/>
          <w:color w:val="000000"/>
          <w:sz w:val="22"/>
        </w:rPr>
        <w:t>Интересне групе су сви они који имају удела или интерес у сектору поштанских услуга. Зато поштанске администрације имају интерес да оснивају форуме на којима би интересне групе могле да се састају и воде конструктивне разговоре о питањима значајним за поштански сектор. Зато је и UPU прихватио идеју да се оснује Консултативни Комитет који чине интересне групе, као треће тело UPU.</w:t>
      </w:r>
    </w:p>
    <w:p>
      <w:pPr>
        <w:spacing w:after="0"/>
        <w:ind w:left="0"/>
        <w:jc w:val="left"/>
      </w:pPr>
      <w:r>
        <w:rPr>
          <w:rFonts w:ascii="Verdana"/>
          <w:b w:val="false"/>
          <w:i w:val="false"/>
          <w:color w:val="000000"/>
          <w:sz w:val="22"/>
        </w:rPr>
        <w:t>Дијалог између USP и разних интересних група је све присутнији у свету. Глас удружења потрошача све више се уважава када се ради о ценама, доступности поштанских услуга, итд. Поштанске администрације постале су доступније својим корисницима преко Wеb страница, а тренутно постоји неколико специјализованих магазина који се баве тематиком поштанског сектора (Post Express, Postal Technology, итд.).</w:t>
      </w:r>
    </w:p>
    <w:p>
      <w:pPr>
        <w:spacing w:after="0"/>
        <w:ind w:left="0"/>
        <w:jc w:val="left"/>
      </w:pPr>
      <w:r>
        <w:rPr>
          <w:rFonts w:ascii="Verdana"/>
          <w:b w:val="false"/>
          <w:i w:val="false"/>
          <w:color w:val="000000"/>
          <w:sz w:val="22"/>
        </w:rPr>
        <w:t>Може се констатовати да у Пошти Србије постоји активно одељење за комуникацију са јавношћу, али организација сталне комуникације са интересним групама (асоцијације потрошача, добављачи опреме, итд.) не постоји, осим редовне сарадње са синдикатима запослених.</w:t>
      </w:r>
    </w:p>
    <w:p>
      <w:pPr>
        <w:spacing w:after="0"/>
        <w:ind w:left="0"/>
        <w:jc w:val="left"/>
      </w:pPr>
      <w:r>
        <w:rPr>
          <w:rFonts w:ascii="Verdana"/>
          <w:b w:val="false"/>
          <w:i w:val="false"/>
          <w:color w:val="000000"/>
          <w:sz w:val="22"/>
        </w:rPr>
        <w:t>Поштанска администрација и овлашћени ЈПО су дужни да у наредном периоду убрзају спровођење Акционог плана предвиђеног Стратегијом UPU (Букурешт 2005–2008), уколико желе да ЈПО остане значајан учесник на тржишту поштанских услуга.</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xml:space="preserve">3.1.2. Оцена спровођења стратегије </w:t>
      </w:r>
      <w:r>
        <w:rPr>
          <w:rFonts w:ascii="Verdana"/>
          <w:b w:val="false"/>
          <w:i/>
          <w:color w:val="000000"/>
          <w:sz w:val="22"/>
        </w:rPr>
        <w:t>PostEurop</w:t>
      </w:r>
      <w:r>
        <w:rPr>
          <w:rFonts w:ascii="Verdana"/>
          <w:b w:val="false"/>
          <w:i w:val="false"/>
          <w:color w:val="000000"/>
          <w:sz w:val="22"/>
        </w:rPr>
        <w:t xml:space="preserve"> у Републици Србији</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PostEurop представља европску поштанску делатност. Ово удружење пружа подршку својим чланицама на тржишту које се непрестано мења, и свим потенцијалним учесницима промовише интересе поштанске делатности.</w:t>
      </w:r>
    </w:p>
    <w:p>
      <w:pPr>
        <w:spacing w:after="0"/>
        <w:ind w:left="0"/>
        <w:jc w:val="left"/>
      </w:pPr>
      <w:r>
        <w:rPr>
          <w:rFonts w:ascii="Verdana"/>
          <w:b w:val="false"/>
          <w:i w:val="false"/>
          <w:color w:val="000000"/>
          <w:sz w:val="22"/>
        </w:rPr>
        <w:t xml:space="preserve">У интересу свих својих чланица, </w:t>
      </w:r>
      <w:r>
        <w:rPr>
          <w:rFonts w:ascii="Verdana"/>
          <w:b w:val="false"/>
          <w:i/>
          <w:color w:val="000000"/>
          <w:sz w:val="22"/>
        </w:rPr>
        <w:t>PostEurop</w:t>
      </w:r>
      <w:r>
        <w:rPr>
          <w:rFonts w:ascii="Verdana"/>
          <w:b w:val="false"/>
          <w:i w:val="false"/>
          <w:color w:val="000000"/>
          <w:sz w:val="22"/>
        </w:rPr>
        <w:t xml:space="preserve"> се залаже за подршку и развој одрживог и конкурентног европског тржишта поштанског сектора, које је доступно свим корисницима, и које обезбеђује савремену и приступачну универзалну услугу.</w:t>
      </w:r>
    </w:p>
    <w:p>
      <w:pPr>
        <w:spacing w:after="0"/>
        <w:ind w:left="0"/>
        <w:jc w:val="left"/>
      </w:pPr>
      <w:r>
        <w:rPr>
          <w:rFonts w:ascii="Verdana"/>
          <w:b w:val="false"/>
          <w:i w:val="false"/>
          <w:color w:val="000000"/>
          <w:sz w:val="22"/>
        </w:rPr>
        <w:t>Удружење је усмерено на захтеве клијената и задовољење њихових потреба, побољшањем ефикасности и квалитета рада и развијености мреже, улагањем у људске ресурсе и изградњу европског и међународног окружења у области поштанске регулативе.</w:t>
      </w:r>
    </w:p>
    <w:p>
      <w:pPr>
        <w:spacing w:after="0"/>
        <w:ind w:left="0"/>
        <w:jc w:val="left"/>
      </w:pPr>
      <w:r>
        <w:rPr>
          <w:rFonts w:ascii="Verdana"/>
          <w:b w:val="false"/>
          <w:i w:val="false"/>
          <w:color w:val="000000"/>
          <w:sz w:val="22"/>
        </w:rPr>
        <w:t>Оно такође даје додатну вредност европској поштанској делатности промовишући сарадњу и иновације, посебно истичући заједничке потребе.</w:t>
      </w:r>
    </w:p>
    <w:p>
      <w:pPr>
        <w:spacing w:after="0"/>
        <w:ind w:left="0"/>
        <w:jc w:val="left"/>
      </w:pPr>
      <w:r>
        <w:rPr>
          <w:rFonts w:ascii="Verdana"/>
          <w:b w:val="false"/>
          <w:i/>
          <w:color w:val="000000"/>
          <w:sz w:val="22"/>
        </w:rPr>
        <w:t>PostEurop</w:t>
      </w:r>
      <w:r>
        <w:rPr>
          <w:rFonts w:ascii="Verdana"/>
          <w:b w:val="false"/>
          <w:i w:val="false"/>
          <w:color w:val="000000"/>
          <w:sz w:val="22"/>
        </w:rPr>
        <w:t xml:space="preserve"> </w:t>
      </w:r>
      <w:r>
        <w:rPr>
          <w:rFonts w:ascii="Verdana"/>
          <w:b w:val="false"/>
          <w:i w:val="false"/>
          <w:color w:val="000000"/>
          <w:sz w:val="22"/>
        </w:rPr>
        <w:t>тренутно броји 47 USP Европе, покривајући територију са 73 милиона становника и својим деловањем настоји да изгради заједничку платформу на којој ће почивати поштанска мрежа удружених поштанских оператора, са задатком да помогне својим члановима кроз развој и примену нових технологија.</w:t>
      </w:r>
    </w:p>
    <w:p>
      <w:pPr>
        <w:spacing w:after="0"/>
        <w:ind w:left="0"/>
        <w:jc w:val="left"/>
      </w:pPr>
      <w:r>
        <w:rPr>
          <w:rFonts w:ascii="Verdana"/>
          <w:b w:val="false"/>
          <w:i w:val="false"/>
          <w:color w:val="000000"/>
          <w:sz w:val="22"/>
        </w:rPr>
        <w:t xml:space="preserve">Стратегија развоја </w:t>
      </w:r>
      <w:r>
        <w:rPr>
          <w:rFonts w:ascii="Verdana"/>
          <w:b w:val="false"/>
          <w:i/>
          <w:color w:val="000000"/>
          <w:sz w:val="22"/>
        </w:rPr>
        <w:t>PostEurop</w:t>
      </w:r>
      <w:r>
        <w:rPr>
          <w:rFonts w:ascii="Verdana"/>
          <w:b w:val="false"/>
          <w:i w:val="false"/>
          <w:color w:val="000000"/>
          <w:sz w:val="22"/>
        </w:rPr>
        <w:t xml:space="preserve"> једногласно је усвојена на пленарној скупштини у Виламори 2003. године и она </w:t>
      </w:r>
      <w:r>
        <w:rPr>
          <w:rFonts w:ascii="Verdana"/>
          <w:b w:val="false"/>
          <w:i/>
          <w:color w:val="000000"/>
          <w:sz w:val="22"/>
        </w:rPr>
        <w:t>PostEurop</w:t>
      </w:r>
      <w:r>
        <w:rPr>
          <w:rFonts w:ascii="Verdana"/>
          <w:b w:val="false"/>
          <w:i w:val="false"/>
          <w:color w:val="000000"/>
          <w:sz w:val="22"/>
        </w:rPr>
        <w:t xml:space="preserve"> види као асоцијацију представника поштанске индустрије Европе, са задатком да својим члановима пружа сву помоћ и подршку. PostEurop се, у интересу својих чланова, обавезује да у потпуности подржава и развија стабилно и конкурентно тржиште поштанских услуга на коме ће бити обезбеђен једнак приступ за све учеснике.</w:t>
      </w:r>
    </w:p>
    <w:p>
      <w:pPr>
        <w:spacing w:after="0"/>
        <w:ind w:left="0"/>
        <w:jc w:val="left"/>
      </w:pPr>
      <w:r>
        <w:rPr>
          <w:rFonts w:ascii="Verdana"/>
          <w:b w:val="false"/>
          <w:i w:val="false"/>
          <w:color w:val="000000"/>
          <w:sz w:val="22"/>
        </w:rPr>
        <w:t>Владе држава чланица ЕУ, као и државе у поступку придруживања ЕУ, суочене са неопходношћу стварања законодавног оквира у коме ће USP у условима либерализованог тржишта бити у стању да конкуришу приватним операторима, квалитетом својих услуга и ефикасношћу.</w:t>
      </w:r>
    </w:p>
    <w:p>
      <w:pPr>
        <w:spacing w:after="0"/>
        <w:ind w:left="0"/>
        <w:jc w:val="left"/>
      </w:pPr>
      <w:r>
        <w:rPr>
          <w:rFonts w:ascii="Verdana"/>
          <w:b w:val="false"/>
          <w:i w:val="false"/>
          <w:color w:val="000000"/>
          <w:sz w:val="22"/>
        </w:rPr>
        <w:t xml:space="preserve">Нова стратегија </w:t>
      </w:r>
      <w:r>
        <w:rPr>
          <w:rFonts w:ascii="Verdana"/>
          <w:b w:val="false"/>
          <w:i/>
          <w:color w:val="000000"/>
          <w:sz w:val="22"/>
        </w:rPr>
        <w:t>PostEurop</w:t>
      </w:r>
      <w:r>
        <w:rPr>
          <w:rFonts w:ascii="Verdana"/>
          <w:b w:val="false"/>
          <w:i w:val="false"/>
          <w:color w:val="000000"/>
          <w:sz w:val="22"/>
        </w:rPr>
        <w:t xml:space="preserve"> усвојена у Виламори, дефинише четири основна циља:</w:t>
      </w:r>
    </w:p>
    <w:p>
      <w:pPr>
        <w:spacing w:after="0"/>
        <w:ind w:left="0"/>
        <w:jc w:val="left"/>
      </w:pPr>
      <w:r>
        <w:rPr>
          <w:rFonts w:ascii="Verdana"/>
          <w:b w:val="false"/>
          <w:i w:val="false"/>
          <w:color w:val="000000"/>
          <w:sz w:val="22"/>
        </w:rPr>
        <w:t xml:space="preserve">1. Законодавни циљ који омогућава креирање правног окружења које предпоставља стварање законодавног оквира у складу са захтевима и интересима чланова </w:t>
      </w:r>
      <w:r>
        <w:rPr>
          <w:rFonts w:ascii="Verdana"/>
          <w:b w:val="false"/>
          <w:i/>
          <w:color w:val="000000"/>
          <w:sz w:val="22"/>
        </w:rPr>
        <w:t>PostEurop</w:t>
      </w:r>
      <w:r>
        <w:rPr>
          <w:rFonts w:ascii="Verdana"/>
          <w:b w:val="false"/>
          <w:i w:val="false"/>
          <w:color w:val="000000"/>
          <w:sz w:val="22"/>
        </w:rPr>
        <w:t xml:space="preserve"> и целокупне поштанске индустрије, као и пружање стручне помоћи USP по питањима правне регулативе, трећа Директива ЕУ о поштанским услугама, реперкусије Директиве на земље чланице и не-чланице ЕУ, преговоре у оквиру WТО, законодавство ЕУ у области транспорта и авиосаобраћаја, царине и сл.</w:t>
      </w:r>
    </w:p>
    <w:p>
      <w:pPr>
        <w:spacing w:after="0"/>
        <w:ind w:left="0"/>
        <w:jc w:val="left"/>
      </w:pPr>
      <w:r>
        <w:rPr>
          <w:rFonts w:ascii="Verdana"/>
          <w:b w:val="false"/>
          <w:i w:val="false"/>
          <w:color w:val="000000"/>
          <w:sz w:val="22"/>
        </w:rPr>
        <w:t>2. Социјални циљ који се остварује путем подршке испуњавању социјалних захтева својих чланова подразумева развијање социјалног дијалога између запослених и пословодства, поштовање мера заштите на раду, мера заштите човекове околине.</w:t>
      </w:r>
    </w:p>
    <w:p>
      <w:pPr>
        <w:spacing w:after="0"/>
        <w:ind w:left="0"/>
        <w:jc w:val="left"/>
      </w:pPr>
      <w:r>
        <w:rPr>
          <w:rFonts w:ascii="Verdana"/>
          <w:b w:val="false"/>
          <w:i w:val="false"/>
          <w:color w:val="000000"/>
          <w:sz w:val="22"/>
        </w:rPr>
        <w:t>3. Оперативни циљ који се остварује путем подршке развоју и хармонизацији стандарда квалитета и разменом искустава међу члановима, развојем поштанске мреже, информационих технологија, тема терминалних трошкова.</w:t>
      </w:r>
    </w:p>
    <w:p>
      <w:pPr>
        <w:spacing w:after="0"/>
        <w:ind w:left="0"/>
        <w:jc w:val="left"/>
      </w:pPr>
      <w:r>
        <w:rPr>
          <w:rFonts w:ascii="Verdana"/>
          <w:b w:val="false"/>
          <w:i w:val="false"/>
          <w:color w:val="000000"/>
          <w:sz w:val="22"/>
        </w:rPr>
        <w:t>4. Тржишни циљ који се реализује путем подршке развоју тржишта поштанских услуга, поспешивањем сарадње међу члановима у циљу пружања квалитетнијих услуга корисницима, сарадњом са стејкхолдерима у области поштанске индустрије.</w:t>
      </w:r>
    </w:p>
    <w:p>
      <w:pPr>
        <w:spacing w:after="0"/>
        <w:ind w:left="0"/>
        <w:jc w:val="left"/>
      </w:pPr>
      <w:r>
        <w:rPr>
          <w:rFonts w:ascii="Verdana"/>
          <w:b w:val="false"/>
          <w:i w:val="false"/>
          <w:color w:val="000000"/>
          <w:sz w:val="22"/>
        </w:rPr>
        <w:t xml:space="preserve">Пошта Србије је у оквиру сарадње са </w:t>
      </w:r>
      <w:r>
        <w:rPr>
          <w:rFonts w:ascii="Verdana"/>
          <w:b w:val="false"/>
          <w:i/>
          <w:color w:val="000000"/>
          <w:sz w:val="22"/>
        </w:rPr>
        <w:t>PostEurop</w:t>
      </w:r>
      <w:r>
        <w:rPr>
          <w:rFonts w:ascii="Verdana"/>
          <w:b w:val="false"/>
          <w:i w:val="false"/>
          <w:color w:val="000000"/>
          <w:sz w:val="22"/>
        </w:rPr>
        <w:t>, усвојила и потписала ACCORD II, намењен земљама у поступку придруживања ЕУ и тиме преузела обавезу да прихвата стандарде ЕУ и приступи процесу хармонизације правне регулативе у области поштанског сектора са актима ЕУ – „postal acquis”, као и реализације пројеката у областима квалитета поштанских услуга, регулативе, маркетинга, новог метода обрачуна и управљања пројектима, који је потписан 3. јуна 2003. године од стране Србије.</w:t>
      </w:r>
    </w:p>
    <w:p>
      <w:pPr>
        <w:spacing w:after="0"/>
        <w:ind w:left="0"/>
        <w:jc w:val="left"/>
      </w:pPr>
      <w:r>
        <w:rPr>
          <w:rFonts w:ascii="Verdana"/>
          <w:b w:val="false"/>
          <w:i w:val="false"/>
          <w:color w:val="000000"/>
          <w:sz w:val="22"/>
        </w:rPr>
        <w:t>Приоритети овог програма су:</w:t>
      </w:r>
    </w:p>
    <w:p>
      <w:pPr>
        <w:spacing w:after="0"/>
        <w:ind w:left="0"/>
        <w:jc w:val="left"/>
      </w:pPr>
      <w:r>
        <w:rPr>
          <w:rFonts w:ascii="Verdana"/>
          <w:b w:val="false"/>
          <w:i w:val="false"/>
          <w:color w:val="000000"/>
          <w:sz w:val="22"/>
        </w:rPr>
        <w:t>1. Пројекат квалитета услуга (доступност услуга; брзине и поузданост; безбедност; одговорност и рекламациони поступци; задовољство корисника),</w:t>
      </w:r>
    </w:p>
    <w:p>
      <w:pPr>
        <w:spacing w:after="0"/>
        <w:ind w:left="0"/>
        <w:jc w:val="left"/>
      </w:pPr>
      <w:r>
        <w:rPr>
          <w:rFonts w:ascii="Verdana"/>
          <w:b w:val="false"/>
          <w:i w:val="false"/>
          <w:color w:val="000000"/>
          <w:sz w:val="22"/>
        </w:rPr>
        <w:t>2. Пројекат поштанске регулативе (примена Закона у делу дефинисања надлежности регулатора; модели лиценцирања; сарадња са поштанским операторима; прихватање стандарда Директиве ЕУ о поштанским услугама 2002/39/ЕС),</w:t>
      </w:r>
    </w:p>
    <w:p>
      <w:pPr>
        <w:spacing w:after="0"/>
        <w:ind w:left="0"/>
        <w:jc w:val="left"/>
      </w:pPr>
      <w:r>
        <w:rPr>
          <w:rFonts w:ascii="Verdana"/>
          <w:b w:val="false"/>
          <w:i w:val="false"/>
          <w:color w:val="000000"/>
          <w:sz w:val="22"/>
        </w:rPr>
        <w:t>3. Управљање пројектима (методологија израде пројеката; планирање и управљање током пројекта; контрола реализације појединих фаза пројекта; имплементација),</w:t>
      </w:r>
    </w:p>
    <w:p>
      <w:pPr>
        <w:spacing w:after="0"/>
        <w:ind w:left="0"/>
        <w:jc w:val="left"/>
      </w:pPr>
      <w:r>
        <w:rPr>
          <w:rFonts w:ascii="Verdana"/>
          <w:b w:val="false"/>
          <w:i w:val="false"/>
          <w:color w:val="000000"/>
          <w:sz w:val="22"/>
        </w:rPr>
        <w:t>4. Пројекат методологије обрачуна (систем директне алокације трошкова; методологија раздвојених рачуна за резервисане и нерезервисане услуге; базирање ценовне политике и система обрачуна на трошковима),</w:t>
      </w:r>
    </w:p>
    <w:p>
      <w:pPr>
        <w:spacing w:after="0"/>
        <w:ind w:left="0"/>
        <w:jc w:val="left"/>
      </w:pPr>
      <w:r>
        <w:rPr>
          <w:rFonts w:ascii="Verdana"/>
          <w:b w:val="false"/>
          <w:i w:val="false"/>
          <w:color w:val="000000"/>
          <w:sz w:val="22"/>
        </w:rPr>
        <w:t>5. Пројекат продаје и пласмана (корпоративни идентитет; сарадња са великим корисницима; анализа развоја тржишта услуга; пласман производа).</w:t>
      </w:r>
    </w:p>
    <w:p>
      <w:pPr>
        <w:spacing w:after="0"/>
        <w:ind w:left="0"/>
        <w:jc w:val="left"/>
      </w:pPr>
      <w:r>
        <w:rPr>
          <w:rFonts w:ascii="Verdana"/>
          <w:b w:val="false"/>
          <w:i w:val="false"/>
          <w:color w:val="000000"/>
          <w:sz w:val="22"/>
        </w:rPr>
        <w:t xml:space="preserve">Пошта Србије као јавни поштански оператор је уз помоћ </w:t>
      </w:r>
      <w:r>
        <w:rPr>
          <w:rFonts w:ascii="Verdana"/>
          <w:b w:val="false"/>
          <w:i/>
          <w:color w:val="000000"/>
          <w:sz w:val="22"/>
        </w:rPr>
        <w:t>PostEurop</w:t>
      </w:r>
      <w:r>
        <w:rPr>
          <w:rFonts w:ascii="Verdana"/>
          <w:b w:val="false"/>
          <w:i w:val="false"/>
          <w:color w:val="000000"/>
          <w:sz w:val="22"/>
        </w:rPr>
        <w:t>, а у сарадњи са другим УСП учествовала у већини од ових пројеката од интереса за развој квлитета поштанских услуга, од којих су неки у току.</w:t>
      </w:r>
    </w:p>
    <w:p>
      <w:pPr>
        <w:spacing w:after="0"/>
        <w:ind w:left="0"/>
        <w:jc w:val="center"/>
      </w:pPr>
      <w:r>
        <w:rPr>
          <w:rFonts w:ascii="Verdana"/>
          <w:b w:val="false"/>
          <w:i w:val="false"/>
          <w:color w:val="000000"/>
          <w:sz w:val="22"/>
        </w:rPr>
        <w:t> </w:t>
      </w:r>
    </w:p>
    <w:p>
      <w:pPr>
        <w:spacing w:after="0"/>
        <w:ind w:left="0"/>
        <w:jc w:val="center"/>
      </w:pPr>
      <w:r>
        <w:rPr>
          <w:rFonts w:ascii="Verdana"/>
          <w:b w:val="false"/>
          <w:i/>
          <w:color w:val="000000"/>
          <w:sz w:val="22"/>
        </w:rPr>
        <w:t>3.2. Мисија, циљеви и стратегија до 2012. године</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3.2.1. Мисија поштанских услуга у Републици Србији</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Република Србија ће омогућити постепену либерализацију, подстицање конкуренције и развој поштанске мреже и услуга на демонополизованом тржишту, уз реструктурирање ЈПО и обезбеђење обављања универзалне поштанске услуге, сходно усвојеним међународним стандардима квалитета по приступачним ценама.</w:t>
      </w:r>
    </w:p>
    <w:p>
      <w:pPr>
        <w:spacing w:after="0"/>
        <w:ind w:left="0"/>
        <w:jc w:val="left"/>
      </w:pPr>
      <w:r>
        <w:rPr>
          <w:rFonts w:ascii="Verdana"/>
          <w:b w:val="false"/>
          <w:i w:val="false"/>
          <w:color w:val="000000"/>
          <w:sz w:val="22"/>
        </w:rPr>
        <w:t>Начин на који се остварује мисија представљен је у документу Основе за израду стратегије развоја поштанских услуга (у даљем тексту: Основе), као политици одрживог стабилног развоја поштанских услуга у Републици Србији. Мисија, као највиши циљ, садржи више општих, стратешких циљева чијом успешном реализацијом се остварује планирани развој поштанских услуга у Републици Србији.</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3.2.2. Стратешки циљеви развоја поштанских услуга у Републици Србији</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Како је мисија поштанског сектора везана за дугорочно виђење главног разлога и сврхе постојања поштанских услуга у привредном и друштвеном амбијенту Републике Србије, Влада је на предлог министарства такође, у Основама дефинисала стратешке циљеве и дала приоритете развоја у области поштанских услуга.</w:t>
      </w:r>
    </w:p>
    <w:p>
      <w:pPr>
        <w:spacing w:after="0"/>
        <w:ind w:left="0"/>
        <w:jc w:val="left"/>
      </w:pPr>
      <w:r>
        <w:rPr>
          <w:rFonts w:ascii="Verdana"/>
          <w:b w:val="false"/>
          <w:i w:val="false"/>
          <w:color w:val="000000"/>
          <w:sz w:val="22"/>
        </w:rPr>
        <w:t>Као стратешки циљеви у Основама идентификовани су следећи циљеви:</w:t>
      </w:r>
    </w:p>
    <w:p>
      <w:pPr>
        <w:spacing w:after="0"/>
        <w:ind w:left="0"/>
        <w:jc w:val="center"/>
      </w:pPr>
      <w:r>
        <w:rPr>
          <w:rFonts w:ascii="Verdana"/>
          <w:b/>
          <w:i w:val="false"/>
          <w:color w:val="000000"/>
          <w:sz w:val="22"/>
        </w:rPr>
        <w:t> </w:t>
      </w:r>
    </w:p>
    <w:p>
      <w:pPr>
        <w:spacing w:after="0"/>
        <w:ind w:left="0"/>
        <w:jc w:val="center"/>
      </w:pPr>
      <w:r>
        <w:rPr>
          <w:rFonts w:ascii="Verdana"/>
          <w:b/>
          <w:i w:val="false"/>
          <w:color w:val="000000"/>
          <w:sz w:val="22"/>
        </w:rPr>
        <w:t>1. Стварање стабилне регулативе на тржишту поштанских услуга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Стварање стабилне и флексибилне регулативе, чији је основни циљ подстицање здраве конкуренције на тржишту поштанских услуга, подразумева усаглашавање законских и других прописа Републике Србије са регулативом ЕУ и њихово спровођење, имајући у виду потребе националног тржишта поштанских услуга.</w:t>
      </w:r>
    </w:p>
    <w:p>
      <w:pPr>
        <w:spacing w:after="0"/>
        <w:ind w:left="0"/>
        <w:jc w:val="left"/>
      </w:pPr>
      <w:r>
        <w:rPr>
          <w:rFonts w:ascii="Verdana"/>
          <w:b w:val="false"/>
          <w:i w:val="false"/>
          <w:color w:val="000000"/>
          <w:sz w:val="22"/>
        </w:rPr>
        <w:t>Формирање регулатора на основу Закона представља предуслов за бржу либерализацију на тржишту поштанских услуга, спречавање сваког вида монополског деловања и подстицање конкурентских односа.</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2. Пружање универзалне поштанске услуге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Република Србија, сагласно Закону и потврђеним међународним актима има обавезу обављања универзалног поштанског сервиса, што подразумева скуп основних поштанских услуга који ће се под једнаким условима, без дискриминације и по приступачним ценама, пружати на целој територији државе.</w:t>
      </w:r>
    </w:p>
    <w:p>
      <w:pPr>
        <w:spacing w:after="0"/>
        <w:ind w:left="0"/>
        <w:jc w:val="left"/>
      </w:pPr>
      <w:r>
        <w:rPr>
          <w:rFonts w:ascii="Verdana"/>
          <w:b w:val="false"/>
          <w:i w:val="false"/>
          <w:color w:val="000000"/>
          <w:sz w:val="22"/>
        </w:rPr>
        <w:t>Законом се дефинише скуп услуга универзалних поштанских услуга сходно интересима државе и потребама корисника. Обезбеђивање универзалне поштанске услуге држава остварује преко ЈПО који има ексклузивно право обављања услуга у домену резервисаног сервиса, одређеног Законом.</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3. Развој тржишта поштанских услуга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Интерес корисника поштанских услуга јесте да имају на располагању широк дијапазон квалитетних и приступачних поштанских услуга.</w:t>
      </w:r>
    </w:p>
    <w:p>
      <w:pPr>
        <w:spacing w:after="0"/>
        <w:ind w:left="0"/>
        <w:jc w:val="left"/>
      </w:pPr>
      <w:r>
        <w:rPr>
          <w:rFonts w:ascii="Verdana"/>
          <w:b w:val="false"/>
          <w:i w:val="false"/>
          <w:color w:val="000000"/>
          <w:sz w:val="22"/>
        </w:rPr>
        <w:t>Увођење конкуренције на тржиште поштанских услуга осигурава задовољење интереса корисника. Функционисањем регулатора почеће да делују тржишни механизми који ће довести до боље и квалитетније понуде поштанских услуга. Агенција ће, у складу са законом, регулисати поштанско тржиште системом лиценци и одобрења, као и другим механизмима из своје надлежности, водећи рачуна о интересима државе и заштити интереса корисника поштанских услуга.</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4. Развој и реструктурирање ЈПО</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Република Србија ће пружити помоћ интензивнијем развоју ЈПО првенствено са циљем обављања квалитетних поштанских услуга у домену универзалне. Потребно је перманентно повезивати интересе државе и локалних самоуправа са ЈПО, ради ефикаснијег коришћења расположиве инфраструктуре ЈПО, нарочито у делу развијања е-пословања, као и популаризације информационог друштва, интензивнијег коришћења дигиталних сертификата, географског информационог система поште и др.</w:t>
      </w:r>
    </w:p>
    <w:p>
      <w:pPr>
        <w:spacing w:after="0"/>
        <w:ind w:left="0"/>
        <w:jc w:val="left"/>
      </w:pPr>
      <w:r>
        <w:rPr>
          <w:rFonts w:ascii="Verdana"/>
          <w:b w:val="false"/>
          <w:i w:val="false"/>
          <w:color w:val="000000"/>
          <w:sz w:val="22"/>
        </w:rPr>
        <w:t>Основни циљ реструктурирања ЈПО, након процеса раздвајања основне делатности (core business) и споредних делатности (non core business), треба да буде организационо и технолошко прилагођавање савременим захтевима тржишта, уз стално улагање у прерадне, транспортне и друге капацитете поштанске мреже.</w:t>
      </w:r>
    </w:p>
    <w:p>
      <w:pPr>
        <w:spacing w:after="0"/>
        <w:ind w:left="0"/>
        <w:jc w:val="left"/>
      </w:pPr>
      <w:r>
        <w:rPr>
          <w:rFonts w:ascii="Verdana"/>
          <w:b w:val="false"/>
          <w:i w:val="false"/>
          <w:color w:val="000000"/>
          <w:sz w:val="22"/>
        </w:rPr>
        <w:t>Трансформација ЈПО у модерно, ефикасно и тржишно оријентисано предузеће, способно да пружи квалитену универзалну поштанску услугу и да се ефикасно бори са конкуренцијом на тржишту поштанских услуга, подразумева и инвестиције у нова знања, промене у систему управљања, реинжењеринг пословних процеса, трансформацију нерентабилних јединица поштанске мреже у друге уговорне облике, примену савремених технологија и плански развој људских ресурса.</w:t>
      </w:r>
    </w:p>
    <w:p>
      <w:pPr>
        <w:spacing w:after="0"/>
        <w:ind w:left="0"/>
        <w:jc w:val="left"/>
      </w:pPr>
      <w:r>
        <w:rPr>
          <w:rFonts w:ascii="Verdana"/>
          <w:b w:val="false"/>
          <w:i w:val="false"/>
          <w:color w:val="000000"/>
          <w:sz w:val="22"/>
        </w:rPr>
        <w:t>Потребно је развити социјални дијалог између запослених и послодавца, поштујући мере заштите на раду и заштите животне средине.</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5. Развој поштанских мрежа и капацитета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Република Србија значајно заостаје по питању броја поштанских пошиљака по глави становника у односу на развијене земље, тако да се може очекивати стални раст тражње за поштанским услугама, поготову у делу поштанских логистичких услуга. Тренутни капацитет поштанске мреже је недовољан да задовољи постојећи обим поштанског саобраћаја. Зато је неопходно предузети све мере како би се омогућила и убрзала изградња прерадних центара код поштанских оператора, нарочито Главног поштанског центра Београд (у даљем тексту: ГПЦ Београд) који треба да обухвати и функције за поштанске логистичке услуге. Потребно је да ЈПО изгради и опреми регионалне капацитете ради успостављања поуздане и ефикасне поштанске мреже и омогући уговором коришћење исте другим поштанским операторима.</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6. Унапређивање квалитета поштанских услуга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Основни циљ обављања поштанских услуга постиже се унапређивањем квалитета поштанских услуга и подизањем нивоа ефикасности поштанске мреже, како би се корисницима пружиле разноврсне, доступне и поуздане услуге по приступачнијим ценама.</w:t>
      </w:r>
    </w:p>
    <w:p>
      <w:pPr>
        <w:spacing w:after="0"/>
        <w:ind w:left="0"/>
        <w:jc w:val="left"/>
      </w:pPr>
      <w:r>
        <w:rPr>
          <w:rFonts w:ascii="Verdana"/>
          <w:b w:val="false"/>
          <w:i w:val="false"/>
          <w:color w:val="000000"/>
          <w:sz w:val="22"/>
        </w:rPr>
        <w:t>У том смислу потребно је да поштански оператори унапреде своје пословање употребом система електронске идентификације и праћења преноса пошиљака („Track and trace”).</w:t>
      </w:r>
    </w:p>
    <w:p>
      <w:pPr>
        <w:spacing w:after="0"/>
        <w:ind w:left="0"/>
        <w:jc w:val="left"/>
      </w:pPr>
      <w:r>
        <w:rPr>
          <w:rFonts w:ascii="Verdana"/>
          <w:b w:val="false"/>
          <w:i w:val="false"/>
          <w:color w:val="000000"/>
          <w:sz w:val="22"/>
        </w:rPr>
        <w:t>Агенција је у обавези да, у складу са Законом и препорукама UPU, утврди стандарде квалитета и да врши њихову хармонизацију са међународним стандардима. Агенција, у сарадњи са надлежним министарством, прати, контролише и мери квалитет пружања поштанских услуга и предузима мере из своје надлежности у циљу унапређења и побољшања истог.</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7. Сигурност и безбедност</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Од изузетне важности је да поштански оператори стално унапређују сигурност поштанских пошиљака, безбедност корисника и запослених, како се не би угрозили животи и здравље људи, животна средина и имовина.</w:t>
      </w:r>
    </w:p>
    <w:p>
      <w:pPr>
        <w:spacing w:after="0"/>
        <w:ind w:left="0"/>
        <w:jc w:val="left"/>
      </w:pPr>
      <w:r>
        <w:rPr>
          <w:rFonts w:ascii="Verdana"/>
          <w:b w:val="false"/>
          <w:i w:val="false"/>
          <w:color w:val="000000"/>
          <w:sz w:val="22"/>
        </w:rPr>
        <w:t>Стандарде безбедности утврђују надлежни државни органи који ће у сарадњи са поштанским операторима прописати додатне мере безбедности у ситуацијама повећаног ризика од терористичких аката, временских непогода, несрећних случајева и других екстремних ситуација.</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8. Стандардизација адресовања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Потребно је стандардизовати адресни систем у Републици Србији адресним кодом примаоца као обавезним елементом адресе, чиме се омогућава даљи технолошки развитак и реинжењеринг пословних процеса приликом обављања поштанских услуга.</w:t>
      </w:r>
    </w:p>
    <w:p>
      <w:pPr>
        <w:spacing w:after="0"/>
        <w:ind w:left="0"/>
        <w:jc w:val="left"/>
      </w:pPr>
      <w:r>
        <w:rPr>
          <w:rFonts w:ascii="Verdana"/>
          <w:b w:val="false"/>
          <w:i w:val="false"/>
          <w:color w:val="000000"/>
          <w:sz w:val="22"/>
        </w:rPr>
        <w:t>Стандардизовани адресни код омогућава интеграцију свих база података државних органа које за један од атрибута користе адресне податке, што је значајно за остваривање циљева информационог друштва.</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9. Тарифна политика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Преко политике цена из домена резервисаних услуга обезбедити да ЈПО у овом сегменту послује без губитака и да може, уз предузете мере економске ефикасности, финансирати универзалну поштанску услугу.</w:t>
      </w:r>
    </w:p>
    <w:p>
      <w:pPr>
        <w:spacing w:after="0"/>
        <w:ind w:left="0"/>
        <w:jc w:val="left"/>
      </w:pPr>
      <w:r>
        <w:rPr>
          <w:rFonts w:ascii="Verdana"/>
          <w:b w:val="false"/>
          <w:i w:val="false"/>
          <w:color w:val="000000"/>
          <w:sz w:val="22"/>
        </w:rPr>
        <w:t>У циљу постепеног увођења тарифних метода заснованих на трошковном принципу користиће се методе базиране на најбољој светској пракси. Либерализацијом тржишта вршиће се контролисано смањивање лимита за резервисане услуге, сходно интересима државе.</w:t>
      </w:r>
    </w:p>
    <w:p>
      <w:pPr>
        <w:spacing w:after="0"/>
        <w:ind w:left="0"/>
        <w:jc w:val="left"/>
      </w:pPr>
      <w:r>
        <w:rPr>
          <w:rFonts w:ascii="Verdana"/>
          <w:b w:val="false"/>
          <w:i w:val="false"/>
          <w:color w:val="000000"/>
          <w:sz w:val="22"/>
        </w:rPr>
        <w:t>Потребно је ускладити Закон о издавању доплатне поштанске марке („Службени гласник РС”, број 61/05) сходно природи, намени и сврси доплатне марке.</w:t>
      </w:r>
    </w:p>
    <w:p>
      <w:pPr>
        <w:spacing w:after="0"/>
        <w:ind w:left="0"/>
        <w:jc w:val="left"/>
      </w:pPr>
      <w:r>
        <w:rPr>
          <w:rFonts w:ascii="Verdana"/>
          <w:b w:val="false"/>
          <w:i w:val="false"/>
          <w:color w:val="000000"/>
          <w:sz w:val="22"/>
        </w:rPr>
        <w:t>Временски период наплате доплатне марке за једну конкретну намену не може бити дужи од седам дана.</w:t>
      </w:r>
    </w:p>
    <w:p>
      <w:pPr>
        <w:spacing w:after="0"/>
        <w:ind w:left="0"/>
        <w:jc w:val="left"/>
      </w:pPr>
      <w:r>
        <w:rPr>
          <w:rFonts w:ascii="Verdana"/>
          <w:b w:val="false"/>
          <w:i w:val="false"/>
          <w:color w:val="000000"/>
          <w:sz w:val="22"/>
        </w:rPr>
        <w:t>Реализацијом наведених циљева стварају се претпоставке одрживог раста и развоја поштанских услуга у Републици Србији уз истовремено постизање високог нивоа задовољства и лојалности клијената, запослених и напретка друштва у целини.</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3.2.3. Стратегије за реализацију циљева развоја поштанских услуга у Републици Србији</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Полазећи од дефинисаних стратешких циљева развоја поштанских услуга у Републици Србији, извршене анализе окружења и анализе тренутног обављања поштанских услуга у Републици Србији и датих предвиђања будућих захтева за поштанским услугама, у даљем тексту се:</w:t>
      </w:r>
    </w:p>
    <w:p>
      <w:pPr>
        <w:spacing w:after="0"/>
        <w:ind w:left="0"/>
        <w:jc w:val="left"/>
      </w:pPr>
      <w:r>
        <w:rPr>
          <w:rFonts w:ascii="Verdana"/>
          <w:b w:val="false"/>
          <w:i w:val="false"/>
          <w:color w:val="000000"/>
          <w:sz w:val="22"/>
        </w:rPr>
        <w:t>1. Утврђују стратешке опције у којима се дају начини како да се искористе могућности, односно реализују стратешки циљеви,</w:t>
      </w:r>
    </w:p>
    <w:p>
      <w:pPr>
        <w:spacing w:after="0"/>
        <w:ind w:left="0"/>
        <w:jc w:val="left"/>
      </w:pPr>
      <w:r>
        <w:rPr>
          <w:rFonts w:ascii="Verdana"/>
          <w:b w:val="false"/>
          <w:i w:val="false"/>
          <w:color w:val="000000"/>
          <w:sz w:val="22"/>
        </w:rPr>
        <w:t>2. Извршава тест конзистенције у коме се утврђују ресурси који оптимално одговарају окружењу, стању у земљи и могућим ризицима,</w:t>
      </w:r>
    </w:p>
    <w:p>
      <w:pPr>
        <w:spacing w:after="0"/>
        <w:ind w:left="0"/>
        <w:jc w:val="left"/>
      </w:pPr>
      <w:r>
        <w:rPr>
          <w:rFonts w:ascii="Verdana"/>
          <w:b w:val="false"/>
          <w:i w:val="false"/>
          <w:color w:val="000000"/>
          <w:sz w:val="22"/>
        </w:rPr>
        <w:t>3. Предлажу носиоци активности и потребна финансијска средства за реализацију, и</w:t>
      </w:r>
    </w:p>
    <w:p>
      <w:pPr>
        <w:spacing w:after="0"/>
        <w:ind w:left="0"/>
        <w:jc w:val="left"/>
      </w:pPr>
      <w:r>
        <w:rPr>
          <w:rFonts w:ascii="Verdana"/>
          <w:b w:val="false"/>
          <w:i w:val="false"/>
          <w:color w:val="000000"/>
          <w:sz w:val="22"/>
        </w:rPr>
        <w:t>4. Дају временска ограничења за реализацију стратешких циљева развоја поштанских услуга у Републици Србији.</w:t>
      </w:r>
    </w:p>
    <w:p>
      <w:pPr>
        <w:spacing w:after="0"/>
        <w:ind w:left="0"/>
        <w:jc w:val="left"/>
      </w:pPr>
      <w:r>
        <w:rPr>
          <w:rFonts w:ascii="Verdana"/>
          <w:b w:val="false"/>
          <w:i w:val="false"/>
          <w:color w:val="000000"/>
          <w:sz w:val="22"/>
        </w:rPr>
        <w:t>Реализација наведених циљева оствариће се преко следећих стратегијских опција:</w:t>
      </w:r>
    </w:p>
    <w:p>
      <w:pPr>
        <w:spacing w:after="0"/>
        <w:ind w:left="0"/>
        <w:jc w:val="left"/>
      </w:pPr>
      <w:r>
        <w:rPr>
          <w:rFonts w:ascii="Verdana"/>
          <w:b w:val="false"/>
          <w:i w:val="false"/>
          <w:color w:val="000000"/>
          <w:sz w:val="22"/>
        </w:rPr>
        <w:t> </w:t>
      </w:r>
    </w:p>
    <w:p>
      <w:pPr>
        <w:spacing w:after="0"/>
        <w:ind w:left="0"/>
        <w:jc w:val="left"/>
      </w:pPr>
      <w:r>
        <w:rPr>
          <w:rFonts w:ascii="Verdana"/>
          <w:b/>
          <w:i w:val="false"/>
          <w:color w:val="000000"/>
          <w:sz w:val="22"/>
        </w:rPr>
        <w:t>Стратегија 1. Усаглашавање законских и других прописа Републике Србије са регулативом ЕУ и њихово спровођење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Активност 1: Почетак рада Агенције;</w:t>
      </w:r>
    </w:p>
    <w:p>
      <w:pPr>
        <w:spacing w:after="0"/>
        <w:ind w:left="0"/>
        <w:jc w:val="left"/>
      </w:pPr>
      <w:r>
        <w:rPr>
          <w:rFonts w:ascii="Verdana"/>
          <w:b w:val="false"/>
          <w:i w:val="false"/>
          <w:color w:val="000000"/>
          <w:sz w:val="22"/>
        </w:rPr>
        <w:t>Активност 2: Стварање стабилне и флексибилне регулативе;</w:t>
      </w:r>
    </w:p>
    <w:p>
      <w:pPr>
        <w:spacing w:after="0"/>
        <w:ind w:left="0"/>
        <w:jc w:val="left"/>
      </w:pPr>
      <w:r>
        <w:rPr>
          <w:rFonts w:ascii="Verdana"/>
          <w:b w:val="false"/>
          <w:i w:val="false"/>
          <w:color w:val="000000"/>
          <w:sz w:val="22"/>
        </w:rPr>
        <w:t>Активност 3: Подстицање конкуренције на тржишту поштанских услуга;</w:t>
      </w:r>
    </w:p>
    <w:p>
      <w:pPr>
        <w:spacing w:after="0"/>
        <w:ind w:left="0"/>
        <w:jc w:val="left"/>
      </w:pPr>
      <w:r>
        <w:rPr>
          <w:rFonts w:ascii="Verdana"/>
          <w:b w:val="false"/>
          <w:i w:val="false"/>
          <w:color w:val="000000"/>
          <w:sz w:val="22"/>
        </w:rPr>
        <w:t>Активност 4: Усаглашавање законских и других прописа Републике Србије са регулативом ЕУ и њихово спровођење, имајући у виду потребе националног тржишта поштанских услуга;</w:t>
      </w:r>
    </w:p>
    <w:p>
      <w:pPr>
        <w:spacing w:after="0"/>
        <w:ind w:left="0"/>
        <w:jc w:val="left"/>
      </w:pPr>
      <w:r>
        <w:rPr>
          <w:rFonts w:ascii="Verdana"/>
          <w:b w:val="false"/>
          <w:i w:val="false"/>
          <w:color w:val="000000"/>
          <w:sz w:val="22"/>
        </w:rPr>
        <w:t>Активност 5: Постепена либерализација на тржишту поштанских услуга.</w:t>
      </w:r>
    </w:p>
    <w:p>
      <w:pPr>
        <w:spacing w:after="0"/>
        <w:ind w:left="0"/>
        <w:jc w:val="left"/>
      </w:pPr>
      <w:r>
        <w:rPr>
          <w:rFonts w:ascii="Verdana"/>
          <w:b w:val="false"/>
          <w:i w:val="false"/>
          <w:color w:val="000000"/>
          <w:sz w:val="22"/>
        </w:rPr>
        <w:t>ПРОЦЕНА ПОТРЕБНИХ ФИНАНСИЈСКИХ СРЕДСТАВА ЗА РЕАЛИЗАЦИЈУ ЈЕ: За почетак рада Агенције 18.000.000,00 динара, предвиђено као позајмица из буџета Републике Србије на рок од годину дана.</w:t>
      </w:r>
    </w:p>
    <w:p>
      <w:pPr>
        <w:spacing w:after="0"/>
        <w:ind w:left="0"/>
        <w:jc w:val="left"/>
      </w:pPr>
      <w:r>
        <w:rPr>
          <w:rFonts w:ascii="Verdana"/>
          <w:b w:val="false"/>
          <w:i w:val="false"/>
          <w:color w:val="000000"/>
          <w:sz w:val="22"/>
        </w:rPr>
        <w:t> </w:t>
      </w:r>
    </w:p>
    <w:p>
      <w:pPr>
        <w:spacing w:after="0"/>
        <w:ind w:left="0"/>
        <w:jc w:val="left"/>
      </w:pPr>
      <w:r>
        <w:rPr>
          <w:rFonts w:ascii="Verdana"/>
          <w:b/>
          <w:i w:val="false"/>
          <w:color w:val="000000"/>
          <w:sz w:val="22"/>
        </w:rPr>
        <w:t>Стратегија 2. Формирање јавног поштанског оператора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Активност 1: Доношење Оснивачког акта о формирању ЈПО;</w:t>
      </w:r>
    </w:p>
    <w:p>
      <w:pPr>
        <w:spacing w:after="0"/>
        <w:ind w:left="0"/>
        <w:jc w:val="left"/>
      </w:pPr>
      <w:r>
        <w:rPr>
          <w:rFonts w:ascii="Verdana"/>
          <w:b w:val="false"/>
          <w:i w:val="false"/>
          <w:color w:val="000000"/>
          <w:sz w:val="22"/>
        </w:rPr>
        <w:t>Активност 2: Организационо и технолошко прилагођавање ЈПО савременим захтевима тржишта, уз контролисано улагање у материјалне, информационе и људске ресурсе;</w:t>
      </w:r>
    </w:p>
    <w:p>
      <w:pPr>
        <w:spacing w:after="0"/>
        <w:ind w:left="0"/>
        <w:jc w:val="left"/>
      </w:pPr>
      <w:r>
        <w:rPr>
          <w:rFonts w:ascii="Verdana"/>
          <w:b w:val="false"/>
          <w:i w:val="false"/>
          <w:color w:val="000000"/>
          <w:sz w:val="22"/>
        </w:rPr>
        <w:t>Активност 3: Ефикасно коришћење расположиве инфраструктуре ЈПО кроз перманентно повезивање интереса државе и локалних самоуправа, нарочито у делу развијања е-пословања, као и популаризације информатичког друштва, интензивнијег коришћења дигиталних сертификата, географског информационог система поште и др.;</w:t>
      </w:r>
    </w:p>
    <w:p>
      <w:pPr>
        <w:spacing w:after="0"/>
        <w:ind w:left="0"/>
        <w:jc w:val="left"/>
      </w:pPr>
      <w:r>
        <w:rPr>
          <w:rFonts w:ascii="Verdana"/>
          <w:b w:val="false"/>
          <w:i w:val="false"/>
          <w:color w:val="000000"/>
          <w:sz w:val="22"/>
        </w:rPr>
        <w:t>Активност 4: Оспособљавање ЈПО за самостално деловање на тржишту.</w:t>
      </w:r>
    </w:p>
    <w:p>
      <w:pPr>
        <w:spacing w:after="0"/>
        <w:ind w:left="0"/>
        <w:jc w:val="left"/>
      </w:pPr>
      <w:r>
        <w:rPr>
          <w:rFonts w:ascii="Verdana"/>
          <w:b w:val="false"/>
          <w:i w:val="false"/>
          <w:color w:val="000000"/>
          <w:sz w:val="22"/>
        </w:rPr>
        <w:t>Република Србија ће обезбедити планирани развој ЈПО са циљем да испуни основну улогу обављања квалитетних поштанских услуга из домена универзалне услуге. Измењеном положају Поште Србије, од које се очекује да самосталним деловањем на тржишту обезбеди сопствену егзистенцију, је потребна већа самосталност у одлучивању.</w:t>
      </w:r>
    </w:p>
    <w:p>
      <w:pPr>
        <w:spacing w:after="0"/>
        <w:ind w:left="0"/>
        <w:jc w:val="left"/>
      </w:pPr>
      <w:r>
        <w:rPr>
          <w:rFonts w:ascii="Verdana"/>
          <w:b w:val="false"/>
          <w:i w:val="false"/>
          <w:color w:val="000000"/>
          <w:sz w:val="22"/>
        </w:rPr>
        <w:t>Имајући у виду напред наведено, целокупан процес реструктурирања биће подељен у две основне фазе и то:</w:t>
      </w:r>
    </w:p>
    <w:p>
      <w:pPr>
        <w:spacing w:after="0"/>
        <w:ind w:left="0"/>
        <w:jc w:val="left"/>
      </w:pPr>
      <w:r>
        <w:rPr>
          <w:rFonts w:ascii="Verdana"/>
          <w:b w:val="false"/>
          <w:i w:val="false"/>
          <w:color w:val="000000"/>
          <w:sz w:val="22"/>
        </w:rPr>
        <w:t>1) У првој фази ће се донети оснивачки акт за ЈПО као зависно предузеће у оквиру ЈП ПТТ саобраћаја „Србија”, ослобођеног од споредних делатности.</w:t>
      </w:r>
    </w:p>
    <w:p>
      <w:pPr>
        <w:spacing w:after="0"/>
        <w:ind w:left="0"/>
        <w:jc w:val="left"/>
      </w:pPr>
      <w:r>
        <w:rPr>
          <w:rFonts w:ascii="Verdana"/>
          <w:b w:val="false"/>
          <w:i w:val="false"/>
          <w:color w:val="000000"/>
          <w:sz w:val="22"/>
        </w:rPr>
        <w:t>2) У другој фази ЈПО ће прерасти у самосталан привредни субјекат у државном власништву. Такав ЈПО ће организационо и технолошки бити оспособљен за остварење своје мисије и конкурентан наступ на тржишту. Ресурси ЈПО ће се искористити и за учешће на другим тржиштима сходно постојећим компетенцијама, традицији и комплементарности са поштанским услугама у будућности.</w:t>
      </w:r>
    </w:p>
    <w:p>
      <w:pPr>
        <w:spacing w:after="0"/>
        <w:ind w:left="0"/>
        <w:jc w:val="left"/>
      </w:pPr>
      <w:r>
        <w:rPr>
          <w:rFonts w:ascii="Verdana"/>
          <w:b w:val="false"/>
          <w:i w:val="false"/>
          <w:color w:val="000000"/>
          <w:sz w:val="22"/>
        </w:rPr>
        <w:t>ПРОЦЕНА ПОТРЕБНИХ ФИНАНСИЈСКИХ СРЕДСТАВА ЗА РЕАЛИЗАЦИЈУ ЈЕ: Студија са мастер планом 32 милиона динара. Имплементација студије на годишњем нивоу 66 милиона динара, рачунарска опрема 41 милион динара, електронски поштански шалтер 16 милиона динара, географски информациони систем 3,5 милиона динара, што чини све укупно 158,5 милиона динара. Део средстава, према Плану реструктурирања јавних предузећа, Влада ће обезбедити из буџета Републике Србије.</w:t>
      </w:r>
    </w:p>
    <w:p>
      <w:pPr>
        <w:spacing w:after="0"/>
        <w:ind w:left="0"/>
        <w:jc w:val="left"/>
      </w:pPr>
      <w:r>
        <w:rPr>
          <w:rFonts w:ascii="Verdana"/>
          <w:b w:val="false"/>
          <w:i w:val="false"/>
          <w:color w:val="000000"/>
          <w:sz w:val="22"/>
        </w:rPr>
        <w:t> </w:t>
      </w:r>
    </w:p>
    <w:p>
      <w:pPr>
        <w:spacing w:after="0"/>
        <w:ind w:left="0"/>
        <w:jc w:val="left"/>
      </w:pPr>
      <w:r>
        <w:rPr>
          <w:rFonts w:ascii="Verdana"/>
          <w:b/>
          <w:i w:val="false"/>
          <w:color w:val="000000"/>
          <w:sz w:val="22"/>
        </w:rPr>
        <w:t>Стратегија 3. Обезбеђивање поштанске услуге за све кориснике по приступачним ценама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Активност 1: Одржавање Законом дефинисане универзалне поштанске услуге сходно интересима државе, потребама корисника и међународно преузетим обавезама.</w:t>
      </w:r>
    </w:p>
    <w:p>
      <w:pPr>
        <w:spacing w:after="0"/>
        <w:ind w:left="0"/>
        <w:jc w:val="left"/>
      </w:pPr>
      <w:r>
        <w:rPr>
          <w:rFonts w:ascii="Verdana"/>
          <w:b w:val="false"/>
          <w:i w:val="false"/>
          <w:color w:val="000000"/>
          <w:sz w:val="22"/>
        </w:rPr>
        <w:t>Активност 2: Обезбеђивање ексклузивног права ЈПО на обављање резервисане поштанске услуге у оквиру лимита и у складу са степеном либерализације.</w:t>
      </w:r>
    </w:p>
    <w:p>
      <w:pPr>
        <w:spacing w:after="0"/>
        <w:ind w:left="0"/>
        <w:jc w:val="left"/>
      </w:pPr>
      <w:r>
        <w:rPr>
          <w:rFonts w:ascii="Verdana"/>
          <w:b w:val="false"/>
          <w:i w:val="false"/>
          <w:color w:val="000000"/>
          <w:sz w:val="22"/>
        </w:rPr>
        <w:t>Активност 3: У складу са методологијом обрачуна којом се одвојено исказује трошак за обављање универзалне поштанске услуге коју обавља ЈПО, неопходно је, из резервисаног сервиса, установити законски механизам покривања губитка насталог пружањем универзалне поштанске услуге.</w:t>
      </w:r>
    </w:p>
    <w:p>
      <w:pPr>
        <w:spacing w:after="0"/>
        <w:ind w:left="0"/>
        <w:jc w:val="left"/>
      </w:pPr>
      <w:r>
        <w:rPr>
          <w:rFonts w:ascii="Verdana"/>
          <w:b w:val="false"/>
          <w:i w:val="false"/>
          <w:color w:val="000000"/>
          <w:sz w:val="22"/>
        </w:rPr>
        <w:t>ПРОЦЕНА ПОТРЕБНИХ ФИНАНСИЈСКИХ СРЕДСТАВА ЗА РЕАЛИЗАЦИЈУ ЈЕ: на годишњем нивоу 10,5 милијарди динара, односно месечно 880 милиона динара. Потребна финансијска средства се обезбеђују од стране ЈПО на основу пројекције исказане у Програму пословања.</w:t>
      </w:r>
    </w:p>
    <w:p>
      <w:pPr>
        <w:spacing w:after="0"/>
        <w:ind w:left="0"/>
        <w:jc w:val="left"/>
      </w:pPr>
      <w:r>
        <w:rPr>
          <w:rFonts w:ascii="Verdana"/>
          <w:b w:val="false"/>
          <w:i w:val="false"/>
          <w:color w:val="000000"/>
          <w:sz w:val="22"/>
        </w:rPr>
        <w:t> </w:t>
      </w:r>
    </w:p>
    <w:p>
      <w:pPr>
        <w:spacing w:after="0"/>
        <w:ind w:left="0"/>
        <w:jc w:val="left"/>
      </w:pPr>
      <w:r>
        <w:rPr>
          <w:rFonts w:ascii="Verdana"/>
          <w:b/>
          <w:i w:val="false"/>
          <w:color w:val="000000"/>
          <w:sz w:val="22"/>
        </w:rPr>
        <w:t>Стратегија 4. Успостављање ефикасне поштанске мреже у Републици Србији</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Активност 1: Влада и ЈПО преузимају одговорност за изградњу и опремање ГПЦ – Београд, који треба да обухвати и логистичке услуге за потребе поштанских оператора;</w:t>
      </w:r>
    </w:p>
    <w:p>
      <w:pPr>
        <w:spacing w:after="0"/>
        <w:ind w:left="0"/>
        <w:jc w:val="left"/>
      </w:pPr>
      <w:r>
        <w:rPr>
          <w:rFonts w:ascii="Verdana"/>
          <w:b w:val="false"/>
          <w:i w:val="false"/>
          <w:color w:val="000000"/>
          <w:sz w:val="22"/>
        </w:rPr>
        <w:t>Активност 2: Изградња и опремање регионалних капацитета ради успостављања поуздане и ефикасне поштанске мреже.</w:t>
      </w:r>
    </w:p>
    <w:p>
      <w:pPr>
        <w:spacing w:after="0"/>
        <w:ind w:left="0"/>
        <w:jc w:val="left"/>
      </w:pPr>
      <w:r>
        <w:rPr>
          <w:rFonts w:ascii="Verdana"/>
          <w:b w:val="false"/>
          <w:i w:val="false"/>
          <w:color w:val="000000"/>
          <w:sz w:val="22"/>
        </w:rPr>
        <w:t>У Републици Србији се очекује стални раст тражње за поштанским услугама, а поготову у делу поштанских логистичких и електронских услуга. Постојећи капацитети поштанских мрежа недовољни су да на модеран начин задовоље будуће захтеве корисника, тако да се кроз трансформацију класичних облика ЈПМ у ефикасније организационе облике (уговорне поште, уговорне шалтере, франшизе и др.) омогући побољшање квалитета свих поштанских услуга на целокупној територији Србије.</w:t>
      </w:r>
    </w:p>
    <w:p>
      <w:pPr>
        <w:spacing w:after="0"/>
        <w:ind w:left="0"/>
        <w:jc w:val="left"/>
      </w:pPr>
      <w:r>
        <w:rPr>
          <w:rFonts w:ascii="Verdana"/>
          <w:b w:val="false"/>
          <w:i w:val="false"/>
          <w:color w:val="000000"/>
          <w:sz w:val="22"/>
        </w:rPr>
        <w:t>ПРОЦЕНА ПОТРЕБНИХ ФИНАНСИЈСКИХ СРЕДСТАВА ЗА РЕАЛИЗАЦИЈУ ЈЕ: 320 милиона динара. Сва средства била би обезбеђена из редовних прилива од пословања и кредитних линија поштанских оператора, без интервенција из буџета Републике Србије, а што ће делимично бити обезбеђено гаранцијама Владе на бази наменски пројектованих средстава, сагласно усвојеном Програму пословања поштанских оператора.</w:t>
      </w:r>
    </w:p>
    <w:p>
      <w:pPr>
        <w:spacing w:after="0"/>
        <w:ind w:left="0"/>
        <w:jc w:val="left"/>
      </w:pPr>
      <w:r>
        <w:rPr>
          <w:rFonts w:ascii="Verdana"/>
          <w:b w:val="false"/>
          <w:i w:val="false"/>
          <w:color w:val="000000"/>
          <w:sz w:val="22"/>
        </w:rPr>
        <w:t> </w:t>
      </w:r>
    </w:p>
    <w:p>
      <w:pPr>
        <w:spacing w:after="0"/>
        <w:ind w:left="0"/>
        <w:jc w:val="left"/>
      </w:pPr>
      <w:r>
        <w:rPr>
          <w:rFonts w:ascii="Verdana"/>
          <w:b/>
          <w:i w:val="false"/>
          <w:color w:val="000000"/>
          <w:sz w:val="22"/>
        </w:rPr>
        <w:t>Стратегија 5. Формирање и примена адресног кода у Републици Србији</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Активност 1: Стандардизација адресног система у Републици Србији;</w:t>
      </w:r>
    </w:p>
    <w:p>
      <w:pPr>
        <w:spacing w:after="0"/>
        <w:ind w:left="0"/>
        <w:jc w:val="left"/>
      </w:pPr>
      <w:r>
        <w:rPr>
          <w:rFonts w:ascii="Verdana"/>
          <w:b w:val="false"/>
          <w:i w:val="false"/>
          <w:color w:val="000000"/>
          <w:sz w:val="22"/>
        </w:rPr>
        <w:t>Активност 2: Увођење адресног кода примаоца у Републици Србији као обавезног елемента адресе;</w:t>
      </w:r>
    </w:p>
    <w:p>
      <w:pPr>
        <w:spacing w:after="0"/>
        <w:ind w:left="0"/>
        <w:jc w:val="left"/>
      </w:pPr>
      <w:r>
        <w:rPr>
          <w:rFonts w:ascii="Verdana"/>
          <w:b w:val="false"/>
          <w:i w:val="false"/>
          <w:color w:val="000000"/>
          <w:sz w:val="22"/>
        </w:rPr>
        <w:t>Активност 3: Интеграција свих база података државних органа које за један од атрибута користе адресне податке;</w:t>
      </w:r>
    </w:p>
    <w:p>
      <w:pPr>
        <w:spacing w:after="0"/>
        <w:ind w:left="0"/>
        <w:jc w:val="left"/>
      </w:pPr>
      <w:r>
        <w:rPr>
          <w:rFonts w:ascii="Verdana"/>
          <w:b w:val="false"/>
          <w:i w:val="false"/>
          <w:color w:val="000000"/>
          <w:sz w:val="22"/>
        </w:rPr>
        <w:t>Активност 4: Вођење трајне евиденције о адресама у Републици Србији;</w:t>
      </w:r>
    </w:p>
    <w:p>
      <w:pPr>
        <w:spacing w:after="0"/>
        <w:ind w:left="0"/>
        <w:jc w:val="left"/>
      </w:pPr>
      <w:r>
        <w:rPr>
          <w:rFonts w:ascii="Verdana"/>
          <w:b w:val="false"/>
          <w:i w:val="false"/>
          <w:color w:val="000000"/>
          <w:sz w:val="22"/>
        </w:rPr>
        <w:t>Активност 5: Периодично објављивање Адресног именика Републици Србије.</w:t>
      </w:r>
    </w:p>
    <w:p>
      <w:pPr>
        <w:spacing w:after="0"/>
        <w:ind w:left="0"/>
        <w:jc w:val="left"/>
      </w:pPr>
      <w:r>
        <w:rPr>
          <w:rFonts w:ascii="Verdana"/>
          <w:b w:val="false"/>
          <w:i w:val="false"/>
          <w:color w:val="000000"/>
          <w:sz w:val="22"/>
        </w:rPr>
        <w:t>ПРОЦЕНА ПОТРЕБНИХ ФИНАНСИЈСКИХ СРЕДСТАВА ЗА РЕАЛИЗАЦИЈУ ЈЕ: 24 милиона динара на годишњем нивоу. Средства ће се обезбедити из Националног инвестиционог плана, кредитних линија и донација, као и од стране ЈПО у складу са Програмом пословања.</w:t>
      </w:r>
    </w:p>
    <w:p>
      <w:pPr>
        <w:spacing w:after="0"/>
        <w:ind w:left="0"/>
        <w:jc w:val="left"/>
      </w:pPr>
      <w:r>
        <w:rPr>
          <w:rFonts w:ascii="Verdana"/>
          <w:b w:val="false"/>
          <w:i w:val="false"/>
          <w:color w:val="000000"/>
          <w:sz w:val="22"/>
        </w:rPr>
        <w:t> </w:t>
      </w:r>
    </w:p>
    <w:p>
      <w:pPr>
        <w:spacing w:after="0"/>
        <w:ind w:left="0"/>
        <w:jc w:val="left"/>
      </w:pPr>
      <w:r>
        <w:rPr>
          <w:rFonts w:ascii="Verdana"/>
          <w:b/>
          <w:i w:val="false"/>
          <w:color w:val="000000"/>
          <w:sz w:val="22"/>
        </w:rPr>
        <w:t>Стратегија 6. Израда и примена Методологије обрачуна поштанских услуга базиране на трошковном принципу и усклађене са стандардима ЕУ и захтевима UPU</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Активност 1: Обезбеђивање финансирања универзалне услуге преко политике цена из домена резервисане поштанске услуге;</w:t>
      </w:r>
    </w:p>
    <w:p>
      <w:pPr>
        <w:spacing w:after="0"/>
        <w:ind w:left="0"/>
        <w:jc w:val="left"/>
      </w:pPr>
      <w:r>
        <w:rPr>
          <w:rFonts w:ascii="Verdana"/>
          <w:b w:val="false"/>
          <w:i w:val="false"/>
          <w:color w:val="000000"/>
          <w:sz w:val="22"/>
        </w:rPr>
        <w:t>Активност 2: ЈПО прописује и постепено примењује нову Методологију обрачуна, усклађену са стандардима ЕУ и захтевима UPU;</w:t>
      </w:r>
    </w:p>
    <w:p>
      <w:pPr>
        <w:spacing w:after="0"/>
        <w:ind w:left="0"/>
        <w:jc w:val="left"/>
      </w:pPr>
      <w:r>
        <w:rPr>
          <w:rFonts w:ascii="Verdana"/>
          <w:b w:val="false"/>
          <w:i w:val="false"/>
          <w:color w:val="000000"/>
          <w:sz w:val="22"/>
        </w:rPr>
        <w:t>Активност 3: Законско обавезивање ЈПО да води одвојене евиденције за резервисане и нерезервисане поштанске услуге;</w:t>
      </w:r>
    </w:p>
    <w:p>
      <w:pPr>
        <w:spacing w:after="0"/>
        <w:ind w:left="0"/>
        <w:jc w:val="left"/>
      </w:pPr>
      <w:r>
        <w:rPr>
          <w:rFonts w:ascii="Verdana"/>
          <w:b w:val="false"/>
          <w:i w:val="false"/>
          <w:color w:val="000000"/>
          <w:sz w:val="22"/>
        </w:rPr>
        <w:t>Активност 4: Агенција, уз сагласност Владе, утврђује тарифне ставове за универзалну и лимите по маси и цени за резервисане услуге;</w:t>
      </w:r>
    </w:p>
    <w:p>
      <w:pPr>
        <w:spacing w:after="0"/>
        <w:ind w:left="0"/>
        <w:jc w:val="left"/>
      </w:pPr>
      <w:r>
        <w:rPr>
          <w:rFonts w:ascii="Verdana"/>
          <w:b w:val="false"/>
          <w:i w:val="false"/>
          <w:color w:val="000000"/>
          <w:sz w:val="22"/>
        </w:rPr>
        <w:t>Активност 5: Контролисано смањивање лимита за резервисане поштанске услуге, сходно директивама ЕУ, препорукама УПУ и интересима Републике Србије;</w:t>
      </w:r>
    </w:p>
    <w:p>
      <w:pPr>
        <w:spacing w:after="0"/>
        <w:ind w:left="0"/>
        <w:jc w:val="left"/>
      </w:pPr>
      <w:r>
        <w:rPr>
          <w:rFonts w:ascii="Verdana"/>
          <w:b w:val="false"/>
          <w:i w:val="false"/>
          <w:color w:val="000000"/>
          <w:sz w:val="22"/>
        </w:rPr>
        <w:t>Активност 6: Ограничење периода наплате доплатне марке за једну конкретну намену, тако да временски период наплате не може бити дужи од седам дана у току једне године.</w:t>
      </w:r>
    </w:p>
    <w:p>
      <w:pPr>
        <w:spacing w:after="0"/>
        <w:ind w:left="0"/>
        <w:jc w:val="left"/>
      </w:pPr>
      <w:r>
        <w:rPr>
          <w:rFonts w:ascii="Verdana"/>
          <w:b w:val="false"/>
          <w:i w:val="false"/>
          <w:color w:val="000000"/>
          <w:sz w:val="22"/>
        </w:rPr>
        <w:t>ПРОЦЕНА ПОТРЕБНИХ ФИНАНСИЈСКИХ СРЕДСТАВА ЗА РЕАЛИЗАЦИЈУ ЈЕ: 20 милиона динара на годишњем нивоу. Средства обезбеђује ЈПО.</w:t>
      </w:r>
    </w:p>
    <w:p>
      <w:pPr>
        <w:spacing w:after="0"/>
        <w:ind w:left="0"/>
        <w:jc w:val="left"/>
      </w:pPr>
      <w:r>
        <w:rPr>
          <w:rFonts w:ascii="Verdana"/>
          <w:b w:val="false"/>
          <w:i w:val="false"/>
          <w:color w:val="000000"/>
          <w:sz w:val="22"/>
        </w:rPr>
        <w:t> </w:t>
      </w:r>
    </w:p>
    <w:p>
      <w:pPr>
        <w:spacing w:after="0"/>
        <w:ind w:left="0"/>
        <w:jc w:val="left"/>
      </w:pPr>
      <w:r>
        <w:rPr>
          <w:rFonts w:ascii="Verdana"/>
          <w:b/>
          <w:i w:val="false"/>
          <w:color w:val="000000"/>
          <w:sz w:val="22"/>
        </w:rPr>
        <w:t>Стратегија 7. Постепено увођење конкуренције на тржиште поштанских услуга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Активност 1: Агенција ће, у складу са Законом, регулисати поштанско тржиште системом лиценци и одобрења, као и другим механизмима из своје надлежности, водећи рачуна о интересима државе и заштити интереса корисника поштанских услуга, као и запослених у поштанском сектору. Развојем тржишта омогућиће се обављање услуге високог квалитета по најповољнијим ценама које треба да стимулишу ефикасност и иновативност учесника на тржишту;</w:t>
      </w:r>
    </w:p>
    <w:p>
      <w:pPr>
        <w:spacing w:after="0"/>
        <w:ind w:left="0"/>
        <w:jc w:val="left"/>
      </w:pPr>
      <w:r>
        <w:rPr>
          <w:rFonts w:ascii="Verdana"/>
          <w:b w:val="false"/>
          <w:i w:val="false"/>
          <w:color w:val="000000"/>
          <w:sz w:val="22"/>
        </w:rPr>
        <w:t>Активност 2: Усвајање нових сазнања о тржишту и развоју поштанских услуга ради ефикаснијег одговора на потребе и очекивања корисника чиме ће се убрзати диверсификација услуга, тако да ће оператори осим писмоносне услуге развијати и остале услуге са додатном вредношћу, логистичке услуге, као и електронске услуге засноване на новим знањима и технологијама;</w:t>
      </w:r>
    </w:p>
    <w:p>
      <w:pPr>
        <w:spacing w:after="0"/>
        <w:ind w:left="0"/>
        <w:jc w:val="left"/>
      </w:pPr>
      <w:r>
        <w:rPr>
          <w:rFonts w:ascii="Verdana"/>
          <w:b w:val="false"/>
          <w:i w:val="false"/>
          <w:color w:val="000000"/>
          <w:sz w:val="22"/>
        </w:rPr>
        <w:t>Активност 3: Усагласити захтеве слободног тржишта и конкуренције, који су гарант слободног кретања, економских перформанси и динамичности, као и циљева од општег интереса;</w:t>
      </w:r>
    </w:p>
    <w:p>
      <w:pPr>
        <w:spacing w:after="0"/>
        <w:ind w:left="0"/>
        <w:jc w:val="left"/>
      </w:pPr>
      <w:r>
        <w:rPr>
          <w:rFonts w:ascii="Verdana"/>
          <w:b w:val="false"/>
          <w:i w:val="false"/>
          <w:color w:val="000000"/>
          <w:sz w:val="22"/>
        </w:rPr>
        <w:t>Активност 4: Омогућавање места поштанским операторима у новом информатичком друштву сходно убрзаном развоју електронских сервиса. Поштански оператори треба да на пољу својих основних услуга побољшају компетентност али истовремено да уводе и нове услуге у циљу повећања профитабилности.</w:t>
      </w:r>
    </w:p>
    <w:p>
      <w:pPr>
        <w:spacing w:after="0"/>
        <w:ind w:left="0"/>
        <w:jc w:val="left"/>
      </w:pPr>
      <w:r>
        <w:rPr>
          <w:rFonts w:ascii="Verdana"/>
          <w:b w:val="false"/>
          <w:i w:val="false"/>
          <w:color w:val="000000"/>
          <w:sz w:val="22"/>
        </w:rPr>
        <w:t>ПРОЦЕНА ПОТРЕБНИХ ФИНАНСИЈСКИХ СРЕДСТАВА ЗА РЕАЛИЗАЦИЈУ ЈЕ: У складу са постепеном и контролисаном либерализацијом тржишта, обезбеђење средстава вршиће се из сопствених средстава од стране поштанских оператора.</w:t>
      </w:r>
    </w:p>
    <w:p>
      <w:pPr>
        <w:spacing w:after="0"/>
        <w:ind w:left="0"/>
        <w:jc w:val="left"/>
      </w:pPr>
      <w:r>
        <w:rPr>
          <w:rFonts w:ascii="Verdana"/>
          <w:b w:val="false"/>
          <w:i w:val="false"/>
          <w:color w:val="000000"/>
          <w:sz w:val="22"/>
        </w:rPr>
        <w:t> </w:t>
      </w:r>
    </w:p>
    <w:p>
      <w:pPr>
        <w:spacing w:after="0"/>
        <w:ind w:left="0"/>
        <w:jc w:val="left"/>
      </w:pPr>
      <w:r>
        <w:rPr>
          <w:rFonts w:ascii="Verdana"/>
          <w:b/>
          <w:i w:val="false"/>
          <w:color w:val="000000"/>
          <w:sz w:val="22"/>
        </w:rPr>
        <w:t>Стратегија 8. Достизање стандарда квалитета поштанских услуга прописаних у ЕУ</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Активност 1: Утврђивање стандарда квалитета и њихова хармонизација са међународним стандардима;</w:t>
      </w:r>
    </w:p>
    <w:p>
      <w:pPr>
        <w:spacing w:after="0"/>
        <w:ind w:left="0"/>
        <w:jc w:val="left"/>
      </w:pPr>
      <w:r>
        <w:rPr>
          <w:rFonts w:ascii="Verdana"/>
          <w:b w:val="false"/>
          <w:i w:val="false"/>
          <w:color w:val="000000"/>
          <w:sz w:val="22"/>
        </w:rPr>
        <w:t>Активност 2: Праћење, контролисање и мерење квалитета обављања поштанских услуга. (Применом аутоматизованог праћења и локализације поштанских пошиљака – системом track and trace);</w:t>
      </w:r>
    </w:p>
    <w:p>
      <w:pPr>
        <w:spacing w:after="0"/>
        <w:ind w:left="0"/>
        <w:jc w:val="left"/>
      </w:pPr>
      <w:r>
        <w:rPr>
          <w:rFonts w:ascii="Verdana"/>
          <w:b w:val="false"/>
          <w:i w:val="false"/>
          <w:color w:val="000000"/>
          <w:sz w:val="22"/>
        </w:rPr>
        <w:t>Активност 3: Постизање стандарда квалитета.</w:t>
      </w:r>
    </w:p>
    <w:p>
      <w:pPr>
        <w:spacing w:after="0"/>
        <w:ind w:left="0"/>
        <w:jc w:val="left"/>
      </w:pPr>
      <w:r>
        <w:rPr>
          <w:rFonts w:ascii="Verdana"/>
          <w:b w:val="false"/>
          <w:i w:val="false"/>
          <w:color w:val="000000"/>
          <w:sz w:val="22"/>
        </w:rPr>
        <w:t>Основни циљеви у обављању поштанских услуга постижу се унапређивањем квалитета поштанских услуга и подизањем нивоа ефикасности поштанске мреже, како би се корисницима пружиле разноврсне доступне и поуздане услуге по приступачним ценама.</w:t>
      </w:r>
    </w:p>
    <w:p>
      <w:pPr>
        <w:spacing w:after="0"/>
        <w:ind w:left="0"/>
        <w:jc w:val="left"/>
      </w:pPr>
      <w:r>
        <w:rPr>
          <w:rFonts w:ascii="Verdana"/>
          <w:b w:val="false"/>
          <w:i w:val="false"/>
          <w:color w:val="000000"/>
          <w:sz w:val="22"/>
        </w:rPr>
        <w:t>ПРОЦЕНА ПОТРЕБНИХ ФИНАНСИЈСКИХ СРЕДСТАВА ЗА РЕАЛИЗАЦИЈУ ЈЕ: 6.542.160.000 динара на основу пројекта „Стратешки план развоја квалитета за период 2007–2011. године” који је за потребе Поште Србије израдила португалска пошта CTT Correios de Portugal, а који је одобрен од стране UPU. Средства ће се обезбедити од стране ЈПО, кредитним линијама и донацијама међународних организација и удружења.</w:t>
      </w:r>
    </w:p>
    <w:p>
      <w:pPr>
        <w:spacing w:after="0"/>
        <w:ind w:left="0"/>
        <w:jc w:val="left"/>
      </w:pPr>
      <w:r>
        <w:rPr>
          <w:rFonts w:ascii="Verdana"/>
          <w:b w:val="false"/>
          <w:i w:val="false"/>
          <w:color w:val="000000"/>
          <w:sz w:val="22"/>
        </w:rPr>
        <w:t> </w:t>
      </w:r>
    </w:p>
    <w:p>
      <w:pPr>
        <w:spacing w:after="0"/>
        <w:ind w:left="0"/>
        <w:jc w:val="left"/>
      </w:pPr>
      <w:r>
        <w:rPr>
          <w:rFonts w:ascii="Verdana"/>
          <w:b/>
          <w:i w:val="false"/>
          <w:color w:val="000000"/>
          <w:sz w:val="22"/>
        </w:rPr>
        <w:t>Стратегија 9. Примена Европских стандарда у области сигурности и безбедности корисника, запослених и поштанских пошиљака</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Активност 1: Стандарде безбедности утврђују и мере предузимају надлежни државни органи који ће у сарадњи са поштанским операторима прописати додатне мере безбедности у ситуацијама повећаног ризика од терористичких аката, временских непогода, несрећних случајева и других екстремних ситуација;</w:t>
      </w:r>
    </w:p>
    <w:p>
      <w:pPr>
        <w:spacing w:after="0"/>
        <w:ind w:left="0"/>
        <w:jc w:val="left"/>
      </w:pPr>
      <w:r>
        <w:rPr>
          <w:rFonts w:ascii="Verdana"/>
          <w:b w:val="false"/>
          <w:i w:val="false"/>
          <w:color w:val="000000"/>
          <w:sz w:val="22"/>
        </w:rPr>
        <w:t>Активност 2: Поштански оператори перманентно примењују стандарде у области сигурности поштанских пошиљака, безбедности корисника и запослених, како се не би угрозили животи и здравље људи, животна средина и имовина;</w:t>
      </w:r>
    </w:p>
    <w:p>
      <w:pPr>
        <w:spacing w:after="0"/>
        <w:ind w:left="0"/>
        <w:jc w:val="left"/>
      </w:pPr>
      <w:r>
        <w:rPr>
          <w:rFonts w:ascii="Verdana"/>
          <w:b w:val="false"/>
          <w:i w:val="false"/>
          <w:color w:val="000000"/>
          <w:sz w:val="22"/>
        </w:rPr>
        <w:t xml:space="preserve">Активност 3: Одржавање континуираног социјалног дијалога између менаџмента предузећа и синдиката у циљу заштите права и здравља запослених, као и одржавања здравих и продуктивних односа између запослених, корисника и других партнера у оквиру поштанског сектора. Поспешивање различитих видова обуке запослених у поштанском сектору у складу са Заједничком декларацијом о спровођењу обуке и развоју кадрова, потписане од стране чланова Комитета за социјални дијалог </w:t>
      </w:r>
      <w:r>
        <w:rPr>
          <w:rFonts w:ascii="Verdana"/>
          <w:b w:val="false"/>
          <w:i/>
          <w:color w:val="000000"/>
          <w:sz w:val="22"/>
        </w:rPr>
        <w:t>PostEurop</w:t>
      </w:r>
      <w:r>
        <w:rPr>
          <w:rFonts w:ascii="Verdana"/>
          <w:b w:val="false"/>
          <w:i w:val="false"/>
          <w:color w:val="000000"/>
          <w:sz w:val="22"/>
        </w:rPr>
        <w:t>;</w:t>
      </w:r>
    </w:p>
    <w:p>
      <w:pPr>
        <w:spacing w:after="0"/>
        <w:ind w:left="0"/>
        <w:jc w:val="left"/>
      </w:pPr>
      <w:r>
        <w:rPr>
          <w:rFonts w:ascii="Verdana"/>
          <w:b w:val="false"/>
          <w:i w:val="false"/>
          <w:color w:val="000000"/>
          <w:sz w:val="22"/>
        </w:rPr>
        <w:t>Активност 4: Предузимање низа активности у циљу заштите животне околине, нарочито у области смањења емисија штетног гаса, сходно Директивама ЕУ о заштити животне средине. Заштитом животне околине повећати будућу конкурентност поштанског сектора, како на пољу економског развоја тако и на пољу пружања поштанских услуга.</w:t>
      </w:r>
    </w:p>
    <w:p>
      <w:pPr>
        <w:spacing w:after="0"/>
        <w:ind w:left="0"/>
        <w:jc w:val="left"/>
      </w:pPr>
      <w:r>
        <w:rPr>
          <w:rFonts w:ascii="Verdana"/>
          <w:b w:val="false"/>
          <w:i w:val="false"/>
          <w:color w:val="000000"/>
          <w:sz w:val="22"/>
        </w:rPr>
        <w:t>ПРОЦЕНА ПОТРЕБНИХ ФИНАНСИЈСКИХ СРЕДСТАВА ЗА РЕАЛИЗАЦИЈУ ЈЕ: 452 милиона динара. Средства ће се обезбеђивати на основу Програма пословања од стране поштанских оператора.</w:t>
      </w:r>
    </w:p>
    <w:p>
      <w:pPr>
        <w:spacing w:after="0"/>
        <w:ind w:left="0"/>
        <w:jc w:val="center"/>
      </w:pPr>
      <w:r>
        <w:rPr>
          <w:rFonts w:ascii="Verdana"/>
          <w:b/>
          <w:i w:val="false"/>
          <w:color w:val="000000"/>
          <w:sz w:val="22"/>
        </w:rPr>
        <w:t> </w:t>
      </w:r>
    </w:p>
    <w:p>
      <w:pPr>
        <w:spacing w:after="0"/>
        <w:ind w:left="0"/>
        <w:jc w:val="center"/>
      </w:pPr>
      <w:r>
        <w:rPr>
          <w:rFonts w:ascii="Verdana"/>
          <w:b/>
          <w:i w:val="false"/>
          <w:color w:val="000000"/>
          <w:sz w:val="22"/>
        </w:rPr>
        <w:t>4. Спровођење стратегија развоја поштанских услуга у Србији</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Временски период за спровођење Стратегије посматраће се са два аспекта: времена реализације, односно очекиваних резултата и времена саме имплементације Стратегије, што је приказано у табели 13 – Акциони план.</w:t>
      </w:r>
    </w:p>
    <w:p>
      <w:pPr>
        <w:spacing w:after="0"/>
        <w:ind w:left="0"/>
        <w:jc w:val="left"/>
      </w:pPr>
      <w:r>
        <w:rPr>
          <w:rFonts w:ascii="Verdana"/>
          <w:b w:val="false"/>
          <w:i w:val="false"/>
          <w:color w:val="000000"/>
          <w:sz w:val="22"/>
        </w:rPr>
        <w:t>Избором наведених стратегија дефинисане су: активности и носиоци активности, временски рок за реализацију стратегија са процењеним финансијским ефектима.</w:t>
      </w:r>
    </w:p>
    <w:p>
      <w:pPr>
        <w:spacing w:after="0"/>
        <w:ind w:left="0"/>
        <w:jc w:val="left"/>
      </w:pPr>
      <w:r>
        <w:rPr>
          <w:rFonts w:ascii="Verdana"/>
          <w:b w:val="false"/>
          <w:i w:val="false"/>
          <w:color w:val="000000"/>
          <w:sz w:val="22"/>
        </w:rPr>
        <w:t xml:space="preserve">Као први корак на овом путу треба испоштовати и одредбе програма ACCORD II (Пошта Србије је у оквиру сарадње са </w:t>
      </w:r>
      <w:r>
        <w:rPr>
          <w:rFonts w:ascii="Verdana"/>
          <w:b w:val="false"/>
          <w:i/>
          <w:color w:val="000000"/>
          <w:sz w:val="22"/>
        </w:rPr>
        <w:t>PostEurop</w:t>
      </w:r>
      <w:r>
        <w:rPr>
          <w:rFonts w:ascii="Verdana"/>
          <w:b w:val="false"/>
          <w:i w:val="false"/>
          <w:color w:val="000000"/>
          <w:sz w:val="22"/>
        </w:rPr>
        <w:t xml:space="preserve"> усвојила и потписала ACCORD II, намењен земљама у поступку придруживања ЕУ, и тиме преузела обавезу да прихвата стандарде ЕУ и приступи процесу хармонизације правне регулативе у области поштанског сектора са актима ЕУ – „postal acquis”, као и реализације пројеката у областима квалитета поштанског саобраћаја, регулативе, маркетинга, новог метода обрачуна и управљања пројектима).</w:t>
      </w:r>
    </w:p>
    <w:p>
      <w:pPr>
        <w:spacing w:after="0"/>
        <w:ind w:left="0"/>
        <w:jc w:val="center"/>
      </w:pPr>
      <w:r>
        <w:rPr>
          <w:rFonts w:ascii="Verdana"/>
          <w:b w:val="false"/>
          <w:i/>
          <w:color w:val="000000"/>
          <w:sz w:val="22"/>
        </w:rPr>
        <w:t> </w:t>
      </w:r>
    </w:p>
    <w:p>
      <w:pPr>
        <w:spacing w:after="0"/>
        <w:ind w:left="0"/>
        <w:jc w:val="center"/>
      </w:pPr>
      <w:r>
        <w:rPr>
          <w:rFonts w:ascii="Verdana"/>
          <w:b w:val="false"/>
          <w:i/>
          <w:color w:val="000000"/>
          <w:sz w:val="22"/>
        </w:rPr>
        <w:t>4.1. Акциони план за реализацију стратегије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У циљу потпуне реализације овог документа и успостављања стабилног развоја поштанског тржишта, сачињен је Акциони план којим су предвиђене активности, носиоци послова и рокови извршења, као и процењени финансијски ефекти.</w:t>
      </w:r>
    </w:p>
    <w:p>
      <w:pPr>
        <w:spacing w:after="0"/>
        <w:ind w:left="0"/>
        <w:jc w:val="center"/>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left"/>
      </w:pPr>
      <w:r>
        <w:rPr>
          <w:rFonts w:ascii="Verdana"/>
          <w:b/>
          <w:i w:val="false"/>
          <w:color w:val="000000"/>
          <w:sz w:val="22"/>
        </w:rPr>
        <w:t>Табела 13-Акциони план*</w:t>
      </w:r>
    </w:p>
    <w:tbl>
      <w:tblPr>
        <w:tblW w:w="0" w:type="auto"/>
        <w:tblCellSpacing w:w="0" w:type="auto"/>
        <w:tblBorders>
          <w:top w:val="none"/>
          <w:left w:val="none"/>
          <w:bottom w:val="none"/>
          <w:right w:val="none"/>
          <w:insideH w:val="none"/>
          <w:insideV w:val="none"/>
        </w:tblBorders>
      </w:tblPr>
      <w:tblGrid>
        <w:gridCol w:w="941"/>
        <w:gridCol w:w="2983"/>
        <w:gridCol w:w="4160"/>
        <w:gridCol w:w="2194"/>
        <w:gridCol w:w="2163"/>
        <w:gridCol w:w="1959"/>
      </w:tblGrid>
      <w:tr>
        <w:trPr/>
        <w:tc>
          <w:tcPr>
            <w:tcW w:w="941" w:type="dxa"/>
            <w:tcBorders/>
            <w:vAlign w:val="center"/>
          </w:tcPr>
          <w:p>
            <w:pPr>
              <w:spacing w:after="0"/>
              <w:ind w:left="0"/>
              <w:jc w:val="center"/>
            </w:pPr>
            <w:r>
              <w:rPr>
                <w:rFonts w:ascii="Verdana"/>
                <w:b/>
                <w:i w:val="false"/>
                <w:color w:val="000000"/>
                <w:sz w:val="22"/>
              </w:rPr>
              <w:t>Р. бр.</w:t>
            </w:r>
          </w:p>
        </w:tc>
        <w:tc>
          <w:tcPr>
            <w:tcW w:w="2983" w:type="dxa"/>
            <w:tcBorders/>
            <w:vAlign w:val="center"/>
          </w:tcPr>
          <w:p>
            <w:pPr>
              <w:spacing w:after="0"/>
              <w:ind w:left="0"/>
              <w:jc w:val="center"/>
            </w:pPr>
            <w:r>
              <w:rPr>
                <w:rFonts w:ascii="Verdana"/>
                <w:b/>
                <w:i w:val="false"/>
                <w:color w:val="000000"/>
                <w:sz w:val="22"/>
              </w:rPr>
              <w:t>Стратегије</w:t>
            </w:r>
          </w:p>
        </w:tc>
        <w:tc>
          <w:tcPr>
            <w:tcW w:w="4160" w:type="dxa"/>
            <w:tcBorders/>
            <w:vAlign w:val="center"/>
          </w:tcPr>
          <w:p>
            <w:pPr>
              <w:spacing w:after="0"/>
              <w:ind w:left="0"/>
              <w:jc w:val="center"/>
            </w:pPr>
            <w:r>
              <w:rPr>
                <w:rFonts w:ascii="Verdana"/>
                <w:b/>
                <w:i w:val="false"/>
                <w:color w:val="000000"/>
                <w:sz w:val="22"/>
              </w:rPr>
              <w:t>Активности</w:t>
            </w:r>
          </w:p>
        </w:tc>
        <w:tc>
          <w:tcPr>
            <w:tcW w:w="2194" w:type="dxa"/>
            <w:tcBorders/>
            <w:vAlign w:val="center"/>
          </w:tcPr>
          <w:p>
            <w:pPr>
              <w:spacing w:after="0"/>
              <w:ind w:left="0"/>
              <w:jc w:val="center"/>
            </w:pPr>
            <w:r>
              <w:rPr>
                <w:rFonts w:ascii="Verdana"/>
                <w:b/>
                <w:i w:val="false"/>
                <w:color w:val="000000"/>
                <w:sz w:val="22"/>
              </w:rPr>
              <w:t>Носиоци посла</w:t>
            </w:r>
          </w:p>
        </w:tc>
        <w:tc>
          <w:tcPr>
            <w:tcW w:w="2163" w:type="dxa"/>
            <w:tcBorders/>
            <w:vAlign w:val="center"/>
          </w:tcPr>
          <w:p>
            <w:pPr>
              <w:spacing w:after="0"/>
              <w:ind w:left="0"/>
              <w:jc w:val="center"/>
            </w:pPr>
            <w:r>
              <w:rPr>
                <w:rFonts w:ascii="Verdana"/>
                <w:b/>
                <w:i w:val="false"/>
                <w:color w:val="000000"/>
                <w:sz w:val="22"/>
              </w:rPr>
              <w:t>Рок</w:t>
            </w:r>
          </w:p>
        </w:tc>
        <w:tc>
          <w:tcPr>
            <w:tcW w:w="1959" w:type="dxa"/>
            <w:tcBorders/>
            <w:vAlign w:val="center"/>
          </w:tcPr>
          <w:p>
            <w:pPr>
              <w:spacing w:after="0"/>
              <w:ind w:left="0"/>
              <w:jc w:val="center"/>
            </w:pPr>
            <w:r>
              <w:rPr>
                <w:rFonts w:ascii="Verdana"/>
                <w:b/>
                <w:i w:val="false"/>
                <w:color w:val="000000"/>
                <w:sz w:val="22"/>
              </w:rPr>
              <w:t>Финансијски ефекти</w:t>
            </w:r>
          </w:p>
        </w:tc>
      </w:tr>
      <w:tr>
        <w:trPr/>
        <w:tc>
          <w:tcPr>
            <w:tcW w:w="941" w:type="dxa"/>
            <w:tcBorders/>
            <w:vAlign w:val="center"/>
          </w:tcPr>
          <w:p>
            <w:pPr>
              <w:spacing w:after="0"/>
              <w:ind w:left="0"/>
              <w:jc w:val="center"/>
            </w:pPr>
            <w:r>
              <w:rPr>
                <w:rFonts w:ascii="Verdana"/>
                <w:b/>
                <w:i w:val="false"/>
                <w:color w:val="000000"/>
                <w:sz w:val="22"/>
              </w:rPr>
              <w:t>1.</w:t>
            </w:r>
          </w:p>
        </w:tc>
        <w:tc>
          <w:tcPr>
            <w:tcW w:w="2983" w:type="dxa"/>
            <w:tcBorders/>
            <w:vAlign w:val="center"/>
          </w:tcPr>
          <w:p>
            <w:pPr>
              <w:spacing w:after="0"/>
              <w:ind w:left="0"/>
              <w:jc w:val="left"/>
            </w:pPr>
            <w:r>
              <w:rPr>
                <w:rFonts w:ascii="Verdana"/>
                <w:b/>
                <w:i w:val="false"/>
                <w:color w:val="000000"/>
                <w:sz w:val="22"/>
              </w:rPr>
              <w:t>Усаглашавање законских и других прописа Републике Србије са регулативом ЕУ и њихово спровођење</w:t>
            </w:r>
          </w:p>
        </w:tc>
        <w:tc>
          <w:tcPr>
            <w:tcW w:w="4160" w:type="dxa"/>
            <w:tcBorders/>
            <w:vAlign w:val="center"/>
          </w:tcPr>
          <w:p/>
        </w:tc>
        <w:tc>
          <w:tcPr>
            <w:tcW w:w="2194" w:type="dxa"/>
            <w:tcBorders/>
            <w:vAlign w:val="center"/>
          </w:tcPr>
          <w:p/>
        </w:tc>
        <w:tc>
          <w:tcPr>
            <w:tcW w:w="2163" w:type="dxa"/>
            <w:tcBorders/>
            <w:vAlign w:val="center"/>
          </w:tcP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1.1</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Усвајање Предлога закона о изменама и допунама Закона о поштанским услугама</w:t>
            </w:r>
          </w:p>
        </w:tc>
        <w:tc>
          <w:tcPr>
            <w:tcW w:w="2194" w:type="dxa"/>
            <w:tcBorders/>
            <w:vAlign w:val="center"/>
          </w:tcPr>
          <w:p>
            <w:pPr>
              <w:spacing w:after="0"/>
              <w:ind w:left="0"/>
              <w:jc w:val="center"/>
            </w:pPr>
            <w:r>
              <w:rPr>
                <w:rFonts w:ascii="Verdana"/>
                <w:b/>
                <w:i w:val="false"/>
                <w:color w:val="000000"/>
                <w:sz w:val="22"/>
              </w:rPr>
              <w:t>Народна скупштина</w:t>
            </w:r>
          </w:p>
        </w:tc>
        <w:tc>
          <w:tcPr>
            <w:tcW w:w="2163" w:type="dxa"/>
            <w:tcBorders/>
            <w:vAlign w:val="center"/>
          </w:tcPr>
          <w:p>
            <w:pPr>
              <w:spacing w:after="0"/>
              <w:ind w:left="0"/>
              <w:jc w:val="center"/>
            </w:pPr>
            <w:r>
              <w:rPr>
                <w:rFonts w:ascii="Verdana"/>
                <w:b/>
                <w:i w:val="false"/>
                <w:color w:val="000000"/>
                <w:sz w:val="22"/>
              </w:rPr>
              <w:t>крај јуна 2010. године</w:t>
            </w:r>
          </w:p>
        </w:tc>
        <w:tc>
          <w:tcPr>
            <w:tcW w:w="1959" w:type="dxa"/>
            <w:tcBorders/>
            <w:vAlign w:val="center"/>
          </w:tcPr>
          <w:p>
            <w:pPr>
              <w:spacing w:after="0"/>
              <w:ind w:left="0"/>
              <w:jc w:val="center"/>
            </w:pPr>
            <w:r>
              <w:rPr>
                <w:rFonts w:ascii="Verdana"/>
                <w:b/>
                <w:i w:val="false"/>
                <w:color w:val="000000"/>
                <w:sz w:val="22"/>
              </w:rPr>
              <w:t>/</w:t>
            </w:r>
          </w:p>
        </w:tc>
      </w:tr>
      <w:tr>
        <w:trPr/>
        <w:tc>
          <w:tcPr>
            <w:tcW w:w="941" w:type="dxa"/>
            <w:tcBorders/>
            <w:vAlign w:val="center"/>
          </w:tcPr>
          <w:p>
            <w:pPr>
              <w:spacing w:after="0"/>
              <w:ind w:left="0"/>
              <w:jc w:val="center"/>
            </w:pPr>
            <w:r>
              <w:rPr>
                <w:rFonts w:ascii="Verdana"/>
                <w:b/>
                <w:i w:val="false"/>
                <w:color w:val="000000"/>
                <w:sz w:val="22"/>
              </w:rPr>
              <w:t>1.2</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Доношење подзаконских аката</w:t>
            </w:r>
          </w:p>
        </w:tc>
        <w:tc>
          <w:tcPr>
            <w:tcW w:w="2194" w:type="dxa"/>
            <w:tcBorders/>
            <w:vAlign w:val="center"/>
          </w:tcPr>
          <w:p>
            <w:pPr>
              <w:spacing w:after="0"/>
              <w:ind w:left="0"/>
              <w:jc w:val="center"/>
            </w:pPr>
            <w:r>
              <w:rPr>
                <w:rFonts w:ascii="Verdana"/>
                <w:b/>
                <w:i w:val="false"/>
                <w:color w:val="000000"/>
                <w:sz w:val="22"/>
              </w:rPr>
              <w:t>Влада, Министарство, Агенција</w:t>
            </w:r>
          </w:p>
        </w:tc>
        <w:tc>
          <w:tcPr>
            <w:tcW w:w="2163" w:type="dxa"/>
            <w:tcBorders/>
            <w:vAlign w:val="center"/>
          </w:tcPr>
          <w:p>
            <w:pPr>
              <w:spacing w:after="0"/>
              <w:ind w:left="0"/>
              <w:jc w:val="center"/>
            </w:pPr>
            <w:r>
              <w:rPr>
                <w:rFonts w:ascii="Verdana"/>
                <w:b/>
                <w:i w:val="false"/>
                <w:color w:val="000000"/>
                <w:sz w:val="22"/>
              </w:rPr>
              <w:t>крај 2010. године</w:t>
            </w:r>
          </w:p>
        </w:tc>
        <w:tc>
          <w:tcPr>
            <w:tcW w:w="1959" w:type="dxa"/>
            <w:tcBorders/>
            <w:vAlign w:val="center"/>
          </w:tcPr>
          <w:p>
            <w:pPr>
              <w:spacing w:after="0"/>
              <w:ind w:left="0"/>
              <w:jc w:val="center"/>
            </w:pPr>
            <w:r>
              <w:rPr>
                <w:rFonts w:ascii="Verdana"/>
                <w:b/>
                <w:i w:val="false"/>
                <w:color w:val="000000"/>
                <w:sz w:val="22"/>
              </w:rPr>
              <w:t>/</w:t>
            </w:r>
          </w:p>
        </w:tc>
      </w:tr>
      <w:tr>
        <w:trPr/>
        <w:tc>
          <w:tcPr>
            <w:tcW w:w="941" w:type="dxa"/>
            <w:tcBorders/>
            <w:vAlign w:val="center"/>
          </w:tcPr>
          <w:p>
            <w:pPr>
              <w:spacing w:after="0"/>
              <w:ind w:left="0"/>
              <w:jc w:val="center"/>
            </w:pPr>
            <w:r>
              <w:rPr>
                <w:rFonts w:ascii="Verdana"/>
                <w:b/>
                <w:i w:val="false"/>
                <w:color w:val="000000"/>
                <w:sz w:val="22"/>
              </w:rPr>
              <w:t>1.3</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Доношење новог Закона о поштанским услугама</w:t>
            </w:r>
          </w:p>
        </w:tc>
        <w:tc>
          <w:tcPr>
            <w:tcW w:w="2194" w:type="dxa"/>
            <w:tcBorders/>
            <w:vAlign w:val="center"/>
          </w:tcPr>
          <w:p>
            <w:pPr>
              <w:spacing w:after="0"/>
              <w:ind w:left="0"/>
              <w:jc w:val="center"/>
            </w:pPr>
            <w:r>
              <w:rPr>
                <w:rFonts w:ascii="Verdana"/>
                <w:b/>
                <w:i w:val="false"/>
                <w:color w:val="000000"/>
                <w:sz w:val="22"/>
              </w:rPr>
              <w:t>Народна скупштина, Влада, Министарство</w:t>
            </w:r>
          </w:p>
        </w:tc>
        <w:tc>
          <w:tcPr>
            <w:tcW w:w="2163" w:type="dxa"/>
            <w:tcBorders/>
            <w:vAlign w:val="center"/>
          </w:tcPr>
          <w:p>
            <w:pPr>
              <w:spacing w:after="0"/>
              <w:ind w:left="0"/>
              <w:jc w:val="center"/>
            </w:pPr>
            <w:r>
              <w:rPr>
                <w:rFonts w:ascii="Verdana"/>
                <w:b/>
                <w:i w:val="false"/>
                <w:color w:val="000000"/>
                <w:sz w:val="22"/>
              </w:rPr>
              <w:t>до краја 2012. године</w:t>
            </w:r>
          </w:p>
        </w:tc>
        <w:tc>
          <w:tcPr>
            <w:tcW w:w="1959" w:type="dxa"/>
            <w:tcBorders/>
            <w:vAlign w:val="center"/>
          </w:tcPr>
          <w:p>
            <w:pPr>
              <w:spacing w:after="0"/>
              <w:ind w:left="0"/>
              <w:jc w:val="center"/>
            </w:pPr>
            <w:r>
              <w:rPr>
                <w:rFonts w:ascii="Verdana"/>
                <w:b/>
                <w:i w:val="false"/>
                <w:color w:val="000000"/>
                <w:sz w:val="22"/>
              </w:rPr>
              <w:t>/</w:t>
            </w:r>
          </w:p>
        </w:tc>
      </w:tr>
      <w:tr>
        <w:trPr/>
        <w:tc>
          <w:tcPr>
            <w:tcW w:w="941" w:type="dxa"/>
            <w:tcBorders/>
            <w:vAlign w:val="center"/>
          </w:tcPr>
          <w:p>
            <w:pPr>
              <w:spacing w:after="0"/>
              <w:ind w:left="0"/>
              <w:jc w:val="center"/>
            </w:pPr>
            <w:r>
              <w:rPr>
                <w:rFonts w:ascii="Verdana"/>
                <w:b/>
                <w:i w:val="false"/>
                <w:color w:val="000000"/>
                <w:sz w:val="22"/>
              </w:rPr>
              <w:t>1.4</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Доношење одлука о смањењу лимита по маси и/или потпуној либерализацији поштанских услуга</w:t>
            </w:r>
          </w:p>
        </w:tc>
        <w:tc>
          <w:tcPr>
            <w:tcW w:w="2194" w:type="dxa"/>
            <w:tcBorders/>
            <w:vAlign w:val="center"/>
          </w:tcPr>
          <w:p>
            <w:pPr>
              <w:spacing w:after="0"/>
              <w:ind w:left="0"/>
              <w:jc w:val="center"/>
            </w:pPr>
            <w:r>
              <w:rPr>
                <w:rFonts w:ascii="Verdana"/>
                <w:b/>
                <w:i w:val="false"/>
                <w:color w:val="000000"/>
                <w:sz w:val="22"/>
              </w:rPr>
              <w:t>Влада, Агенција</w:t>
            </w:r>
          </w:p>
        </w:tc>
        <w:tc>
          <w:tcPr>
            <w:tcW w:w="2163" w:type="dxa"/>
            <w:tcBorders/>
            <w:vAlign w:val="center"/>
          </w:tcPr>
          <w:p>
            <w:pPr>
              <w:spacing w:after="0"/>
              <w:ind w:left="0"/>
              <w:jc w:val="center"/>
            </w:pPr>
            <w:r>
              <w:rPr>
                <w:rFonts w:ascii="Verdana"/>
                <w:b/>
                <w:i w:val="false"/>
                <w:color w:val="000000"/>
                <w:sz w:val="22"/>
              </w:rPr>
              <w:t> континуирано</w:t>
            </w:r>
          </w:p>
        </w:tc>
        <w:tc>
          <w:tcPr>
            <w:tcW w:w="1959" w:type="dxa"/>
            <w:tcBorders/>
            <w:vAlign w:val="center"/>
          </w:tcPr>
          <w:p>
            <w:pPr>
              <w:spacing w:after="0"/>
              <w:ind w:left="0"/>
              <w:jc w:val="center"/>
            </w:pPr>
            <w:r>
              <w:rPr>
                <w:rFonts w:ascii="Verdana"/>
                <w:b/>
                <w:i w:val="false"/>
                <w:color w:val="000000"/>
                <w:sz w:val="22"/>
              </w:rPr>
              <w:t>/</w:t>
            </w:r>
          </w:p>
        </w:tc>
      </w:tr>
      <w:tr>
        <w:trPr/>
        <w:tc>
          <w:tcPr>
            <w:tcW w:w="941" w:type="dxa"/>
            <w:tcBorders/>
            <w:vAlign w:val="center"/>
          </w:tcPr>
          <w:p>
            <w:pPr>
              <w:spacing w:after="0"/>
              <w:ind w:left="0"/>
              <w:jc w:val="center"/>
            </w:pPr>
            <w:r>
              <w:rPr>
                <w:rFonts w:ascii="Verdana"/>
                <w:b/>
                <w:i w:val="false"/>
                <w:color w:val="000000"/>
                <w:sz w:val="22"/>
              </w:rPr>
              <w:t>1.5</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Праћење прописа о поштанским услугама, директива ЕУ, прописа СТО, царинских прописа и др.</w:t>
            </w:r>
          </w:p>
        </w:tc>
        <w:tc>
          <w:tcPr>
            <w:tcW w:w="2194" w:type="dxa"/>
            <w:tcBorders/>
            <w:vAlign w:val="center"/>
          </w:tcPr>
          <w:p>
            <w:pPr>
              <w:spacing w:after="0"/>
              <w:ind w:left="0"/>
              <w:jc w:val="center"/>
            </w:pPr>
            <w:r>
              <w:rPr>
                <w:rFonts w:ascii="Verdana"/>
                <w:b/>
                <w:i w:val="false"/>
                <w:color w:val="000000"/>
                <w:sz w:val="22"/>
              </w:rPr>
              <w:t>Министарство,</w:t>
            </w:r>
          </w:p>
          <w:p>
            <w:pPr>
              <w:spacing w:after="0"/>
              <w:ind w:left="0"/>
              <w:jc w:val="center"/>
            </w:pPr>
            <w:r>
              <w:rPr>
                <w:rFonts w:ascii="Verdana"/>
                <w:b/>
                <w:i w:val="false"/>
                <w:color w:val="000000"/>
                <w:sz w:val="22"/>
              </w:rPr>
              <w:t>Агенција</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pPr>
              <w:spacing w:after="0"/>
              <w:ind w:left="0"/>
              <w:jc w:val="center"/>
            </w:pPr>
            <w:r>
              <w:rPr>
                <w:rFonts w:ascii="Verdana"/>
                <w:b/>
                <w:i w:val="false"/>
                <w:color w:val="000000"/>
                <w:sz w:val="22"/>
              </w:rPr>
              <w:t>/</w:t>
            </w:r>
          </w:p>
        </w:tc>
      </w:tr>
      <w:tr>
        <w:trPr/>
        <w:tc>
          <w:tcPr>
            <w:tcW w:w="941" w:type="dxa"/>
            <w:tcBorders/>
            <w:vAlign w:val="center"/>
          </w:tcPr>
          <w:p>
            <w:pPr>
              <w:spacing w:after="0"/>
              <w:ind w:left="0"/>
              <w:jc w:val="center"/>
            </w:pPr>
            <w:r>
              <w:rPr>
                <w:rFonts w:ascii="Verdana"/>
                <w:b/>
                <w:i w:val="false"/>
                <w:color w:val="000000"/>
                <w:sz w:val="22"/>
              </w:rPr>
              <w:t>1.6</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Унапређење међународне и регионалне сарадње и повезивање у области поштанских услуга</w:t>
            </w:r>
          </w:p>
        </w:tc>
        <w:tc>
          <w:tcPr>
            <w:tcW w:w="2194" w:type="dxa"/>
            <w:tcBorders/>
            <w:vAlign w:val="center"/>
          </w:tcPr>
          <w:p>
            <w:pPr>
              <w:spacing w:after="0"/>
              <w:ind w:left="0"/>
              <w:jc w:val="center"/>
            </w:pPr>
            <w:r>
              <w:rPr>
                <w:rFonts w:ascii="Verdana"/>
                <w:b/>
                <w:i w:val="false"/>
                <w:color w:val="000000"/>
                <w:sz w:val="22"/>
              </w:rPr>
              <w:t>Министарство, Агенција, поштански оператори</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pPr>
              <w:spacing w:after="0"/>
              <w:ind w:left="0"/>
              <w:jc w:val="center"/>
            </w:pPr>
            <w:r>
              <w:rPr>
                <w:rFonts w:ascii="Verdana"/>
                <w:b/>
                <w:i w:val="false"/>
                <w:color w:val="000000"/>
                <w:sz w:val="22"/>
              </w:rPr>
              <w:t>/</w:t>
            </w:r>
          </w:p>
        </w:tc>
      </w:tr>
      <w:tr>
        <w:trPr/>
        <w:tc>
          <w:tcPr>
            <w:tcW w:w="941" w:type="dxa"/>
            <w:tcBorders/>
            <w:vAlign w:val="center"/>
          </w:tcPr>
          <w:p>
            <w:pPr>
              <w:spacing w:after="0"/>
              <w:ind w:left="0"/>
              <w:jc w:val="center"/>
            </w:pPr>
            <w:r>
              <w:rPr>
                <w:rFonts w:ascii="Verdana"/>
                <w:b/>
                <w:i w:val="false"/>
                <w:color w:val="000000"/>
                <w:sz w:val="22"/>
              </w:rPr>
              <w:t>1.7</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Анализа могућности учешћа поштанске делатности у развоју домаће индустрије, страних улагања у поштанске пројекте и научно истраживачки потенцијал за развој поштанских услуга</w:t>
            </w:r>
          </w:p>
        </w:tc>
        <w:tc>
          <w:tcPr>
            <w:tcW w:w="2194" w:type="dxa"/>
            <w:tcBorders/>
            <w:vAlign w:val="center"/>
          </w:tcPr>
          <w:p>
            <w:pPr>
              <w:spacing w:after="0"/>
              <w:ind w:left="0"/>
              <w:jc w:val="center"/>
            </w:pPr>
            <w:r>
              <w:rPr>
                <w:rFonts w:ascii="Verdana"/>
                <w:b/>
                <w:i w:val="false"/>
                <w:color w:val="000000"/>
                <w:sz w:val="22"/>
              </w:rPr>
              <w:t>Министарство,</w:t>
            </w:r>
          </w:p>
          <w:p>
            <w:pPr>
              <w:spacing w:after="0"/>
              <w:ind w:left="0"/>
              <w:jc w:val="center"/>
            </w:pPr>
            <w:r>
              <w:rPr>
                <w:rFonts w:ascii="Verdana"/>
                <w:b/>
                <w:i w:val="false"/>
                <w:color w:val="000000"/>
                <w:sz w:val="22"/>
              </w:rPr>
              <w:t>Агенција</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pPr>
              <w:spacing w:after="0"/>
              <w:ind w:left="0"/>
              <w:jc w:val="center"/>
            </w:pPr>
            <w:r>
              <w:rPr>
                <w:rFonts w:ascii="Verdana"/>
                <w:b/>
                <w:i w:val="false"/>
                <w:color w:val="000000"/>
                <w:sz w:val="22"/>
              </w:rPr>
              <w:t>9 милиона динара</w:t>
            </w:r>
          </w:p>
        </w:tc>
      </w:tr>
      <w:tr>
        <w:trPr/>
        <w:tc>
          <w:tcPr>
            <w:tcW w:w="941" w:type="dxa"/>
            <w:tcBorders/>
            <w:vAlign w:val="center"/>
          </w:tcPr>
          <w:p>
            <w:pPr>
              <w:spacing w:after="0"/>
              <w:ind w:left="0"/>
              <w:jc w:val="center"/>
            </w:pPr>
            <w:r>
              <w:rPr>
                <w:rFonts w:ascii="Verdana"/>
                <w:b/>
                <w:i w:val="false"/>
                <w:color w:val="000000"/>
                <w:sz w:val="22"/>
              </w:rPr>
              <w:t>1.8</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Стручно усавршавање радника Агенције</w:t>
            </w:r>
          </w:p>
        </w:tc>
        <w:tc>
          <w:tcPr>
            <w:tcW w:w="2194" w:type="dxa"/>
            <w:tcBorders/>
            <w:vAlign w:val="center"/>
          </w:tcPr>
          <w:p>
            <w:pPr>
              <w:spacing w:after="0"/>
              <w:ind w:left="0"/>
              <w:jc w:val="center"/>
            </w:pPr>
            <w:r>
              <w:rPr>
                <w:rFonts w:ascii="Verdana"/>
                <w:b/>
                <w:i w:val="false"/>
                <w:color w:val="000000"/>
                <w:sz w:val="22"/>
              </w:rPr>
              <w:t>Агенција</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pPr>
              <w:spacing w:after="0"/>
              <w:ind w:left="0"/>
              <w:jc w:val="center"/>
            </w:pPr>
            <w:r>
              <w:rPr>
                <w:rFonts w:ascii="Verdana"/>
                <w:b/>
                <w:i w:val="false"/>
                <w:color w:val="000000"/>
                <w:sz w:val="22"/>
              </w:rPr>
              <w:t>5 милиона динара</w:t>
            </w:r>
          </w:p>
        </w:tc>
      </w:tr>
      <w:tr>
        <w:trPr/>
        <w:tc>
          <w:tcPr>
            <w:tcW w:w="941" w:type="dxa"/>
            <w:tcBorders/>
            <w:vAlign w:val="center"/>
          </w:tcPr>
          <w:p>
            <w:pPr>
              <w:spacing w:after="0"/>
              <w:ind w:left="0"/>
              <w:jc w:val="center"/>
            </w:pPr>
            <w:r>
              <w:rPr>
                <w:rFonts w:ascii="Verdana"/>
                <w:b/>
                <w:i w:val="false"/>
                <w:color w:val="000000"/>
                <w:sz w:val="22"/>
              </w:rPr>
              <w:t>2.</w:t>
            </w:r>
          </w:p>
        </w:tc>
        <w:tc>
          <w:tcPr>
            <w:tcW w:w="2983" w:type="dxa"/>
            <w:tcBorders/>
            <w:vAlign w:val="center"/>
          </w:tcPr>
          <w:p>
            <w:pPr>
              <w:spacing w:after="0"/>
              <w:ind w:left="0"/>
              <w:jc w:val="left"/>
            </w:pPr>
            <w:r>
              <w:rPr>
                <w:rFonts w:ascii="Verdana"/>
                <w:b/>
                <w:i w:val="false"/>
                <w:color w:val="000000"/>
                <w:sz w:val="22"/>
              </w:rPr>
              <w:t>Формирање јавног поштанског оператора</w:t>
            </w:r>
          </w:p>
        </w:tc>
        <w:tc>
          <w:tcPr>
            <w:tcW w:w="4160" w:type="dxa"/>
            <w:tcBorders/>
            <w:vAlign w:val="center"/>
          </w:tcPr>
          <w:p/>
        </w:tc>
        <w:tc>
          <w:tcPr>
            <w:tcW w:w="2194" w:type="dxa"/>
            <w:tcBorders/>
            <w:vAlign w:val="center"/>
          </w:tcPr>
          <w:p/>
        </w:tc>
        <w:tc>
          <w:tcPr>
            <w:tcW w:w="2163" w:type="dxa"/>
            <w:tcBorders/>
            <w:vAlign w:val="center"/>
          </w:tcP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2.1</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Доношење Одлуке о формирању ЈПО</w:t>
            </w:r>
          </w:p>
        </w:tc>
        <w:tc>
          <w:tcPr>
            <w:tcW w:w="2194" w:type="dxa"/>
            <w:tcBorders/>
            <w:vAlign w:val="center"/>
          </w:tcPr>
          <w:p>
            <w:pPr>
              <w:spacing w:after="0"/>
              <w:ind w:left="0"/>
              <w:jc w:val="center"/>
            </w:pPr>
            <w:r>
              <w:rPr>
                <w:rFonts w:ascii="Verdana"/>
                <w:b/>
                <w:i w:val="false"/>
                <w:color w:val="000000"/>
                <w:sz w:val="22"/>
              </w:rPr>
              <w:t>Влада, Министарство</w:t>
            </w:r>
          </w:p>
        </w:tc>
        <w:tc>
          <w:tcPr>
            <w:tcW w:w="2163" w:type="dxa"/>
            <w:tcBorders/>
            <w:vAlign w:val="center"/>
          </w:tcPr>
          <w:p>
            <w:pPr>
              <w:spacing w:after="0"/>
              <w:ind w:left="0"/>
              <w:jc w:val="center"/>
            </w:pPr>
            <w:r>
              <w:rPr>
                <w:rFonts w:ascii="Verdana"/>
                <w:b/>
                <w:i w:val="false"/>
                <w:color w:val="000000"/>
                <w:sz w:val="22"/>
              </w:rPr>
              <w:t>септембар 2010. године</w:t>
            </w:r>
          </w:p>
        </w:tc>
        <w:tc>
          <w:tcPr>
            <w:tcW w:w="1959" w:type="dxa"/>
            <w:tcBorders/>
            <w:vAlign w:val="center"/>
          </w:tcPr>
          <w:p>
            <w:pPr>
              <w:spacing w:after="0"/>
              <w:ind w:left="0"/>
              <w:jc w:val="center"/>
            </w:pPr>
            <w:r>
              <w:rPr>
                <w:rFonts w:ascii="Verdana"/>
                <w:b/>
                <w:i w:val="false"/>
                <w:color w:val="000000"/>
                <w:sz w:val="22"/>
              </w:rPr>
              <w:t>21,9 милиона динара</w:t>
            </w:r>
          </w:p>
        </w:tc>
      </w:tr>
      <w:tr>
        <w:trPr/>
        <w:tc>
          <w:tcPr>
            <w:tcW w:w="941" w:type="dxa"/>
            <w:tcBorders/>
            <w:vAlign w:val="center"/>
          </w:tcPr>
          <w:p>
            <w:pPr>
              <w:spacing w:after="0"/>
              <w:ind w:left="0"/>
              <w:jc w:val="center"/>
            </w:pPr>
            <w:r>
              <w:rPr>
                <w:rFonts w:ascii="Verdana"/>
                <w:b/>
                <w:i w:val="false"/>
                <w:color w:val="000000"/>
                <w:sz w:val="22"/>
              </w:rPr>
              <w:t>2.2</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Организационо и технолошко прилагођавање ЈПО савременим захтевима тржишта</w:t>
            </w:r>
          </w:p>
        </w:tc>
        <w:tc>
          <w:tcPr>
            <w:tcW w:w="2194" w:type="dxa"/>
            <w:vMerge w:val="restart"/>
            <w:tcBorders/>
            <w:vAlign w:val="center"/>
          </w:tcPr>
          <w:p>
            <w:pPr>
              <w:spacing w:after="0"/>
              <w:ind w:left="0"/>
              <w:jc w:val="center"/>
            </w:pPr>
            <w:r>
              <w:rPr>
                <w:rFonts w:ascii="Verdana"/>
                <w:b/>
                <w:i w:val="false"/>
                <w:color w:val="000000"/>
                <w:sz w:val="22"/>
              </w:rPr>
              <w:t>Влада, Министарство,  ЈПО</w:t>
            </w:r>
          </w:p>
        </w:tc>
        <w:tc>
          <w:tcPr>
            <w:tcW w:w="2163" w:type="dxa"/>
            <w:vMerge w:val="restart"/>
            <w:tcBorders/>
            <w:vAlign w:val="center"/>
          </w:tcPr>
          <w:p>
            <w:pPr>
              <w:spacing w:after="0"/>
              <w:ind w:left="0"/>
              <w:jc w:val="center"/>
            </w:pPr>
            <w:r>
              <w:rPr>
                <w:rFonts w:ascii="Verdana"/>
                <w:b/>
                <w:i w:val="false"/>
                <w:color w:val="000000"/>
                <w:sz w:val="22"/>
              </w:rPr>
              <w:t>континуирано</w:t>
            </w:r>
          </w:p>
          <w:p>
            <w:pPr>
              <w:spacing w:after="0"/>
              <w:ind w:left="0"/>
              <w:jc w:val="center"/>
            </w:pPr>
            <w:r>
              <w:rPr>
                <w:rFonts w:ascii="Verdana"/>
                <w:b/>
                <w:i w:val="false"/>
                <w:color w:val="000000"/>
                <w:sz w:val="22"/>
              </w:rPr>
              <w:t> </w:t>
            </w:r>
          </w:p>
          <w:p>
            <w:pPr>
              <w:spacing w:after="0"/>
              <w:ind w:left="0"/>
              <w:jc w:val="center"/>
            </w:pPr>
            <w:r>
              <w:rPr>
                <w:rFonts w:ascii="Verdana"/>
                <w:b/>
                <w:i w:val="false"/>
                <w:color w:val="000000"/>
                <w:sz w:val="22"/>
              </w:rPr>
              <w:t>континуирано</w:t>
            </w:r>
          </w:p>
          <w:p>
            <w:pPr>
              <w:spacing w:after="0"/>
              <w:ind w:left="0"/>
              <w:jc w:val="center"/>
            </w:pPr>
            <w:r>
              <w:rPr>
                <w:rFonts w:ascii="Verdana"/>
                <w:b/>
                <w:i w:val="false"/>
                <w:color w:val="000000"/>
                <w:sz w:val="22"/>
              </w:rPr>
              <w:t> </w:t>
            </w:r>
          </w:p>
          <w:p>
            <w:pPr>
              <w:spacing w:after="0"/>
              <w:ind w:left="0"/>
              <w:jc w:val="center"/>
            </w:pPr>
            <w:r>
              <w:rPr>
                <w:rFonts w:ascii="Verdana"/>
                <w:b/>
                <w:i w:val="false"/>
                <w:color w:val="000000"/>
                <w:sz w:val="22"/>
              </w:rPr>
              <w:t>континуирано</w:t>
            </w:r>
          </w:p>
        </w:tc>
        <w:tc>
          <w:tcPr>
            <w:tcW w:w="1959" w:type="dxa"/>
            <w:vMerge w:val="restart"/>
            <w:tcBorders/>
            <w:vAlign w:val="center"/>
          </w:tcPr>
          <w:p>
            <w:pPr>
              <w:spacing w:after="0"/>
              <w:ind w:left="0"/>
              <w:jc w:val="left"/>
            </w:pPr>
            <w:r>
              <w:rPr>
                <w:rFonts w:ascii="Verdana"/>
                <w:b/>
                <w:i w:val="false"/>
                <w:color w:val="000000"/>
                <w:sz w:val="22"/>
              </w:rPr>
              <w:t>158,5 милиона динара на годишњем нивоу</w:t>
            </w:r>
          </w:p>
        </w:tc>
      </w:tr>
      <w:tr>
        <w:trPr/>
        <w:tc>
          <w:tcPr>
            <w:tcW w:w="941" w:type="dxa"/>
            <w:tcBorders/>
            <w:vAlign w:val="center"/>
          </w:tcPr>
          <w:p>
            <w:pPr>
              <w:spacing w:after="0"/>
              <w:ind w:left="0"/>
              <w:jc w:val="center"/>
            </w:pPr>
            <w:r>
              <w:rPr>
                <w:rFonts w:ascii="Verdana"/>
                <w:b/>
                <w:i w:val="false"/>
                <w:color w:val="000000"/>
                <w:sz w:val="22"/>
              </w:rPr>
              <w:t>2.3</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Ефикасно коришћење расположиве инфраструктуре ЈПО</w:t>
            </w:r>
          </w:p>
        </w:tc>
        <w:tc>
          <w:tcPr>
            <w:tcW w:w="0" w:type="auto"/>
            <w:vMerge/>
            <w:tcBorders>
              <w:top w:val="nil"/>
            </w:tcBorders>
          </w:tcPr>
          <w:p/>
        </w:tc>
        <w:tc>
          <w:tcPr>
            <w:tcW w:w="0" w:type="auto"/>
            <w:vMerge/>
            <w:tcBorders>
              <w:top w:val="nil"/>
            </w:tcBorders>
          </w:tcPr>
          <w:p/>
        </w:tc>
        <w:tc>
          <w:tcPr>
            <w:tcW w:w="0" w:type="auto"/>
            <w:vMerge/>
            <w:tcBorders>
              <w:top w:val="nil"/>
            </w:tcBorders>
          </w:tcPr>
          <w:p/>
        </w:tc>
      </w:tr>
      <w:tr>
        <w:trPr/>
        <w:tc>
          <w:tcPr>
            <w:tcW w:w="941" w:type="dxa"/>
            <w:tcBorders/>
            <w:vAlign w:val="center"/>
          </w:tcPr>
          <w:p>
            <w:pPr>
              <w:spacing w:after="0"/>
              <w:ind w:left="0"/>
              <w:jc w:val="center"/>
            </w:pPr>
            <w:r>
              <w:rPr>
                <w:rFonts w:ascii="Verdana"/>
                <w:b/>
                <w:i w:val="false"/>
                <w:color w:val="000000"/>
                <w:sz w:val="22"/>
              </w:rPr>
              <w:t>2.4</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Оспособљавање ЈПО за самостално деловање на тржишту</w:t>
            </w:r>
          </w:p>
        </w:tc>
        <w:tc>
          <w:tcPr>
            <w:tcW w:w="0" w:type="auto"/>
            <w:vMerge/>
            <w:tcBorders>
              <w:top w:val="nil"/>
            </w:tcBorders>
          </w:tcPr>
          <w:p/>
        </w:tc>
        <w:tc>
          <w:tcPr>
            <w:tcW w:w="0" w:type="auto"/>
            <w:vMerge/>
            <w:tcBorders>
              <w:top w:val="nil"/>
            </w:tcBorders>
          </w:tcPr>
          <w:p/>
        </w:tc>
        <w:tc>
          <w:tcPr>
            <w:tcW w:w="0" w:type="auto"/>
            <w:vMerge/>
            <w:tcBorders>
              <w:top w:val="nil"/>
            </w:tcBorders>
          </w:tcPr>
          <w:p/>
        </w:tc>
      </w:tr>
      <w:tr>
        <w:trPr/>
        <w:tc>
          <w:tcPr>
            <w:tcW w:w="941" w:type="dxa"/>
            <w:tcBorders/>
            <w:vAlign w:val="center"/>
          </w:tcPr>
          <w:p>
            <w:pPr>
              <w:spacing w:after="0"/>
              <w:ind w:left="0"/>
              <w:jc w:val="center"/>
            </w:pPr>
            <w:r>
              <w:rPr>
                <w:rFonts w:ascii="Verdana"/>
                <w:b/>
                <w:i w:val="false"/>
                <w:color w:val="000000"/>
                <w:sz w:val="22"/>
              </w:rPr>
              <w:t>3.</w:t>
            </w:r>
          </w:p>
        </w:tc>
        <w:tc>
          <w:tcPr>
            <w:tcW w:w="2983" w:type="dxa"/>
            <w:tcBorders/>
            <w:vAlign w:val="center"/>
          </w:tcPr>
          <w:p>
            <w:pPr>
              <w:spacing w:after="0"/>
              <w:ind w:left="0"/>
              <w:jc w:val="left"/>
            </w:pPr>
            <w:r>
              <w:rPr>
                <w:rFonts w:ascii="Verdana"/>
                <w:b/>
                <w:i w:val="false"/>
                <w:color w:val="000000"/>
                <w:sz w:val="22"/>
              </w:rPr>
              <w:t>Обезбеђивање поштанске услуге за све грађане по приступачним ценама</w:t>
            </w:r>
          </w:p>
        </w:tc>
        <w:tc>
          <w:tcPr>
            <w:tcW w:w="4160" w:type="dxa"/>
            <w:tcBorders/>
            <w:vAlign w:val="center"/>
          </w:tcPr>
          <w:p/>
        </w:tc>
        <w:tc>
          <w:tcPr>
            <w:tcW w:w="2194" w:type="dxa"/>
            <w:tcBorders/>
            <w:vAlign w:val="center"/>
          </w:tcPr>
          <w:p/>
        </w:tc>
        <w:tc>
          <w:tcPr>
            <w:tcW w:w="2163" w:type="dxa"/>
            <w:tcBorders/>
            <w:vAlign w:val="center"/>
          </w:tcP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3.1</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Одржавање универзалне поштанске услуге сходно интересима државе, потребама корисника и међународно преузетим обавезама</w:t>
            </w:r>
          </w:p>
        </w:tc>
        <w:tc>
          <w:tcPr>
            <w:tcW w:w="2194" w:type="dxa"/>
            <w:tcBorders/>
            <w:vAlign w:val="center"/>
          </w:tcPr>
          <w:p>
            <w:pPr>
              <w:spacing w:after="0"/>
              <w:ind w:left="0"/>
              <w:jc w:val="center"/>
            </w:pPr>
            <w:r>
              <w:rPr>
                <w:rFonts w:ascii="Verdana"/>
                <w:b/>
                <w:i w:val="false"/>
                <w:color w:val="000000"/>
                <w:sz w:val="22"/>
              </w:rPr>
              <w:t>Министарство, Агенција, ЈПО</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pPr>
              <w:spacing w:after="0"/>
              <w:ind w:left="0"/>
              <w:jc w:val="center"/>
            </w:pPr>
            <w:r>
              <w:rPr>
                <w:rFonts w:ascii="Verdana"/>
                <w:b/>
                <w:i w:val="false"/>
                <w:color w:val="000000"/>
                <w:sz w:val="22"/>
              </w:rPr>
              <w:t>10,5 милијарди динара на годишњем нивоу</w:t>
            </w:r>
          </w:p>
        </w:tc>
      </w:tr>
      <w:tr>
        <w:trPr/>
        <w:tc>
          <w:tcPr>
            <w:tcW w:w="941" w:type="dxa"/>
            <w:tcBorders/>
            <w:vAlign w:val="center"/>
          </w:tcPr>
          <w:p>
            <w:pPr>
              <w:spacing w:after="0"/>
              <w:ind w:left="0"/>
              <w:jc w:val="center"/>
            </w:pPr>
            <w:r>
              <w:rPr>
                <w:rFonts w:ascii="Verdana"/>
                <w:b/>
                <w:i w:val="false"/>
                <w:color w:val="000000"/>
                <w:sz w:val="22"/>
              </w:rPr>
              <w:t>3.2</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Обезбеђивање ексклузивног права ЈПО на обављање резервисане поштанске услуге у оквиру лимита и у складу са степеном либерализације</w:t>
            </w:r>
          </w:p>
        </w:tc>
        <w:tc>
          <w:tcPr>
            <w:tcW w:w="2194" w:type="dxa"/>
            <w:tcBorders/>
            <w:vAlign w:val="center"/>
          </w:tcPr>
          <w:p>
            <w:pPr>
              <w:spacing w:after="0"/>
              <w:ind w:left="0"/>
              <w:jc w:val="center"/>
            </w:pPr>
            <w:r>
              <w:rPr>
                <w:rFonts w:ascii="Verdana"/>
                <w:b/>
                <w:i w:val="false"/>
                <w:color w:val="000000"/>
                <w:sz w:val="22"/>
              </w:rPr>
              <w:t>Влада, Агенција</w:t>
            </w:r>
          </w:p>
        </w:tc>
        <w:tc>
          <w:tcPr>
            <w:tcW w:w="2163" w:type="dxa"/>
            <w:tcBorders/>
            <w:vAlign w:val="center"/>
          </w:tcPr>
          <w:p>
            <w:pPr>
              <w:spacing w:after="0"/>
              <w:ind w:left="0"/>
              <w:jc w:val="center"/>
            </w:pPr>
            <w:r>
              <w:rPr>
                <w:rFonts w:ascii="Verdana"/>
                <w:b/>
                <w:i w:val="false"/>
                <w:color w:val="000000"/>
                <w:sz w:val="22"/>
              </w:rPr>
              <w:t>до краја 2012. године</w:t>
            </w: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3.3</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Установљавање механизма покривања губитка насталог пружањем универзалне поштанске услуге</w:t>
            </w:r>
          </w:p>
        </w:tc>
        <w:tc>
          <w:tcPr>
            <w:tcW w:w="2194" w:type="dxa"/>
            <w:tcBorders/>
            <w:vAlign w:val="center"/>
          </w:tcPr>
          <w:p>
            <w:pPr>
              <w:spacing w:after="0"/>
              <w:ind w:left="0"/>
              <w:jc w:val="center"/>
            </w:pPr>
            <w:r>
              <w:rPr>
                <w:rFonts w:ascii="Verdana"/>
                <w:b/>
                <w:i w:val="false"/>
                <w:color w:val="000000"/>
                <w:sz w:val="22"/>
              </w:rPr>
              <w:t>Влада</w:t>
            </w:r>
          </w:p>
        </w:tc>
        <w:tc>
          <w:tcPr>
            <w:tcW w:w="2163" w:type="dxa"/>
            <w:tcBorders/>
            <w:vAlign w:val="center"/>
          </w:tcPr>
          <w:p>
            <w:pPr>
              <w:spacing w:after="0"/>
              <w:ind w:left="0"/>
              <w:jc w:val="center"/>
            </w:pPr>
            <w:r>
              <w:rPr>
                <w:rFonts w:ascii="Verdana"/>
                <w:b/>
                <w:i w:val="false"/>
                <w:color w:val="000000"/>
                <w:sz w:val="22"/>
              </w:rPr>
              <w:t>крај 2010. године</w:t>
            </w: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4.</w:t>
            </w:r>
          </w:p>
        </w:tc>
        <w:tc>
          <w:tcPr>
            <w:tcW w:w="2983" w:type="dxa"/>
            <w:tcBorders/>
            <w:vAlign w:val="center"/>
          </w:tcPr>
          <w:p>
            <w:pPr>
              <w:spacing w:after="0"/>
              <w:ind w:left="0"/>
              <w:jc w:val="left"/>
            </w:pPr>
            <w:r>
              <w:rPr>
                <w:rFonts w:ascii="Verdana"/>
                <w:b/>
                <w:i w:val="false"/>
                <w:color w:val="000000"/>
                <w:sz w:val="22"/>
              </w:rPr>
              <w:t>Успостављање ефикасне поштанске мреже у Србији</w:t>
            </w:r>
          </w:p>
        </w:tc>
        <w:tc>
          <w:tcPr>
            <w:tcW w:w="4160" w:type="dxa"/>
            <w:tcBorders/>
            <w:vAlign w:val="center"/>
          </w:tcPr>
          <w:p/>
        </w:tc>
        <w:tc>
          <w:tcPr>
            <w:tcW w:w="2194" w:type="dxa"/>
            <w:tcBorders/>
            <w:vAlign w:val="center"/>
          </w:tcPr>
          <w:p/>
        </w:tc>
        <w:tc>
          <w:tcPr>
            <w:tcW w:w="2163" w:type="dxa"/>
            <w:tcBorders/>
            <w:vAlign w:val="center"/>
          </w:tcP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4.1</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Изградња и опремање регионалних капацитета поштанских оператора</w:t>
            </w:r>
          </w:p>
        </w:tc>
        <w:tc>
          <w:tcPr>
            <w:tcW w:w="2194" w:type="dxa"/>
            <w:tcBorders/>
            <w:vAlign w:val="center"/>
          </w:tcPr>
          <w:p>
            <w:pPr>
              <w:spacing w:after="0"/>
              <w:ind w:left="0"/>
              <w:jc w:val="center"/>
            </w:pPr>
            <w:r>
              <w:rPr>
                <w:rFonts w:ascii="Verdana"/>
                <w:b/>
                <w:i w:val="false"/>
                <w:color w:val="000000"/>
                <w:sz w:val="22"/>
              </w:rPr>
              <w:t>поштански оператори</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pPr>
              <w:spacing w:after="0"/>
              <w:ind w:left="0"/>
              <w:jc w:val="center"/>
            </w:pPr>
            <w:r>
              <w:rPr>
                <w:rFonts w:ascii="Verdana"/>
                <w:b/>
                <w:i w:val="false"/>
                <w:color w:val="000000"/>
                <w:sz w:val="22"/>
              </w:rPr>
              <w:t>4,6 милијарди динара</w:t>
            </w:r>
          </w:p>
        </w:tc>
      </w:tr>
      <w:tr>
        <w:trPr/>
        <w:tc>
          <w:tcPr>
            <w:tcW w:w="941" w:type="dxa"/>
            <w:tcBorders/>
            <w:vAlign w:val="center"/>
          </w:tcPr>
          <w:p>
            <w:pPr>
              <w:spacing w:after="0"/>
              <w:ind w:left="0"/>
              <w:jc w:val="center"/>
            </w:pPr>
            <w:r>
              <w:rPr>
                <w:rFonts w:ascii="Verdana"/>
                <w:b/>
                <w:i w:val="false"/>
                <w:color w:val="000000"/>
                <w:sz w:val="22"/>
              </w:rPr>
              <w:t>4.1.1</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Изградња и опремање ГПЦ – Београд , Нови Сад и Ниш</w:t>
            </w:r>
          </w:p>
        </w:tc>
        <w:tc>
          <w:tcPr>
            <w:tcW w:w="2194" w:type="dxa"/>
            <w:tcBorders/>
            <w:vAlign w:val="center"/>
          </w:tcPr>
          <w:p>
            <w:pPr>
              <w:spacing w:after="0"/>
              <w:ind w:left="0"/>
              <w:jc w:val="center"/>
            </w:pPr>
            <w:r>
              <w:rPr>
                <w:rFonts w:ascii="Verdana"/>
                <w:b/>
                <w:i w:val="false"/>
                <w:color w:val="000000"/>
                <w:sz w:val="22"/>
              </w:rPr>
              <w:t>Влада, ЈПО</w:t>
            </w:r>
          </w:p>
        </w:tc>
        <w:tc>
          <w:tcPr>
            <w:tcW w:w="2163" w:type="dxa"/>
            <w:tcBorders/>
            <w:vAlign w:val="center"/>
          </w:tcPr>
          <w:p>
            <w:pPr>
              <w:spacing w:after="0"/>
              <w:ind w:left="0"/>
              <w:jc w:val="center"/>
            </w:pPr>
            <w:r>
              <w:rPr>
                <w:rFonts w:ascii="Verdana"/>
                <w:b/>
                <w:i w:val="false"/>
                <w:color w:val="000000"/>
                <w:sz w:val="22"/>
              </w:rPr>
              <w:t>крај 2012. године</w:t>
            </w: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4.2</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Доношење општег акта о приступу мрежи ЈПО</w:t>
            </w:r>
          </w:p>
        </w:tc>
        <w:tc>
          <w:tcPr>
            <w:tcW w:w="2194" w:type="dxa"/>
            <w:tcBorders/>
            <w:vAlign w:val="center"/>
          </w:tcPr>
          <w:p>
            <w:pPr>
              <w:spacing w:after="0"/>
              <w:ind w:left="0"/>
              <w:jc w:val="center"/>
            </w:pPr>
            <w:r>
              <w:rPr>
                <w:rFonts w:ascii="Verdana"/>
                <w:b/>
                <w:i w:val="false"/>
                <w:color w:val="000000"/>
                <w:sz w:val="22"/>
              </w:rPr>
              <w:t>Агенција, ЈПО</w:t>
            </w:r>
          </w:p>
        </w:tc>
        <w:tc>
          <w:tcPr>
            <w:tcW w:w="2163" w:type="dxa"/>
            <w:tcBorders/>
            <w:vAlign w:val="center"/>
          </w:tcPr>
          <w:p>
            <w:pPr>
              <w:spacing w:after="0"/>
              <w:ind w:left="0"/>
              <w:jc w:val="center"/>
            </w:pPr>
            <w:r>
              <w:rPr>
                <w:rFonts w:ascii="Verdana"/>
                <w:b/>
                <w:i w:val="false"/>
                <w:color w:val="000000"/>
                <w:sz w:val="22"/>
              </w:rPr>
              <w:t>2010. година</w:t>
            </w: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5.</w:t>
            </w:r>
          </w:p>
        </w:tc>
        <w:tc>
          <w:tcPr>
            <w:tcW w:w="2983" w:type="dxa"/>
            <w:tcBorders/>
            <w:vAlign w:val="center"/>
          </w:tcPr>
          <w:p>
            <w:pPr>
              <w:spacing w:after="0"/>
              <w:ind w:left="0"/>
              <w:jc w:val="left"/>
            </w:pPr>
            <w:r>
              <w:rPr>
                <w:rFonts w:ascii="Verdana"/>
                <w:b/>
                <w:i w:val="false"/>
                <w:color w:val="000000"/>
                <w:sz w:val="22"/>
              </w:rPr>
              <w:t>Формирање и примена адресног кода у Србији</w:t>
            </w:r>
          </w:p>
        </w:tc>
        <w:tc>
          <w:tcPr>
            <w:tcW w:w="4160" w:type="dxa"/>
            <w:tcBorders/>
            <w:vAlign w:val="center"/>
          </w:tcPr>
          <w:p/>
        </w:tc>
        <w:tc>
          <w:tcPr>
            <w:tcW w:w="2194" w:type="dxa"/>
            <w:tcBorders/>
            <w:vAlign w:val="center"/>
          </w:tcPr>
          <w:p/>
        </w:tc>
        <w:tc>
          <w:tcPr>
            <w:tcW w:w="2163" w:type="dxa"/>
            <w:tcBorders/>
            <w:vAlign w:val="center"/>
          </w:tcP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5.1</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Стандардизација адресног система у Србији</w:t>
            </w:r>
          </w:p>
        </w:tc>
        <w:tc>
          <w:tcPr>
            <w:tcW w:w="2194" w:type="dxa"/>
            <w:tcBorders/>
            <w:vAlign w:val="center"/>
          </w:tcPr>
          <w:p>
            <w:pPr>
              <w:spacing w:after="0"/>
              <w:ind w:left="0"/>
              <w:jc w:val="center"/>
            </w:pPr>
            <w:r>
              <w:rPr>
                <w:rFonts w:ascii="Verdana"/>
                <w:b/>
                <w:i w:val="false"/>
                <w:color w:val="000000"/>
                <w:sz w:val="22"/>
              </w:rPr>
              <w:t>Влада, Агенција, ЈПО</w:t>
            </w:r>
          </w:p>
        </w:tc>
        <w:tc>
          <w:tcPr>
            <w:tcW w:w="2163" w:type="dxa"/>
            <w:tcBorders/>
            <w:vAlign w:val="center"/>
          </w:tcPr>
          <w:p>
            <w:pPr>
              <w:spacing w:after="0"/>
              <w:ind w:left="0"/>
              <w:jc w:val="center"/>
            </w:pPr>
            <w:r>
              <w:rPr>
                <w:rFonts w:ascii="Verdana"/>
                <w:b/>
                <w:i w:val="false"/>
                <w:color w:val="000000"/>
                <w:sz w:val="22"/>
              </w:rPr>
              <w:t>крај 2010. године</w:t>
            </w:r>
          </w:p>
        </w:tc>
        <w:tc>
          <w:tcPr>
            <w:tcW w:w="1959" w:type="dxa"/>
            <w:tcBorders/>
            <w:vAlign w:val="center"/>
          </w:tcPr>
          <w:p>
            <w:pPr>
              <w:spacing w:after="0"/>
              <w:ind w:left="0"/>
              <w:jc w:val="center"/>
            </w:pPr>
            <w:r>
              <w:rPr>
                <w:rFonts w:ascii="Verdana"/>
                <w:b/>
                <w:i w:val="false"/>
                <w:color w:val="000000"/>
                <w:sz w:val="22"/>
              </w:rPr>
              <w:t>41 милион динара</w:t>
            </w:r>
          </w:p>
        </w:tc>
      </w:tr>
      <w:tr>
        <w:trPr/>
        <w:tc>
          <w:tcPr>
            <w:tcW w:w="941" w:type="dxa"/>
            <w:tcBorders/>
            <w:vAlign w:val="center"/>
          </w:tcPr>
          <w:p>
            <w:pPr>
              <w:spacing w:after="0"/>
              <w:ind w:left="0"/>
              <w:jc w:val="center"/>
            </w:pPr>
            <w:r>
              <w:rPr>
                <w:rFonts w:ascii="Verdana"/>
                <w:b/>
                <w:i w:val="false"/>
                <w:color w:val="000000"/>
                <w:sz w:val="22"/>
              </w:rPr>
              <w:t>5.2</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Увођење адресног кода примаоца у Србији као обавезног елемента адресе</w:t>
            </w:r>
          </w:p>
        </w:tc>
        <w:tc>
          <w:tcPr>
            <w:tcW w:w="2194" w:type="dxa"/>
            <w:tcBorders/>
            <w:vAlign w:val="center"/>
          </w:tcPr>
          <w:p>
            <w:pPr>
              <w:spacing w:after="0"/>
              <w:ind w:left="0"/>
              <w:jc w:val="center"/>
            </w:pPr>
            <w:r>
              <w:rPr>
                <w:rFonts w:ascii="Verdana"/>
                <w:b/>
                <w:i w:val="false"/>
                <w:color w:val="000000"/>
                <w:sz w:val="22"/>
              </w:rPr>
              <w:t>Народна скупштина, Влада</w:t>
            </w:r>
          </w:p>
        </w:tc>
        <w:tc>
          <w:tcPr>
            <w:tcW w:w="2163" w:type="dxa"/>
            <w:tcBorders/>
            <w:vAlign w:val="center"/>
          </w:tcPr>
          <w:p>
            <w:pPr>
              <w:spacing w:after="0"/>
              <w:ind w:left="0"/>
              <w:jc w:val="center"/>
            </w:pPr>
            <w:r>
              <w:rPr>
                <w:rFonts w:ascii="Verdana"/>
                <w:b/>
                <w:i w:val="false"/>
                <w:color w:val="000000"/>
                <w:sz w:val="22"/>
              </w:rPr>
              <w:t>крај 2010. године</w:t>
            </w: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5.3</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Интеграција свих база података државних органа које за један од атрибута користе адресне податке</w:t>
            </w:r>
          </w:p>
        </w:tc>
        <w:tc>
          <w:tcPr>
            <w:tcW w:w="2194" w:type="dxa"/>
            <w:tcBorders/>
            <w:vAlign w:val="center"/>
          </w:tcPr>
          <w:p>
            <w:pPr>
              <w:spacing w:after="0"/>
              <w:ind w:left="0"/>
              <w:jc w:val="center"/>
            </w:pPr>
            <w:r>
              <w:rPr>
                <w:rFonts w:ascii="Verdana"/>
                <w:b/>
                <w:i w:val="false"/>
                <w:color w:val="000000"/>
                <w:sz w:val="22"/>
              </w:rPr>
              <w:t>Влада</w:t>
            </w:r>
          </w:p>
        </w:tc>
        <w:tc>
          <w:tcPr>
            <w:tcW w:w="2163" w:type="dxa"/>
            <w:tcBorders/>
            <w:vAlign w:val="center"/>
          </w:tcPr>
          <w:p>
            <w:pPr>
              <w:spacing w:after="0"/>
              <w:ind w:left="0"/>
              <w:jc w:val="center"/>
            </w:pPr>
            <w:r>
              <w:rPr>
                <w:rFonts w:ascii="Verdana"/>
                <w:b/>
                <w:i w:val="false"/>
                <w:color w:val="000000"/>
                <w:sz w:val="22"/>
              </w:rPr>
              <w:t>крај 2010. године</w:t>
            </w: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5.4</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Вођење трајне евиденције о адресама у Србији</w:t>
            </w:r>
          </w:p>
        </w:tc>
        <w:tc>
          <w:tcPr>
            <w:tcW w:w="2194" w:type="dxa"/>
            <w:vMerge w:val="restart"/>
            <w:tcBorders/>
            <w:vAlign w:val="center"/>
          </w:tcPr>
          <w:p>
            <w:pPr>
              <w:spacing w:after="0"/>
              <w:ind w:left="0"/>
              <w:jc w:val="center"/>
            </w:pPr>
            <w:r>
              <w:rPr>
                <w:rFonts w:ascii="Verdana"/>
                <w:b/>
                <w:i w:val="false"/>
                <w:color w:val="000000"/>
                <w:sz w:val="22"/>
              </w:rPr>
              <w:t>ЈПО</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5.5</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Периодично објављивање Адресног именика Србије</w:t>
            </w:r>
          </w:p>
        </w:tc>
        <w:tc>
          <w:tcPr>
            <w:tcW w:w="0" w:type="auto"/>
            <w:vMerge/>
            <w:tcBorders>
              <w:top w:val="nil"/>
            </w:tcBorders>
          </w:tcP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6.</w:t>
            </w:r>
          </w:p>
        </w:tc>
        <w:tc>
          <w:tcPr>
            <w:tcW w:w="2983" w:type="dxa"/>
            <w:tcBorders/>
            <w:vAlign w:val="center"/>
          </w:tcPr>
          <w:p>
            <w:pPr>
              <w:spacing w:after="0"/>
              <w:ind w:left="0"/>
              <w:jc w:val="left"/>
            </w:pPr>
            <w:r>
              <w:rPr>
                <w:rFonts w:ascii="Verdana"/>
                <w:b/>
                <w:i w:val="false"/>
                <w:color w:val="000000"/>
                <w:sz w:val="22"/>
              </w:rPr>
              <w:t>Израда и примена Методологије обрачуна поштанских услуга на трошковном принципу и усклађене са стандардима ЕУ и захтевима УПУ</w:t>
            </w:r>
          </w:p>
        </w:tc>
        <w:tc>
          <w:tcPr>
            <w:tcW w:w="4160" w:type="dxa"/>
            <w:tcBorders/>
            <w:vAlign w:val="center"/>
          </w:tcPr>
          <w:p/>
        </w:tc>
        <w:tc>
          <w:tcPr>
            <w:tcW w:w="2194" w:type="dxa"/>
            <w:tcBorders/>
            <w:vAlign w:val="center"/>
          </w:tcPr>
          <w:p/>
        </w:tc>
        <w:tc>
          <w:tcPr>
            <w:tcW w:w="2163" w:type="dxa"/>
            <w:tcBorders/>
            <w:vAlign w:val="center"/>
          </w:tcP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6.1</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Обезбеђивање услова финансирања универзалне поштанске услуге</w:t>
            </w:r>
          </w:p>
        </w:tc>
        <w:tc>
          <w:tcPr>
            <w:tcW w:w="2194" w:type="dxa"/>
            <w:tcBorders/>
            <w:vAlign w:val="center"/>
          </w:tcPr>
          <w:p>
            <w:pPr>
              <w:spacing w:after="0"/>
              <w:ind w:left="0"/>
              <w:jc w:val="center"/>
            </w:pPr>
            <w:r>
              <w:rPr>
                <w:rFonts w:ascii="Verdana"/>
                <w:b/>
                <w:i w:val="false"/>
                <w:color w:val="000000"/>
                <w:sz w:val="22"/>
              </w:rPr>
              <w:t>Влада Министарство</w:t>
            </w:r>
          </w:p>
        </w:tc>
        <w:tc>
          <w:tcPr>
            <w:tcW w:w="2163" w:type="dxa"/>
            <w:tcBorders/>
            <w:vAlign w:val="center"/>
          </w:tcPr>
          <w:p>
            <w:pPr>
              <w:spacing w:after="0"/>
              <w:ind w:left="0"/>
              <w:jc w:val="center"/>
            </w:pPr>
            <w:r>
              <w:rPr>
                <w:rFonts w:ascii="Verdana"/>
                <w:b/>
                <w:i w:val="false"/>
                <w:color w:val="000000"/>
                <w:sz w:val="22"/>
              </w:rPr>
              <w:t>крај 2010. године</w:t>
            </w: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6.2</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Утврђивање Методологије обрачуна поштанских услуга на трошковном принципу усклађене са стандардима ЕУ и захтевима УПУ</w:t>
            </w:r>
          </w:p>
        </w:tc>
        <w:tc>
          <w:tcPr>
            <w:tcW w:w="2194" w:type="dxa"/>
            <w:tcBorders/>
            <w:vAlign w:val="center"/>
          </w:tcPr>
          <w:p>
            <w:pPr>
              <w:spacing w:after="0"/>
              <w:ind w:left="0"/>
              <w:jc w:val="center"/>
            </w:pPr>
            <w:r>
              <w:rPr>
                <w:rFonts w:ascii="Verdana"/>
                <w:b/>
                <w:i w:val="false"/>
                <w:color w:val="000000"/>
                <w:sz w:val="22"/>
              </w:rPr>
              <w:t>Влада, Министарство</w:t>
            </w:r>
          </w:p>
        </w:tc>
        <w:tc>
          <w:tcPr>
            <w:tcW w:w="2163" w:type="dxa"/>
            <w:tcBorders/>
            <w:vAlign w:val="center"/>
          </w:tcPr>
          <w:p>
            <w:pPr>
              <w:spacing w:after="0"/>
              <w:ind w:left="0"/>
              <w:jc w:val="center"/>
            </w:pPr>
            <w:r>
              <w:rPr>
                <w:rFonts w:ascii="Verdana"/>
                <w:b/>
                <w:i w:val="false"/>
                <w:color w:val="000000"/>
                <w:sz w:val="22"/>
              </w:rPr>
              <w:t>Септембар 2010. године</w:t>
            </w:r>
          </w:p>
        </w:tc>
        <w:tc>
          <w:tcPr>
            <w:tcW w:w="1959" w:type="dxa"/>
            <w:tcBorders/>
            <w:vAlign w:val="center"/>
          </w:tcPr>
          <w:p>
            <w:pPr>
              <w:spacing w:after="0"/>
              <w:ind w:left="0"/>
              <w:jc w:val="center"/>
            </w:pPr>
            <w:r>
              <w:rPr>
                <w:rFonts w:ascii="Verdana"/>
                <w:b/>
                <w:i w:val="false"/>
                <w:color w:val="000000"/>
                <w:sz w:val="22"/>
              </w:rPr>
              <w:t>8,85 милиона динара</w:t>
            </w:r>
          </w:p>
        </w:tc>
      </w:tr>
      <w:tr>
        <w:trPr/>
        <w:tc>
          <w:tcPr>
            <w:tcW w:w="941" w:type="dxa"/>
            <w:tcBorders/>
            <w:vAlign w:val="center"/>
          </w:tcPr>
          <w:p>
            <w:pPr>
              <w:spacing w:after="0"/>
              <w:ind w:left="0"/>
              <w:jc w:val="center"/>
            </w:pPr>
            <w:r>
              <w:rPr>
                <w:rFonts w:ascii="Verdana"/>
                <w:b/>
                <w:i w:val="false"/>
                <w:color w:val="000000"/>
                <w:sz w:val="22"/>
              </w:rPr>
              <w:t>6.2.1</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Примена Методологије обрачуна поштанских услуга на трошковном принципу</w:t>
            </w:r>
          </w:p>
        </w:tc>
        <w:tc>
          <w:tcPr>
            <w:tcW w:w="2194" w:type="dxa"/>
            <w:tcBorders/>
            <w:vAlign w:val="center"/>
          </w:tcPr>
          <w:p>
            <w:pPr>
              <w:spacing w:after="0"/>
              <w:ind w:left="0"/>
              <w:jc w:val="center"/>
            </w:pPr>
            <w:r>
              <w:rPr>
                <w:rFonts w:ascii="Verdana"/>
                <w:b/>
                <w:i w:val="false"/>
                <w:color w:val="000000"/>
                <w:sz w:val="22"/>
              </w:rPr>
              <w:t>ЈПО</w:t>
            </w:r>
          </w:p>
        </w:tc>
        <w:tc>
          <w:tcPr>
            <w:tcW w:w="2163" w:type="dxa"/>
            <w:tcBorders/>
            <w:vAlign w:val="center"/>
          </w:tcPr>
          <w:p>
            <w:pPr>
              <w:spacing w:after="0"/>
              <w:ind w:left="0"/>
              <w:jc w:val="center"/>
            </w:pPr>
            <w:r>
              <w:rPr>
                <w:rFonts w:ascii="Verdana"/>
                <w:b/>
                <w:i w:val="false"/>
                <w:color w:val="000000"/>
                <w:sz w:val="22"/>
              </w:rPr>
              <w:t>јун 2011. године</w:t>
            </w: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6.3</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Утврђивање тарифних ставова за универзалну, и лимита по маси и цени за резервисану поштанску услугу</w:t>
            </w:r>
          </w:p>
        </w:tc>
        <w:tc>
          <w:tcPr>
            <w:tcW w:w="2194" w:type="dxa"/>
            <w:tcBorders/>
            <w:vAlign w:val="center"/>
          </w:tcPr>
          <w:p>
            <w:pPr>
              <w:spacing w:after="0"/>
              <w:ind w:left="0"/>
              <w:jc w:val="center"/>
            </w:pPr>
            <w:r>
              <w:rPr>
                <w:rFonts w:ascii="Verdana"/>
                <w:b/>
                <w:i w:val="false"/>
                <w:color w:val="000000"/>
                <w:sz w:val="22"/>
              </w:rPr>
              <w:t>Влада, Агенција</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tc>
      </w:tr>
      <w:tr>
        <w:trPr/>
        <w:tc>
          <w:tcPr>
            <w:tcW w:w="941" w:type="dxa"/>
            <w:tcBorders/>
            <w:vAlign w:val="center"/>
          </w:tcPr>
          <w:p>
            <w:pPr>
              <w:spacing w:after="0"/>
              <w:ind w:left="0"/>
              <w:jc w:val="left"/>
            </w:pPr>
            <w:r>
              <w:rPr>
                <w:rFonts w:ascii="Verdana"/>
                <w:b/>
                <w:i w:val="false"/>
                <w:color w:val="000000"/>
                <w:sz w:val="22"/>
              </w:rPr>
              <w:t>   6.4</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Контролисано смањење лимита за резервисане поштанске услуге сходно директивама ЕУ, препорукама УПУ и интересима Републике Србије</w:t>
            </w:r>
          </w:p>
        </w:tc>
        <w:tc>
          <w:tcPr>
            <w:tcW w:w="2194" w:type="dxa"/>
            <w:tcBorders/>
            <w:vAlign w:val="center"/>
          </w:tcPr>
          <w:p>
            <w:pPr>
              <w:spacing w:after="0"/>
              <w:ind w:left="0"/>
              <w:jc w:val="center"/>
            </w:pPr>
            <w:r>
              <w:rPr>
                <w:rFonts w:ascii="Verdana"/>
                <w:b/>
                <w:i w:val="false"/>
                <w:color w:val="000000"/>
                <w:sz w:val="22"/>
              </w:rPr>
              <w:t>Народна скупштина, Влада, Агенција</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tc>
      </w:tr>
      <w:tr>
        <w:trPr/>
        <w:tc>
          <w:tcPr>
            <w:tcW w:w="941" w:type="dxa"/>
            <w:tcBorders/>
            <w:vAlign w:val="center"/>
          </w:tcPr>
          <w:p>
            <w:pPr>
              <w:spacing w:after="0"/>
              <w:ind w:left="0"/>
              <w:jc w:val="left"/>
            </w:pPr>
            <w:r>
              <w:rPr>
                <w:rFonts w:ascii="Verdana"/>
                <w:b/>
                <w:i w:val="false"/>
                <w:color w:val="000000"/>
                <w:sz w:val="22"/>
              </w:rPr>
              <w:t> 6.4.1</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Отпочињање примене прописа за писмоносне пошиљке до 100 г, упутнице у класичној и електронској форми, судска писмена и писмена по управном и прекршајном поступку</w:t>
            </w:r>
          </w:p>
        </w:tc>
        <w:tc>
          <w:tcPr>
            <w:tcW w:w="2194" w:type="dxa"/>
            <w:tcBorders/>
            <w:vAlign w:val="center"/>
          </w:tcPr>
          <w:p>
            <w:pPr>
              <w:spacing w:after="0"/>
              <w:ind w:left="0"/>
              <w:jc w:val="center"/>
            </w:pPr>
            <w:r>
              <w:rPr>
                <w:rFonts w:ascii="Verdana"/>
                <w:b/>
                <w:i w:val="false"/>
                <w:color w:val="000000"/>
                <w:sz w:val="22"/>
              </w:rPr>
              <w:t>Народна скупштина, Влада, Агенција</w:t>
            </w:r>
          </w:p>
        </w:tc>
        <w:tc>
          <w:tcPr>
            <w:tcW w:w="2163" w:type="dxa"/>
            <w:tcBorders/>
            <w:vAlign w:val="center"/>
          </w:tcPr>
          <w:p>
            <w:pPr>
              <w:spacing w:after="0"/>
              <w:ind w:left="0"/>
              <w:jc w:val="center"/>
            </w:pPr>
            <w:r>
              <w:rPr>
                <w:rFonts w:ascii="Verdana"/>
                <w:b/>
                <w:i w:val="false"/>
                <w:color w:val="000000"/>
                <w:sz w:val="22"/>
              </w:rPr>
              <w:t>крај јуна 2010. године</w:t>
            </w:r>
          </w:p>
        </w:tc>
        <w:tc>
          <w:tcPr>
            <w:tcW w:w="1959" w:type="dxa"/>
            <w:tcBorders/>
            <w:vAlign w:val="center"/>
          </w:tcPr>
          <w:p/>
        </w:tc>
      </w:tr>
      <w:tr>
        <w:trPr/>
        <w:tc>
          <w:tcPr>
            <w:tcW w:w="941" w:type="dxa"/>
            <w:tcBorders/>
            <w:vAlign w:val="center"/>
          </w:tcPr>
          <w:p>
            <w:pPr>
              <w:spacing w:after="0"/>
              <w:ind w:left="0"/>
              <w:jc w:val="left"/>
            </w:pPr>
            <w:r>
              <w:rPr>
                <w:rFonts w:ascii="Verdana"/>
                <w:b/>
                <w:i w:val="false"/>
                <w:color w:val="000000"/>
                <w:sz w:val="22"/>
              </w:rPr>
              <w:t> 6.4.2</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Отпочињање примене прописа за писмоносне пошиљке до 50 г, упутнице у класичној и електронској форми, судска писмена и писмена по управном и прекршајном поступку</w:t>
            </w:r>
          </w:p>
        </w:tc>
        <w:tc>
          <w:tcPr>
            <w:tcW w:w="2194" w:type="dxa"/>
            <w:tcBorders/>
            <w:vAlign w:val="center"/>
          </w:tcPr>
          <w:p>
            <w:pPr>
              <w:spacing w:after="0"/>
              <w:ind w:left="0"/>
              <w:jc w:val="center"/>
            </w:pPr>
            <w:r>
              <w:rPr>
                <w:rFonts w:ascii="Verdana"/>
                <w:b/>
                <w:i w:val="false"/>
                <w:color w:val="000000"/>
                <w:sz w:val="22"/>
              </w:rPr>
              <w:t>Влада, Агенција</w:t>
            </w:r>
          </w:p>
        </w:tc>
        <w:tc>
          <w:tcPr>
            <w:tcW w:w="2163" w:type="dxa"/>
            <w:tcBorders/>
            <w:vAlign w:val="center"/>
          </w:tcPr>
          <w:p>
            <w:pPr>
              <w:spacing w:after="0"/>
              <w:ind w:left="0"/>
              <w:jc w:val="center"/>
            </w:pPr>
            <w:r>
              <w:rPr>
                <w:rFonts w:ascii="Verdana"/>
                <w:b/>
                <w:i w:val="false"/>
                <w:color w:val="000000"/>
                <w:sz w:val="22"/>
              </w:rPr>
              <w:t>почетак 2012. године</w:t>
            </w:r>
          </w:p>
        </w:tc>
        <w:tc>
          <w:tcPr>
            <w:tcW w:w="1959" w:type="dxa"/>
            <w:tcBorders/>
            <w:vAlign w:val="center"/>
          </w:tcPr>
          <w:p/>
        </w:tc>
      </w:tr>
      <w:tr>
        <w:trPr/>
        <w:tc>
          <w:tcPr>
            <w:tcW w:w="941" w:type="dxa"/>
            <w:tcBorders/>
            <w:vAlign w:val="center"/>
          </w:tcPr>
          <w:p>
            <w:pPr>
              <w:spacing w:after="0"/>
              <w:ind w:left="0"/>
              <w:jc w:val="left"/>
            </w:pPr>
            <w:r>
              <w:rPr>
                <w:rFonts w:ascii="Verdana"/>
                <w:b/>
                <w:i w:val="false"/>
                <w:color w:val="000000"/>
                <w:sz w:val="22"/>
              </w:rPr>
              <w:t>6.4.3</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Потпуна либерализација тржишта поштанских услуга</w:t>
            </w:r>
          </w:p>
        </w:tc>
        <w:tc>
          <w:tcPr>
            <w:tcW w:w="2194" w:type="dxa"/>
            <w:tcBorders/>
            <w:vAlign w:val="center"/>
          </w:tcPr>
          <w:p>
            <w:pPr>
              <w:spacing w:after="0"/>
              <w:ind w:left="0"/>
              <w:jc w:val="center"/>
            </w:pPr>
            <w:r>
              <w:rPr>
                <w:rFonts w:ascii="Verdana"/>
                <w:b/>
                <w:i w:val="false"/>
                <w:color w:val="000000"/>
                <w:sz w:val="22"/>
              </w:rPr>
              <w:t>Влада, Агенција</w:t>
            </w:r>
          </w:p>
        </w:tc>
        <w:tc>
          <w:tcPr>
            <w:tcW w:w="2163" w:type="dxa"/>
            <w:tcBorders/>
            <w:vAlign w:val="center"/>
          </w:tcPr>
          <w:p>
            <w:pPr>
              <w:spacing w:after="0"/>
              <w:ind w:left="0"/>
              <w:jc w:val="center"/>
            </w:pPr>
            <w:r>
              <w:rPr>
                <w:rFonts w:ascii="Verdana"/>
                <w:b/>
                <w:i w:val="false"/>
                <w:color w:val="000000"/>
                <w:sz w:val="22"/>
              </w:rPr>
              <w:t>после 2012. године</w:t>
            </w:r>
          </w:p>
        </w:tc>
        <w:tc>
          <w:tcPr>
            <w:tcW w:w="1959" w:type="dxa"/>
            <w:tcBorders/>
            <w:vAlign w:val="center"/>
          </w:tcPr>
          <w:p/>
        </w:tc>
      </w:tr>
      <w:tr>
        <w:trPr/>
        <w:tc>
          <w:tcPr>
            <w:tcW w:w="941" w:type="dxa"/>
            <w:tcBorders/>
            <w:vAlign w:val="center"/>
          </w:tcPr>
          <w:p>
            <w:pPr>
              <w:spacing w:after="0"/>
              <w:ind w:left="0"/>
              <w:jc w:val="left"/>
            </w:pPr>
            <w:r>
              <w:rPr>
                <w:rFonts w:ascii="Verdana"/>
                <w:b/>
                <w:i w:val="false"/>
                <w:color w:val="000000"/>
                <w:sz w:val="22"/>
              </w:rPr>
              <w:t>6.5</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Ограничење периода наплате доплатне марке</w:t>
            </w:r>
          </w:p>
        </w:tc>
        <w:tc>
          <w:tcPr>
            <w:tcW w:w="2194" w:type="dxa"/>
            <w:tcBorders/>
            <w:vAlign w:val="center"/>
          </w:tcPr>
          <w:p>
            <w:pPr>
              <w:spacing w:after="0"/>
              <w:ind w:left="0"/>
              <w:jc w:val="center"/>
            </w:pPr>
            <w:r>
              <w:rPr>
                <w:rFonts w:ascii="Verdana"/>
                <w:b/>
                <w:i w:val="false"/>
                <w:color w:val="000000"/>
                <w:sz w:val="22"/>
              </w:rPr>
              <w:t>Влада</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7.</w:t>
            </w:r>
          </w:p>
        </w:tc>
        <w:tc>
          <w:tcPr>
            <w:tcW w:w="2983" w:type="dxa"/>
            <w:tcBorders/>
            <w:vAlign w:val="center"/>
          </w:tcPr>
          <w:p>
            <w:pPr>
              <w:spacing w:after="0"/>
              <w:ind w:left="0"/>
              <w:jc w:val="left"/>
            </w:pPr>
            <w:r>
              <w:rPr>
                <w:rFonts w:ascii="Verdana"/>
                <w:b/>
                <w:i w:val="false"/>
                <w:color w:val="000000"/>
                <w:sz w:val="22"/>
              </w:rPr>
              <w:t>Постепено увођење конкуренције на тржиште поштанских услуга</w:t>
            </w:r>
          </w:p>
        </w:tc>
        <w:tc>
          <w:tcPr>
            <w:tcW w:w="4160" w:type="dxa"/>
            <w:tcBorders/>
            <w:vAlign w:val="center"/>
          </w:tcPr>
          <w:p/>
        </w:tc>
        <w:tc>
          <w:tcPr>
            <w:tcW w:w="2194" w:type="dxa"/>
            <w:tcBorders/>
            <w:vAlign w:val="center"/>
          </w:tcPr>
          <w:p/>
        </w:tc>
        <w:tc>
          <w:tcPr>
            <w:tcW w:w="2163" w:type="dxa"/>
            <w:tcBorders/>
            <w:vAlign w:val="center"/>
          </w:tcP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7.1</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Издавање дозвола за отпочињање обављања поштанских услуга</w:t>
            </w:r>
          </w:p>
        </w:tc>
        <w:tc>
          <w:tcPr>
            <w:tcW w:w="2194" w:type="dxa"/>
            <w:tcBorders/>
            <w:vAlign w:val="center"/>
          </w:tcPr>
          <w:p>
            <w:pPr>
              <w:spacing w:after="0"/>
              <w:ind w:left="0"/>
              <w:jc w:val="center"/>
            </w:pPr>
            <w:r>
              <w:rPr>
                <w:rFonts w:ascii="Verdana"/>
                <w:b/>
                <w:i w:val="false"/>
                <w:color w:val="000000"/>
                <w:sz w:val="22"/>
              </w:rPr>
              <w:t>Агенција</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pPr>
              <w:spacing w:after="0"/>
              <w:ind w:left="0"/>
              <w:jc w:val="center"/>
            </w:pPr>
            <w:r>
              <w:rPr>
                <w:rFonts w:ascii="Verdana"/>
                <w:b/>
                <w:i w:val="false"/>
                <w:color w:val="000000"/>
                <w:sz w:val="22"/>
              </w:rPr>
              <w:t>/</w:t>
            </w:r>
          </w:p>
        </w:tc>
      </w:tr>
      <w:tr>
        <w:trPr/>
        <w:tc>
          <w:tcPr>
            <w:tcW w:w="941" w:type="dxa"/>
            <w:tcBorders/>
            <w:vAlign w:val="center"/>
          </w:tcPr>
          <w:p>
            <w:pPr>
              <w:spacing w:after="0"/>
              <w:ind w:left="0"/>
              <w:jc w:val="center"/>
            </w:pPr>
            <w:r>
              <w:rPr>
                <w:rFonts w:ascii="Verdana"/>
                <w:b/>
                <w:i w:val="false"/>
                <w:color w:val="000000"/>
                <w:sz w:val="22"/>
              </w:rPr>
              <w:t>7.2</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Обављање поштанских услуга у складу са дозволама</w:t>
            </w:r>
          </w:p>
        </w:tc>
        <w:tc>
          <w:tcPr>
            <w:tcW w:w="2194" w:type="dxa"/>
            <w:tcBorders/>
            <w:vAlign w:val="center"/>
          </w:tcPr>
          <w:p>
            <w:pPr>
              <w:spacing w:after="0"/>
              <w:ind w:left="0"/>
              <w:jc w:val="center"/>
            </w:pPr>
            <w:r>
              <w:rPr>
                <w:rFonts w:ascii="Verdana"/>
                <w:b/>
                <w:i w:val="false"/>
                <w:color w:val="000000"/>
                <w:sz w:val="22"/>
              </w:rPr>
              <w:t>Министарство,</w:t>
            </w:r>
          </w:p>
          <w:p>
            <w:pPr>
              <w:spacing w:after="0"/>
              <w:ind w:left="0"/>
              <w:jc w:val="center"/>
            </w:pPr>
            <w:r>
              <w:rPr>
                <w:rFonts w:ascii="Verdana"/>
                <w:b/>
                <w:i w:val="false"/>
                <w:color w:val="000000"/>
                <w:sz w:val="22"/>
              </w:rPr>
              <w:t>поштански оператори</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pPr>
              <w:spacing w:after="0"/>
              <w:ind w:left="0"/>
              <w:jc w:val="center"/>
            </w:pPr>
            <w:r>
              <w:rPr>
                <w:rFonts w:ascii="Verdana"/>
                <w:b/>
                <w:i w:val="false"/>
                <w:color w:val="000000"/>
                <w:sz w:val="22"/>
              </w:rPr>
              <w:t>до 0,5 % од оствареног прихода поштанских оператора за обављање поштанских услуга</w:t>
            </w:r>
          </w:p>
        </w:tc>
      </w:tr>
      <w:tr>
        <w:trPr/>
        <w:tc>
          <w:tcPr>
            <w:tcW w:w="941" w:type="dxa"/>
            <w:tcBorders/>
            <w:vAlign w:val="center"/>
          </w:tcPr>
          <w:p>
            <w:pPr>
              <w:spacing w:after="0"/>
              <w:ind w:left="0"/>
              <w:jc w:val="center"/>
            </w:pPr>
            <w:r>
              <w:rPr>
                <w:rFonts w:ascii="Verdana"/>
                <w:b/>
                <w:i w:val="false"/>
                <w:color w:val="000000"/>
                <w:sz w:val="22"/>
              </w:rPr>
              <w:t>7.3</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Усвајање нових сазнања о тржишту и развоју поштанских услуга</w:t>
            </w:r>
          </w:p>
        </w:tc>
        <w:tc>
          <w:tcPr>
            <w:tcW w:w="2194" w:type="dxa"/>
            <w:tcBorders/>
            <w:vAlign w:val="center"/>
          </w:tcPr>
          <w:p>
            <w:pPr>
              <w:spacing w:after="0"/>
              <w:ind w:left="0"/>
              <w:jc w:val="center"/>
            </w:pPr>
            <w:r>
              <w:rPr>
                <w:rFonts w:ascii="Verdana"/>
                <w:b/>
                <w:i w:val="false"/>
                <w:color w:val="000000"/>
                <w:sz w:val="22"/>
              </w:rPr>
              <w:t>Агенција, поштански оператори</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pPr>
              <w:spacing w:after="0"/>
              <w:ind w:left="0"/>
              <w:jc w:val="center"/>
            </w:pPr>
            <w:r>
              <w:rPr>
                <w:rFonts w:ascii="Verdana"/>
                <w:b/>
                <w:i w:val="false"/>
                <w:color w:val="000000"/>
                <w:sz w:val="22"/>
              </w:rPr>
              <w:t>/</w:t>
            </w:r>
          </w:p>
        </w:tc>
      </w:tr>
      <w:tr>
        <w:trPr/>
        <w:tc>
          <w:tcPr>
            <w:tcW w:w="941" w:type="dxa"/>
            <w:tcBorders/>
            <w:vAlign w:val="center"/>
          </w:tcPr>
          <w:p>
            <w:pPr>
              <w:spacing w:after="0"/>
              <w:ind w:left="0"/>
              <w:jc w:val="center"/>
            </w:pPr>
            <w:r>
              <w:rPr>
                <w:rFonts w:ascii="Verdana"/>
                <w:b/>
                <w:i w:val="false"/>
                <w:color w:val="000000"/>
                <w:sz w:val="22"/>
              </w:rPr>
              <w:t>7.4</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Усаглашавање захтева слободног тржишта и конкуренције</w:t>
            </w:r>
          </w:p>
        </w:tc>
        <w:tc>
          <w:tcPr>
            <w:tcW w:w="2194" w:type="dxa"/>
            <w:tcBorders/>
            <w:vAlign w:val="center"/>
          </w:tcPr>
          <w:p>
            <w:pPr>
              <w:spacing w:after="0"/>
              <w:ind w:left="0"/>
              <w:jc w:val="center"/>
            </w:pPr>
            <w:r>
              <w:rPr>
                <w:rFonts w:ascii="Verdana"/>
                <w:b/>
                <w:i w:val="false"/>
                <w:color w:val="000000"/>
                <w:sz w:val="22"/>
              </w:rPr>
              <w:t>Агенција</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pPr>
              <w:spacing w:after="0"/>
              <w:ind w:left="0"/>
              <w:jc w:val="center"/>
            </w:pPr>
            <w:r>
              <w:rPr>
                <w:rFonts w:ascii="Verdana"/>
                <w:b/>
                <w:i w:val="false"/>
                <w:color w:val="000000"/>
                <w:sz w:val="22"/>
              </w:rPr>
              <w:t>/</w:t>
            </w:r>
          </w:p>
        </w:tc>
      </w:tr>
      <w:tr>
        <w:trPr/>
        <w:tc>
          <w:tcPr>
            <w:tcW w:w="941" w:type="dxa"/>
            <w:tcBorders/>
            <w:vAlign w:val="center"/>
          </w:tcPr>
          <w:p>
            <w:pPr>
              <w:spacing w:after="0"/>
              <w:ind w:left="0"/>
              <w:jc w:val="center"/>
            </w:pPr>
            <w:r>
              <w:rPr>
                <w:rFonts w:ascii="Verdana"/>
                <w:b/>
                <w:i w:val="false"/>
                <w:color w:val="000000"/>
                <w:sz w:val="22"/>
              </w:rPr>
              <w:t>7.5</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Увођење нових поштанских услуга</w:t>
            </w:r>
          </w:p>
        </w:tc>
        <w:tc>
          <w:tcPr>
            <w:tcW w:w="2194" w:type="dxa"/>
            <w:tcBorders/>
            <w:vAlign w:val="center"/>
          </w:tcPr>
          <w:p>
            <w:pPr>
              <w:spacing w:after="0"/>
              <w:ind w:left="0"/>
              <w:jc w:val="center"/>
            </w:pPr>
            <w:r>
              <w:rPr>
                <w:rFonts w:ascii="Verdana"/>
                <w:b/>
                <w:i w:val="false"/>
                <w:color w:val="000000"/>
                <w:sz w:val="22"/>
              </w:rPr>
              <w:t>поштански оператори</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pPr>
              <w:spacing w:after="0"/>
              <w:ind w:left="0"/>
              <w:jc w:val="center"/>
            </w:pPr>
            <w:r>
              <w:rPr>
                <w:rFonts w:ascii="Verdana"/>
                <w:b/>
                <w:i w:val="false"/>
                <w:color w:val="000000"/>
                <w:sz w:val="22"/>
              </w:rPr>
              <w:t>/</w:t>
            </w:r>
          </w:p>
        </w:tc>
      </w:tr>
      <w:tr>
        <w:trPr/>
        <w:tc>
          <w:tcPr>
            <w:tcW w:w="941" w:type="dxa"/>
            <w:tcBorders/>
            <w:vAlign w:val="center"/>
          </w:tcPr>
          <w:p>
            <w:pPr>
              <w:spacing w:after="0"/>
              <w:ind w:left="0"/>
              <w:jc w:val="center"/>
            </w:pPr>
            <w:r>
              <w:rPr>
                <w:rFonts w:ascii="Verdana"/>
                <w:b/>
                <w:i w:val="false"/>
                <w:color w:val="000000"/>
                <w:sz w:val="22"/>
              </w:rPr>
              <w:t>8.</w:t>
            </w:r>
          </w:p>
        </w:tc>
        <w:tc>
          <w:tcPr>
            <w:tcW w:w="2983" w:type="dxa"/>
            <w:tcBorders/>
            <w:vAlign w:val="center"/>
          </w:tcPr>
          <w:p>
            <w:pPr>
              <w:spacing w:after="0"/>
              <w:ind w:left="0"/>
              <w:jc w:val="left"/>
            </w:pPr>
            <w:r>
              <w:rPr>
                <w:rFonts w:ascii="Verdana"/>
                <w:b/>
                <w:i w:val="false"/>
                <w:color w:val="000000"/>
                <w:sz w:val="22"/>
              </w:rPr>
              <w:t>Достизање стандарда квалитета поштанских услуга у ЕУ</w:t>
            </w:r>
          </w:p>
        </w:tc>
        <w:tc>
          <w:tcPr>
            <w:tcW w:w="4160" w:type="dxa"/>
            <w:tcBorders/>
            <w:vAlign w:val="center"/>
          </w:tcPr>
          <w:p/>
        </w:tc>
        <w:tc>
          <w:tcPr>
            <w:tcW w:w="2194" w:type="dxa"/>
            <w:tcBorders/>
            <w:vAlign w:val="center"/>
          </w:tcPr>
          <w:p/>
        </w:tc>
        <w:tc>
          <w:tcPr>
            <w:tcW w:w="2163" w:type="dxa"/>
            <w:tcBorders/>
            <w:vAlign w:val="center"/>
          </w:tcP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8.1</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Утврђивање стандарда квалитета и хармонизација са међународним стандардима</w:t>
            </w:r>
          </w:p>
        </w:tc>
        <w:tc>
          <w:tcPr>
            <w:tcW w:w="2194" w:type="dxa"/>
            <w:tcBorders/>
            <w:vAlign w:val="center"/>
          </w:tcPr>
          <w:p>
            <w:pPr>
              <w:spacing w:after="0"/>
              <w:ind w:left="0"/>
              <w:jc w:val="center"/>
            </w:pPr>
            <w:r>
              <w:rPr>
                <w:rFonts w:ascii="Verdana"/>
                <w:b/>
                <w:i w:val="false"/>
                <w:color w:val="000000"/>
                <w:sz w:val="22"/>
              </w:rPr>
              <w:t>Агенција</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pPr>
              <w:spacing w:after="0"/>
              <w:ind w:left="0"/>
              <w:jc w:val="center"/>
            </w:pPr>
            <w:r>
              <w:rPr>
                <w:rFonts w:ascii="Verdana"/>
                <w:b/>
                <w:i w:val="false"/>
                <w:color w:val="000000"/>
                <w:sz w:val="22"/>
              </w:rPr>
              <w:t>/</w:t>
            </w:r>
          </w:p>
        </w:tc>
      </w:tr>
      <w:tr>
        <w:trPr/>
        <w:tc>
          <w:tcPr>
            <w:tcW w:w="941" w:type="dxa"/>
            <w:tcBorders/>
            <w:vAlign w:val="center"/>
          </w:tcPr>
          <w:p>
            <w:pPr>
              <w:spacing w:after="0"/>
              <w:ind w:left="0"/>
              <w:jc w:val="center"/>
            </w:pPr>
            <w:r>
              <w:rPr>
                <w:rFonts w:ascii="Verdana"/>
                <w:b/>
                <w:i w:val="false"/>
                <w:color w:val="000000"/>
                <w:sz w:val="22"/>
              </w:rPr>
              <w:t>8.1.1</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Постизање стандарда квалитета Д+3 за пренос поштанских пошиљака у међународном саобраћају за 75 % поштанских пошиљака.</w:t>
            </w:r>
          </w:p>
        </w:tc>
        <w:tc>
          <w:tcPr>
            <w:tcW w:w="2194" w:type="dxa"/>
            <w:tcBorders/>
            <w:vAlign w:val="center"/>
          </w:tcPr>
          <w:p>
            <w:pPr>
              <w:spacing w:after="0"/>
              <w:ind w:left="0"/>
              <w:jc w:val="center"/>
            </w:pPr>
            <w:r>
              <w:rPr>
                <w:rFonts w:ascii="Verdana"/>
                <w:b/>
                <w:i w:val="false"/>
                <w:color w:val="000000"/>
                <w:sz w:val="22"/>
              </w:rPr>
              <w:t>Агенција, поштански оператори</w:t>
            </w:r>
          </w:p>
        </w:tc>
        <w:tc>
          <w:tcPr>
            <w:tcW w:w="2163" w:type="dxa"/>
            <w:tcBorders/>
            <w:vAlign w:val="center"/>
          </w:tcPr>
          <w:p>
            <w:pPr>
              <w:spacing w:after="0"/>
              <w:ind w:left="0"/>
              <w:jc w:val="center"/>
            </w:pPr>
            <w:r>
              <w:rPr>
                <w:rFonts w:ascii="Verdana"/>
                <w:b/>
                <w:i w:val="false"/>
                <w:color w:val="000000"/>
                <w:sz w:val="22"/>
              </w:rPr>
              <w:t>до краја 2010. године</w:t>
            </w:r>
          </w:p>
        </w:tc>
        <w:tc>
          <w:tcPr>
            <w:tcW w:w="1959" w:type="dxa"/>
            <w:tcBorders/>
            <w:vAlign w:val="center"/>
          </w:tcPr>
          <w:p>
            <w:pPr>
              <w:spacing w:after="0"/>
              <w:ind w:left="0"/>
              <w:jc w:val="center"/>
            </w:pPr>
            <w:r>
              <w:rPr>
                <w:rFonts w:ascii="Verdana"/>
                <w:b/>
                <w:i w:val="false"/>
                <w:color w:val="000000"/>
                <w:sz w:val="22"/>
              </w:rPr>
              <w:t>6,54 милијарде динара</w:t>
            </w:r>
          </w:p>
        </w:tc>
      </w:tr>
      <w:tr>
        <w:trPr/>
        <w:tc>
          <w:tcPr>
            <w:tcW w:w="941" w:type="dxa"/>
            <w:tcBorders/>
            <w:vAlign w:val="center"/>
          </w:tcPr>
          <w:p>
            <w:pPr>
              <w:spacing w:after="0"/>
              <w:ind w:left="0"/>
              <w:jc w:val="center"/>
            </w:pPr>
            <w:r>
              <w:rPr>
                <w:rFonts w:ascii="Verdana"/>
                <w:b/>
                <w:i w:val="false"/>
                <w:color w:val="000000"/>
                <w:sz w:val="22"/>
              </w:rPr>
              <w:t>8.1.2</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Постизање стандарда квалитета Д+3 за пренос поштанских пошиљака у међународном саобраћају за 85 % поштанских пошиљака.</w:t>
            </w:r>
          </w:p>
        </w:tc>
        <w:tc>
          <w:tcPr>
            <w:tcW w:w="2194" w:type="dxa"/>
            <w:tcBorders/>
            <w:vAlign w:val="center"/>
          </w:tcPr>
          <w:p>
            <w:pPr>
              <w:spacing w:after="0"/>
              <w:ind w:left="0"/>
              <w:jc w:val="center"/>
            </w:pPr>
            <w:r>
              <w:rPr>
                <w:rFonts w:ascii="Verdana"/>
                <w:b/>
                <w:i w:val="false"/>
                <w:color w:val="000000"/>
                <w:sz w:val="22"/>
              </w:rPr>
              <w:t>Агенција, поштански оператори</w:t>
            </w:r>
          </w:p>
        </w:tc>
        <w:tc>
          <w:tcPr>
            <w:tcW w:w="2163" w:type="dxa"/>
            <w:tcBorders/>
            <w:vAlign w:val="center"/>
          </w:tcPr>
          <w:p>
            <w:pPr>
              <w:spacing w:after="0"/>
              <w:ind w:left="0"/>
              <w:jc w:val="center"/>
            </w:pPr>
            <w:r>
              <w:rPr>
                <w:rFonts w:ascii="Verdana"/>
                <w:b/>
                <w:i w:val="false"/>
                <w:color w:val="000000"/>
                <w:sz w:val="22"/>
              </w:rPr>
              <w:t>до краја 2012. године</w:t>
            </w:r>
          </w:p>
        </w:tc>
        <w:tc>
          <w:tcPr>
            <w:tcW w:w="1959" w:type="dxa"/>
            <w:tcBorders/>
            <w:vAlign w:val="center"/>
          </w:tcPr>
          <w:p/>
        </w:tc>
      </w:tr>
      <w:tr>
        <w:trPr/>
        <w:tc>
          <w:tcPr>
            <w:tcW w:w="941" w:type="dxa"/>
            <w:tcBorders/>
            <w:vAlign w:val="center"/>
          </w:tcPr>
          <w:p>
            <w:pPr>
              <w:spacing w:after="0"/>
              <w:ind w:left="0"/>
              <w:jc w:val="left"/>
            </w:pPr>
            <w:r>
              <w:rPr>
                <w:rFonts w:ascii="Verdana"/>
                <w:b/>
                <w:i w:val="false"/>
                <w:color w:val="000000"/>
                <w:sz w:val="22"/>
              </w:rPr>
              <w:t>8.1.3</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Постизање стандарда квалитета Д+2 за пренос поштанских пошиљака у унутрашњем саобраћају за 90 % поштанских пошиљака.</w:t>
            </w:r>
          </w:p>
        </w:tc>
        <w:tc>
          <w:tcPr>
            <w:tcW w:w="2194" w:type="dxa"/>
            <w:tcBorders/>
            <w:vAlign w:val="center"/>
          </w:tcPr>
          <w:p>
            <w:pPr>
              <w:spacing w:after="0"/>
              <w:ind w:left="0"/>
              <w:jc w:val="center"/>
            </w:pPr>
            <w:r>
              <w:rPr>
                <w:rFonts w:ascii="Verdana"/>
                <w:b/>
                <w:i w:val="false"/>
                <w:color w:val="000000"/>
                <w:sz w:val="22"/>
              </w:rPr>
              <w:t>Агенција, поштански оператори</w:t>
            </w:r>
          </w:p>
        </w:tc>
        <w:tc>
          <w:tcPr>
            <w:tcW w:w="2163" w:type="dxa"/>
            <w:tcBorders/>
            <w:vAlign w:val="center"/>
          </w:tcPr>
          <w:p>
            <w:pPr>
              <w:spacing w:after="0"/>
              <w:ind w:left="0"/>
              <w:jc w:val="center"/>
            </w:pPr>
            <w:r>
              <w:rPr>
                <w:rFonts w:ascii="Verdana"/>
                <w:b/>
                <w:i w:val="false"/>
                <w:color w:val="000000"/>
                <w:sz w:val="22"/>
              </w:rPr>
              <w:t>до краја 2010. године</w:t>
            </w:r>
          </w:p>
        </w:tc>
        <w:tc>
          <w:tcPr>
            <w:tcW w:w="1959" w:type="dxa"/>
            <w:tcBorders/>
            <w:vAlign w:val="center"/>
          </w:tcPr>
          <w:p/>
        </w:tc>
      </w:tr>
      <w:tr>
        <w:trPr/>
        <w:tc>
          <w:tcPr>
            <w:tcW w:w="941" w:type="dxa"/>
            <w:tcBorders/>
            <w:vAlign w:val="center"/>
          </w:tcPr>
          <w:p>
            <w:pPr>
              <w:spacing w:after="0"/>
              <w:ind w:left="0"/>
              <w:jc w:val="left"/>
            </w:pPr>
            <w:r>
              <w:rPr>
                <w:rFonts w:ascii="Verdana"/>
                <w:b/>
                <w:i w:val="false"/>
                <w:color w:val="000000"/>
                <w:sz w:val="22"/>
              </w:rPr>
              <w:t>8.1.4</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Постизање стандарда квалитета Д+2 за пренос поштанских пошиљака у унутрашњем саобраћају за 95 % поштанских пошиљака.</w:t>
            </w:r>
          </w:p>
        </w:tc>
        <w:tc>
          <w:tcPr>
            <w:tcW w:w="2194" w:type="dxa"/>
            <w:tcBorders/>
            <w:vAlign w:val="center"/>
          </w:tcPr>
          <w:p>
            <w:pPr>
              <w:spacing w:after="0"/>
              <w:ind w:left="0"/>
              <w:jc w:val="center"/>
            </w:pPr>
            <w:r>
              <w:rPr>
                <w:rFonts w:ascii="Verdana"/>
                <w:b/>
                <w:i w:val="false"/>
                <w:color w:val="000000"/>
                <w:sz w:val="22"/>
              </w:rPr>
              <w:t>Агенција, поштански оператори</w:t>
            </w:r>
          </w:p>
        </w:tc>
        <w:tc>
          <w:tcPr>
            <w:tcW w:w="2163" w:type="dxa"/>
            <w:tcBorders/>
            <w:vAlign w:val="center"/>
          </w:tcPr>
          <w:p>
            <w:pPr>
              <w:spacing w:after="0"/>
              <w:ind w:left="0"/>
              <w:jc w:val="center"/>
            </w:pPr>
            <w:r>
              <w:rPr>
                <w:rFonts w:ascii="Verdana"/>
                <w:b/>
                <w:i w:val="false"/>
                <w:color w:val="000000"/>
                <w:sz w:val="22"/>
              </w:rPr>
              <w:t>до краја 2012. године</w:t>
            </w:r>
          </w:p>
        </w:tc>
        <w:tc>
          <w:tcPr>
            <w:tcW w:w="1959" w:type="dxa"/>
            <w:tcBorders/>
            <w:vAlign w:val="center"/>
          </w:tcPr>
          <w:p/>
        </w:tc>
      </w:tr>
      <w:tr>
        <w:trPr/>
        <w:tc>
          <w:tcPr>
            <w:tcW w:w="941" w:type="dxa"/>
            <w:tcBorders/>
            <w:vAlign w:val="center"/>
          </w:tcPr>
          <w:p>
            <w:pPr>
              <w:spacing w:after="0"/>
              <w:ind w:left="0"/>
              <w:jc w:val="left"/>
            </w:pPr>
            <w:r>
              <w:rPr>
                <w:rFonts w:ascii="Verdana"/>
                <w:b/>
                <w:i w:val="false"/>
                <w:color w:val="000000"/>
                <w:sz w:val="22"/>
              </w:rPr>
              <w:t>8.2</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 xml:space="preserve">Праћење, мерење и утврђивање квалитета обављања поштанских услуга (аутоматизовано праћење и локализација поштанских пошиљака – системом </w:t>
            </w:r>
            <w:r>
              <w:rPr>
                <w:rFonts w:ascii="Verdana"/>
                <w:b/>
                <w:i/>
                <w:color w:val="000000"/>
                <w:sz w:val="22"/>
              </w:rPr>
              <w:t>трацк анд траце</w:t>
            </w:r>
            <w:r>
              <w:rPr>
                <w:rFonts w:ascii="Verdana"/>
                <w:b/>
                <w:i w:val="false"/>
                <w:color w:val="000000"/>
                <w:sz w:val="22"/>
              </w:rPr>
              <w:t>)</w:t>
            </w:r>
          </w:p>
        </w:tc>
        <w:tc>
          <w:tcPr>
            <w:tcW w:w="2194" w:type="dxa"/>
            <w:tcBorders/>
            <w:vAlign w:val="center"/>
          </w:tcPr>
          <w:p>
            <w:pPr>
              <w:spacing w:after="0"/>
              <w:ind w:left="0"/>
              <w:jc w:val="center"/>
            </w:pPr>
            <w:r>
              <w:rPr>
                <w:rFonts w:ascii="Verdana"/>
                <w:b/>
                <w:i w:val="false"/>
                <w:color w:val="000000"/>
                <w:sz w:val="22"/>
              </w:rPr>
              <w:t>Агенција</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pPr>
              <w:spacing w:after="0"/>
              <w:ind w:left="0"/>
              <w:jc w:val="left"/>
            </w:pPr>
            <w:r>
              <w:rPr>
                <w:rFonts w:ascii="Verdana"/>
                <w:b/>
                <w:i w:val="false"/>
                <w:color w:val="000000"/>
                <w:sz w:val="22"/>
              </w:rPr>
              <w:t>/</w:t>
            </w:r>
          </w:p>
        </w:tc>
      </w:tr>
      <w:tr>
        <w:trPr/>
        <w:tc>
          <w:tcPr>
            <w:tcW w:w="941" w:type="dxa"/>
            <w:tcBorders/>
            <w:vAlign w:val="center"/>
          </w:tcPr>
          <w:p>
            <w:pPr>
              <w:spacing w:after="0"/>
              <w:ind w:left="0"/>
              <w:jc w:val="center"/>
            </w:pPr>
            <w:r>
              <w:rPr>
                <w:rFonts w:ascii="Verdana"/>
                <w:b/>
                <w:i w:val="false"/>
                <w:color w:val="000000"/>
                <w:sz w:val="22"/>
              </w:rPr>
              <w:t>9.</w:t>
            </w:r>
          </w:p>
        </w:tc>
        <w:tc>
          <w:tcPr>
            <w:tcW w:w="2983" w:type="dxa"/>
            <w:tcBorders/>
            <w:vAlign w:val="center"/>
          </w:tcPr>
          <w:p>
            <w:pPr>
              <w:spacing w:after="0"/>
              <w:ind w:left="0"/>
              <w:jc w:val="left"/>
            </w:pPr>
            <w:r>
              <w:rPr>
                <w:rFonts w:ascii="Verdana"/>
                <w:b/>
                <w:i w:val="false"/>
                <w:color w:val="000000"/>
                <w:sz w:val="22"/>
              </w:rPr>
              <w:t>Примена стандарда у области сигурности и безбедности корисника, запослених и поштанских пошиљака</w:t>
            </w:r>
          </w:p>
        </w:tc>
        <w:tc>
          <w:tcPr>
            <w:tcW w:w="4160" w:type="dxa"/>
            <w:tcBorders/>
            <w:vAlign w:val="center"/>
          </w:tcPr>
          <w:p/>
        </w:tc>
        <w:tc>
          <w:tcPr>
            <w:tcW w:w="2194" w:type="dxa"/>
            <w:tcBorders/>
            <w:vAlign w:val="center"/>
          </w:tcPr>
          <w:p/>
        </w:tc>
        <w:tc>
          <w:tcPr>
            <w:tcW w:w="2163" w:type="dxa"/>
            <w:tcBorders/>
            <w:vAlign w:val="center"/>
          </w:tcPr>
          <w:p/>
        </w:tc>
        <w:tc>
          <w:tcPr>
            <w:tcW w:w="1959" w:type="dxa"/>
            <w:tcBorders/>
            <w:vAlign w:val="center"/>
          </w:tcPr>
          <w:p/>
        </w:tc>
      </w:tr>
      <w:tr>
        <w:trPr/>
        <w:tc>
          <w:tcPr>
            <w:tcW w:w="941" w:type="dxa"/>
            <w:tcBorders/>
            <w:vAlign w:val="center"/>
          </w:tcPr>
          <w:p>
            <w:pPr>
              <w:spacing w:after="0"/>
              <w:ind w:left="0"/>
              <w:jc w:val="center"/>
            </w:pPr>
            <w:r>
              <w:rPr>
                <w:rFonts w:ascii="Verdana"/>
                <w:b/>
                <w:i w:val="false"/>
                <w:color w:val="000000"/>
                <w:sz w:val="22"/>
              </w:rPr>
              <w:t>9.1</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Утврђивање стандарда безбедности</w:t>
            </w:r>
          </w:p>
        </w:tc>
        <w:tc>
          <w:tcPr>
            <w:tcW w:w="2194" w:type="dxa"/>
            <w:tcBorders/>
            <w:vAlign w:val="center"/>
          </w:tcPr>
          <w:p>
            <w:pPr>
              <w:spacing w:after="0"/>
              <w:ind w:left="0"/>
              <w:jc w:val="center"/>
            </w:pPr>
            <w:r>
              <w:rPr>
                <w:rFonts w:ascii="Verdana"/>
                <w:b/>
                <w:i w:val="false"/>
                <w:color w:val="000000"/>
                <w:sz w:val="22"/>
              </w:rPr>
              <w:t>Влада, Агенција</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tcBorders/>
            <w:vAlign w:val="center"/>
          </w:tcPr>
          <w:p>
            <w:pPr>
              <w:spacing w:after="0"/>
              <w:ind w:left="0"/>
              <w:jc w:val="center"/>
            </w:pPr>
            <w:r>
              <w:rPr>
                <w:rFonts w:ascii="Verdana"/>
                <w:b/>
                <w:i w:val="false"/>
                <w:color w:val="000000"/>
                <w:sz w:val="22"/>
              </w:rPr>
              <w:t>/</w:t>
            </w:r>
          </w:p>
        </w:tc>
      </w:tr>
      <w:tr>
        <w:trPr/>
        <w:tc>
          <w:tcPr>
            <w:tcW w:w="941" w:type="dxa"/>
            <w:tcBorders/>
            <w:vAlign w:val="center"/>
          </w:tcPr>
          <w:p>
            <w:pPr>
              <w:spacing w:after="0"/>
              <w:ind w:left="0"/>
              <w:jc w:val="center"/>
            </w:pPr>
            <w:r>
              <w:rPr>
                <w:rFonts w:ascii="Verdana"/>
                <w:b/>
                <w:i w:val="false"/>
                <w:color w:val="000000"/>
                <w:sz w:val="22"/>
              </w:rPr>
              <w:t>9.2</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Примена стандарда безбедности и надзор</w:t>
            </w:r>
          </w:p>
        </w:tc>
        <w:tc>
          <w:tcPr>
            <w:tcW w:w="2194" w:type="dxa"/>
            <w:tcBorders/>
            <w:vAlign w:val="center"/>
          </w:tcPr>
          <w:p>
            <w:pPr>
              <w:spacing w:after="0"/>
              <w:ind w:left="0"/>
              <w:jc w:val="center"/>
            </w:pPr>
            <w:r>
              <w:rPr>
                <w:rFonts w:ascii="Verdana"/>
                <w:b/>
                <w:i w:val="false"/>
                <w:color w:val="000000"/>
                <w:sz w:val="22"/>
              </w:rPr>
              <w:t>Министарство, Агенција, поштански оператори</w:t>
            </w:r>
          </w:p>
        </w:tc>
        <w:tc>
          <w:tcPr>
            <w:tcW w:w="2163" w:type="dxa"/>
            <w:tcBorders/>
            <w:vAlign w:val="center"/>
          </w:tcPr>
          <w:p>
            <w:pPr>
              <w:spacing w:after="0"/>
              <w:ind w:left="0"/>
              <w:jc w:val="center"/>
            </w:pPr>
            <w:r>
              <w:rPr>
                <w:rFonts w:ascii="Verdana"/>
                <w:b/>
                <w:i w:val="false"/>
                <w:color w:val="000000"/>
                <w:sz w:val="22"/>
              </w:rPr>
              <w:t>континуирано</w:t>
            </w:r>
          </w:p>
        </w:tc>
        <w:tc>
          <w:tcPr>
            <w:tcW w:w="1959" w:type="dxa"/>
            <w:vMerge w:val="restart"/>
            <w:tcBorders/>
            <w:vAlign w:val="center"/>
          </w:tcPr>
          <w:p>
            <w:pPr>
              <w:spacing w:after="0"/>
              <w:ind w:left="0"/>
              <w:jc w:val="center"/>
            </w:pPr>
            <w:r>
              <w:rPr>
                <w:rFonts w:ascii="Verdana"/>
                <w:b/>
                <w:i w:val="false"/>
                <w:color w:val="000000"/>
                <w:sz w:val="22"/>
              </w:rPr>
              <w:t>452 милиона динара на годишњем нивоу”</w:t>
            </w:r>
          </w:p>
        </w:tc>
      </w:tr>
      <w:tr>
        <w:trPr/>
        <w:tc>
          <w:tcPr>
            <w:tcW w:w="941" w:type="dxa"/>
            <w:tcBorders/>
            <w:vAlign w:val="center"/>
          </w:tcPr>
          <w:p>
            <w:pPr>
              <w:spacing w:after="0"/>
              <w:ind w:left="0"/>
              <w:jc w:val="center"/>
            </w:pPr>
            <w:r>
              <w:rPr>
                <w:rFonts w:ascii="Verdana"/>
                <w:b/>
                <w:i w:val="false"/>
                <w:color w:val="000000"/>
                <w:sz w:val="22"/>
              </w:rPr>
              <w:t>9.3</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Одржавање социјалног дијалога</w:t>
            </w:r>
          </w:p>
        </w:tc>
        <w:tc>
          <w:tcPr>
            <w:tcW w:w="2194" w:type="dxa"/>
            <w:tcBorders/>
            <w:vAlign w:val="center"/>
          </w:tcPr>
          <w:p>
            <w:pPr>
              <w:spacing w:after="0"/>
              <w:ind w:left="0"/>
              <w:jc w:val="center"/>
            </w:pPr>
            <w:r>
              <w:rPr>
                <w:rFonts w:ascii="Verdana"/>
                <w:b/>
                <w:i w:val="false"/>
                <w:color w:val="000000"/>
                <w:sz w:val="22"/>
              </w:rPr>
              <w:t>поштански оператори</w:t>
            </w:r>
          </w:p>
        </w:tc>
        <w:tc>
          <w:tcPr>
            <w:tcW w:w="2163" w:type="dxa"/>
            <w:tcBorders/>
            <w:vAlign w:val="center"/>
          </w:tcPr>
          <w:p>
            <w:pPr>
              <w:spacing w:after="0"/>
              <w:ind w:left="0"/>
              <w:jc w:val="center"/>
            </w:pPr>
            <w:r>
              <w:rPr>
                <w:rFonts w:ascii="Verdana"/>
                <w:b/>
                <w:i w:val="false"/>
                <w:color w:val="000000"/>
                <w:sz w:val="22"/>
              </w:rPr>
              <w:t>континуирано</w:t>
            </w:r>
          </w:p>
        </w:tc>
        <w:tc>
          <w:tcPr>
            <w:tcW w:w="0" w:type="auto"/>
            <w:vMerge/>
            <w:tcBorders>
              <w:top w:val="nil"/>
            </w:tcBorders>
          </w:tcPr>
          <w:p/>
        </w:tc>
      </w:tr>
      <w:tr>
        <w:trPr/>
        <w:tc>
          <w:tcPr>
            <w:tcW w:w="941" w:type="dxa"/>
            <w:tcBorders/>
            <w:vAlign w:val="center"/>
          </w:tcPr>
          <w:p>
            <w:pPr>
              <w:spacing w:after="0"/>
              <w:ind w:left="0"/>
              <w:jc w:val="center"/>
            </w:pPr>
            <w:r>
              <w:rPr>
                <w:rFonts w:ascii="Verdana"/>
                <w:b/>
                <w:i w:val="false"/>
                <w:color w:val="000000"/>
                <w:sz w:val="22"/>
              </w:rPr>
              <w:t>9.4</w:t>
            </w:r>
          </w:p>
        </w:tc>
        <w:tc>
          <w:tcPr>
            <w:tcW w:w="2983" w:type="dxa"/>
            <w:tcBorders/>
            <w:vAlign w:val="center"/>
          </w:tcPr>
          <w:p/>
        </w:tc>
        <w:tc>
          <w:tcPr>
            <w:tcW w:w="4160" w:type="dxa"/>
            <w:tcBorders/>
            <w:vAlign w:val="center"/>
          </w:tcPr>
          <w:p>
            <w:pPr>
              <w:spacing w:after="0"/>
              <w:ind w:left="0"/>
              <w:jc w:val="left"/>
            </w:pPr>
            <w:r>
              <w:rPr>
                <w:rFonts w:ascii="Verdana"/>
                <w:b/>
                <w:i w:val="false"/>
                <w:color w:val="000000"/>
                <w:sz w:val="22"/>
              </w:rPr>
              <w:t>Поштовање директива ЕУ о заштити животне средине</w:t>
            </w:r>
          </w:p>
        </w:tc>
        <w:tc>
          <w:tcPr>
            <w:tcW w:w="2194" w:type="dxa"/>
            <w:tcBorders/>
            <w:vAlign w:val="center"/>
          </w:tcPr>
          <w:p>
            <w:pPr>
              <w:spacing w:after="0"/>
              <w:ind w:left="0"/>
              <w:jc w:val="center"/>
            </w:pPr>
            <w:r>
              <w:rPr>
                <w:rFonts w:ascii="Verdana"/>
                <w:b/>
                <w:i w:val="false"/>
                <w:color w:val="000000"/>
                <w:sz w:val="22"/>
              </w:rPr>
              <w:t>поштански оператори</w:t>
            </w:r>
          </w:p>
        </w:tc>
        <w:tc>
          <w:tcPr>
            <w:tcW w:w="2163" w:type="dxa"/>
            <w:tcBorders/>
            <w:vAlign w:val="center"/>
          </w:tcPr>
          <w:p>
            <w:pPr>
              <w:spacing w:after="0"/>
              <w:ind w:left="0"/>
              <w:jc w:val="center"/>
            </w:pPr>
            <w:r>
              <w:rPr>
                <w:rFonts w:ascii="Verdana"/>
                <w:b/>
                <w:i w:val="false"/>
                <w:color w:val="000000"/>
                <w:sz w:val="22"/>
              </w:rPr>
              <w:t>континуирано</w:t>
            </w:r>
          </w:p>
        </w:tc>
        <w:tc>
          <w:tcPr>
            <w:tcW w:w="0" w:type="auto"/>
            <w:vMerge/>
            <w:tcBorders>
              <w:top w:val="nil"/>
            </w:tcBorders>
          </w:tcPr>
          <w:p/>
        </w:tc>
      </w:tr>
    </w:tbl>
    <w:p>
      <w:pPr>
        <w:spacing w:after="0"/>
        <w:ind w:left="0"/>
        <w:jc w:val="right"/>
      </w:pPr>
      <w:r>
        <w:rPr>
          <w:rFonts w:ascii="Verdana"/>
          <w:b/>
          <w:i w:val="false"/>
          <w:color w:val="000000"/>
          <w:sz w:val="22"/>
        </w:rPr>
        <w:t>*</w:t>
      </w:r>
    </w:p>
    <w:p>
      <w:pPr>
        <w:spacing w:after="0"/>
        <w:ind w:left="0"/>
        <w:jc w:val="left"/>
      </w:pPr>
      <w:r>
        <w:rPr>
          <w:rFonts w:ascii="Verdana"/>
          <w:b w:val="false"/>
          <w:i w:val="false"/>
          <w:color w:val="000000"/>
          <w:sz w:val="22"/>
        </w:rPr>
        <w:t> </w:t>
      </w:r>
    </w:p>
    <w:p>
      <w:pPr>
        <w:spacing w:after="0"/>
        <w:ind w:left="0"/>
        <w:jc w:val="left"/>
      </w:pPr>
      <w:r>
        <w:rPr>
          <w:rFonts w:ascii="Verdana"/>
          <w:b/>
          <w:i w:val="false"/>
          <w:color w:val="000000"/>
          <w:sz w:val="22"/>
        </w:rPr>
        <w:t>*</w:t>
      </w:r>
      <w:r>
        <w:rPr>
          <w:rFonts w:ascii="Verdana"/>
          <w:b w:val="false"/>
          <w:i w:val="false"/>
          <w:color w:val="000000"/>
          <w:sz w:val="22"/>
        </w:rPr>
        <w:t>Замењена је Табела 13-Акциони план (види тачку 1. Одлуке – 21/2010-13)</w:t>
      </w:r>
    </w:p>
    <w:p>
      <w:pPr>
        <w:spacing w:after="0"/>
        <w:ind w:left="0"/>
        <w:jc w:val="left"/>
      </w:pPr>
      <w:r>
        <w:rPr>
          <w:rFonts w:ascii="Verdana"/>
          <w:b w:val="false"/>
          <w:i w:val="false"/>
          <w:color w:val="000000"/>
          <w:sz w:val="22"/>
        </w:rPr>
        <w:t> </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5. Контрола и развој стратегије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Контрола спровођења Стратегије има за циљ уочавање одређених недостатака и усавршавање примењеног модела Стратегије. Контрола ће се вршити кроз контролу реализације циљева и то квантитативно и квалитативно. Поштански сектор као динамички систем треба перманентно да се прилагођава потребама окружења тако да је неопходно све уочене недостатке отклонити и перманентно усавршавати усвојене стратегије.</w:t>
      </w:r>
    </w:p>
    <w:p>
      <w:pPr>
        <w:spacing w:after="0"/>
        <w:ind w:left="0"/>
        <w:jc w:val="left"/>
      </w:pPr>
      <w:r>
        <w:rPr>
          <w:rFonts w:ascii="Verdana"/>
          <w:b w:val="false"/>
          <w:i w:val="false"/>
          <w:color w:val="000000"/>
          <w:sz w:val="22"/>
        </w:rPr>
        <w:t>Планирани буџети, одлуке и циљеви, преведени у специфичне стандарде пословања, биће оцењивани по обележјима: количина, квалитет, трошкови, време.</w:t>
      </w:r>
    </w:p>
    <w:p>
      <w:pPr>
        <w:spacing w:after="0"/>
        <w:ind w:left="0"/>
        <w:jc w:val="left"/>
      </w:pPr>
      <w:r>
        <w:rPr>
          <w:rFonts w:ascii="Verdana"/>
          <w:b w:val="false"/>
          <w:i w:val="false"/>
          <w:color w:val="000000"/>
          <w:sz w:val="22"/>
        </w:rPr>
        <w:t>Корекција Стратегије ће се вршити, у складу са повратним информацијама из процеса контроле.</w:t>
      </w:r>
    </w:p>
    <w:p>
      <w:pPr>
        <w:spacing w:after="0"/>
        <w:ind w:left="0"/>
        <w:jc w:val="left"/>
      </w:pPr>
      <w:r>
        <w:rPr>
          <w:rFonts w:ascii="Verdana"/>
          <w:b w:val="false"/>
          <w:i w:val="false"/>
          <w:color w:val="000000"/>
          <w:sz w:val="22"/>
        </w:rPr>
        <w:t>Контрола ће се вршити са аспекта заштите интереса корисника поштанских услуга, запослених и државе.</w:t>
      </w:r>
    </w:p>
    <w:p>
      <w:pPr>
        <w:spacing w:after="0"/>
        <w:ind w:left="0"/>
        <w:jc w:val="left"/>
      </w:pPr>
      <w:r>
        <w:rPr>
          <w:rFonts w:ascii="Verdana"/>
          <w:b w:val="false"/>
          <w:i w:val="false"/>
          <w:color w:val="000000"/>
          <w:sz w:val="22"/>
        </w:rPr>
        <w:t>Поред техничке и финансијске контроле неопходно је вршити и перманентну менаџмент контролу извршења плана.</w:t>
      </w:r>
    </w:p>
    <w:p>
      <w:pPr>
        <w:spacing w:after="0"/>
        <w:ind w:left="0"/>
        <w:jc w:val="center"/>
      </w:pPr>
      <w:r>
        <w:rPr>
          <w:rFonts w:ascii="Verdana"/>
          <w:b w:val="false"/>
          <w:i w:val="false"/>
          <w:color w:val="000000"/>
          <w:sz w:val="22"/>
        </w:rPr>
        <w:t> </w:t>
      </w:r>
    </w:p>
    <w:p>
      <w:pPr>
        <w:spacing w:after="0"/>
        <w:ind w:left="0"/>
        <w:jc w:val="center"/>
      </w:pPr>
      <w:r>
        <w:rPr>
          <w:rFonts w:ascii="Verdana"/>
          <w:b/>
          <w:i w:val="false"/>
          <w:color w:val="000000"/>
          <w:sz w:val="22"/>
        </w:rPr>
        <w:t>6. Завршни део</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Ову стратегију објавити у „Службеном гласнику Републике Србије”.</w:t>
      </w:r>
    </w:p>
    <w:p>
      <w:pPr>
        <w:spacing w:after="0"/>
        <w:ind w:left="0"/>
        <w:jc w:val="left"/>
      </w:pPr>
      <w:r>
        <w:rPr>
          <w:rFonts w:ascii="Verdana"/>
          <w:b w:val="false"/>
          <w:i w:val="false"/>
          <w:color w:val="000000"/>
          <w:sz w:val="22"/>
        </w:rPr>
        <w:t> </w:t>
      </w:r>
    </w:p>
    <w:p>
      <w:pPr>
        <w:spacing w:after="0"/>
        <w:ind w:left="0"/>
        <w:jc w:val="left"/>
      </w:pPr>
      <w:r>
        <w:rPr>
          <w:rFonts w:ascii="Verdana"/>
          <w:b w:val="false"/>
          <w:i w:val="false"/>
          <w:color w:val="000000"/>
          <w:sz w:val="22"/>
        </w:rPr>
        <w:t> </w:t>
      </w:r>
    </w:p>
    <w:p>
      <w:pPr>
        <w:spacing w:after="0"/>
        <w:ind w:left="0"/>
        <w:jc w:val="right"/>
      </w:pPr>
      <w:r>
        <w:rPr>
          <w:rFonts w:ascii="Verdana"/>
          <w:b w:val="false"/>
          <w:i w:val="false"/>
          <w:color w:val="000000"/>
          <w:sz w:val="22"/>
        </w:rPr>
        <w:t>05 број 345-6552/2007-3</w:t>
      </w:r>
    </w:p>
    <w:p>
      <w:pPr>
        <w:spacing w:after="0"/>
        <w:ind w:left="0"/>
        <w:jc w:val="right"/>
      </w:pPr>
      <w:r>
        <w:rPr>
          <w:rFonts w:ascii="Verdana"/>
          <w:b w:val="false"/>
          <w:i w:val="false"/>
          <w:color w:val="000000"/>
          <w:sz w:val="22"/>
        </w:rPr>
        <w:t>У Београду, 14. фебруара 2008. године</w:t>
      </w:r>
    </w:p>
    <w:p>
      <w:pPr>
        <w:spacing w:after="0"/>
        <w:ind w:left="0"/>
        <w:jc w:val="right"/>
      </w:pPr>
      <w:r>
        <w:rPr>
          <w:rFonts w:ascii="Verdana"/>
          <w:b w:val="false"/>
          <w:i w:val="false"/>
          <w:color w:val="000000"/>
          <w:sz w:val="22"/>
        </w:rPr>
        <w:t>Влада</w:t>
      </w:r>
    </w:p>
    <w:p>
      <w:pPr>
        <w:spacing w:after="0"/>
        <w:ind w:left="0"/>
        <w:jc w:val="right"/>
      </w:pPr>
      <w:r>
        <w:rPr>
          <w:rFonts w:ascii="Verdana"/>
          <w:b w:val="false"/>
          <w:i w:val="false"/>
          <w:color w:val="000000"/>
          <w:sz w:val="22"/>
        </w:rPr>
        <w:t>Потпредседник,</w:t>
      </w:r>
    </w:p>
    <w:p>
      <w:pPr>
        <w:spacing w:after="0"/>
        <w:ind w:left="0"/>
        <w:jc w:val="right"/>
      </w:pPr>
      <w:r>
        <w:rPr>
          <w:rFonts w:ascii="Verdana"/>
          <w:b w:val="false"/>
          <w:i w:val="false"/>
          <w:color w:val="000000"/>
          <w:sz w:val="22"/>
        </w:rPr>
        <w:t>Божидар Ђелић, с.р.</w:t>
      </w:r>
    </w:p>
    <w:p>
      <w:pPr>
        <w:spacing w:after="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gif" Type="http://schemas.openxmlformats.org/officeDocument/2006/relationships/image" Id="rId4"/><Relationship Target="media/document_image_rId5.gif" Type="http://schemas.openxmlformats.org/officeDocument/2006/relationships/image" Id="rId5"/><Relationship Target="media/document_image_rId6.gif" Type="http://schemas.openxmlformats.org/officeDocument/2006/relationships/image" Id="rId6"/><Relationship Target="media/document_image_rId7.gif" Type="http://schemas.openxmlformats.org/officeDocument/2006/relationships/image" Id="rId7"/><Relationship Target="media/document_image_rId8.gif" Type="http://schemas.openxmlformats.org/officeDocument/2006/relationships/image" Id="rId8"/><Relationship Target="media/document_image_rId9.gif" Type="http://schemas.openxmlformats.org/officeDocument/2006/relationships/image" Id="rId9"/><Relationship Target="media/document_image_rId10.gif" Type="http://schemas.openxmlformats.org/officeDocument/2006/relationships/image" Id="rId10"/><Relationship Target="media/document_image_rId11.gif" Type="http://schemas.openxmlformats.org/officeDocument/2006/relationships/image" Id="rId11"/><Relationship Target="media/document_image_rId12.gif" Type="http://schemas.openxmlformats.org/officeDocument/2006/relationships/image" Id="rId12"/><Relationship Target="media/document_image_rId13.gif" Type="http://schemas.openxmlformats.org/officeDocument/2006/relationships/image" Id="rId13"/><Relationship Target="media/document_image_rId14.gif" Type="http://schemas.openxmlformats.org/officeDocument/2006/relationships/image" Id="rId14"/><Relationship Target="media/document_image_rId15.gif" Type="http://schemas.openxmlformats.org/officeDocument/2006/relationships/image" Id="rId15"/><Relationship Target="media/document_image_rId16.gif" Type="http://schemas.openxmlformats.org/officeDocument/2006/relationships/image" Id="rId16"/><Relationship Target="media/document_image_rId17.gif" Type="http://schemas.openxmlformats.org/officeDocument/2006/relationships/image" Id="rId17"/><Relationship Target="media/document_image_rId18.gif" Type="http://schemas.openxmlformats.org/officeDocument/2006/relationships/image" Id="rId18"/><Relationship Target="media/document_image_rId19.gif" Type="http://schemas.openxmlformats.org/officeDocument/2006/relationships/image" Id="rId19"/><Relationship Target="media/document_image_rId20.gif" Type="http://schemas.openxmlformats.org/officeDocument/2006/relationships/image" Id="rId20"/></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