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6472" w:val="left" w:leader="none"/>
        </w:tabs>
        <w:spacing w:before="70"/>
        <w:ind w:left="109" w:right="0" w:firstLine="0"/>
        <w:jc w:val="left"/>
        <w:rPr>
          <w:rFonts w:ascii="Arial MT"/>
          <w:sz w:val="16"/>
        </w:rPr>
      </w:pPr>
      <w:r>
        <w:rPr>
          <w:rFonts w:ascii="Arial MT"/>
          <w:sz w:val="16"/>
        </w:rPr>
        <w:t>10/10/22,</w:t>
      </w:r>
      <w:r>
        <w:rPr>
          <w:rFonts w:ascii="Arial MT"/>
          <w:spacing w:val="-3"/>
          <w:sz w:val="16"/>
        </w:rPr>
        <w:t> </w:t>
      </w:r>
      <w:r>
        <w:rPr>
          <w:rFonts w:ascii="Arial MT"/>
          <w:sz w:val="16"/>
        </w:rPr>
        <w:t>11:47</w:t>
      </w:r>
      <w:r>
        <w:rPr>
          <w:rFonts w:ascii="Arial MT"/>
          <w:spacing w:val="-3"/>
          <w:sz w:val="16"/>
        </w:rPr>
        <w:t> </w:t>
      </w:r>
      <w:r>
        <w:rPr>
          <w:rFonts w:ascii="Arial MT"/>
          <w:sz w:val="16"/>
        </w:rPr>
        <w:t>AM</w:t>
        <w:tab/>
        <w:t>Zakon</w:t>
      </w:r>
    </w:p>
    <w:p>
      <w:pPr>
        <w:pStyle w:val="BodyText"/>
        <w:spacing w:line="214" w:lineRule="exact" w:before="90"/>
        <w:ind w:left="639"/>
      </w:pPr>
      <w:r>
        <w:rPr/>
        <w:t>Овај акт можете погледати на адреси</w:t>
      </w:r>
    </w:p>
    <w:p>
      <w:pPr>
        <w:pStyle w:val="BodyText"/>
        <w:spacing w:line="214" w:lineRule="exact"/>
        <w:ind w:left="159"/>
      </w:pPr>
      <w:hyperlink r:id="rId5">
        <w:r>
          <w:rPr>
            <w:color w:val="1B4162"/>
          </w:rPr>
          <w:t>/eli/rep/sgrs/vlada/odluka/2011/14/1/sg</w:t>
        </w:r>
      </w:hyperlink>
    </w:p>
    <w:p>
      <w:pPr>
        <w:pStyle w:val="BodyText"/>
        <w:spacing w:before="1"/>
        <w:rPr>
          <w:sz w:val="28"/>
        </w:rPr>
      </w:pPr>
    </w:p>
    <w:p>
      <w:pPr>
        <w:pStyle w:val="Heading1"/>
        <w:spacing w:before="100"/>
      </w:pPr>
      <w:r>
        <w:rPr/>
        <w:t>432</w:t>
      </w:r>
    </w:p>
    <w:p>
      <w:pPr>
        <w:pStyle w:val="BodyText"/>
        <w:spacing w:line="230" w:lineRule="auto" w:before="148"/>
        <w:ind w:left="279" w:firstLine="480"/>
      </w:pPr>
      <w:r>
        <w:rPr/>
        <w:t>На</w:t>
      </w:r>
      <w:r>
        <w:rPr>
          <w:spacing w:val="-3"/>
        </w:rPr>
        <w:t> </w:t>
      </w:r>
      <w:r>
        <w:rPr/>
        <w:t>основу</w:t>
      </w:r>
      <w:r>
        <w:rPr>
          <w:spacing w:val="-2"/>
        </w:rPr>
        <w:t> </w:t>
      </w:r>
      <w:r>
        <w:rPr/>
        <w:t>члана</w:t>
      </w:r>
      <w:r>
        <w:rPr>
          <w:spacing w:val="-2"/>
        </w:rPr>
        <w:t> </w:t>
      </w:r>
      <w:r>
        <w:rPr/>
        <w:t>12.</w:t>
      </w:r>
      <w:r>
        <w:rPr>
          <w:spacing w:val="-2"/>
        </w:rPr>
        <w:t> </w:t>
      </w:r>
      <w:r>
        <w:rPr/>
        <w:t>Закона</w:t>
      </w:r>
      <w:r>
        <w:rPr>
          <w:spacing w:val="-2"/>
        </w:rPr>
        <w:t> </w:t>
      </w:r>
      <w:r>
        <w:rPr/>
        <w:t>о</w:t>
      </w:r>
      <w:r>
        <w:rPr>
          <w:spacing w:val="-2"/>
        </w:rPr>
        <w:t> </w:t>
      </w:r>
      <w:r>
        <w:rPr/>
        <w:t>дијаспори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Србима</w:t>
      </w:r>
      <w:r>
        <w:rPr>
          <w:spacing w:val="-2"/>
        </w:rPr>
        <w:t> </w:t>
      </w:r>
      <w:r>
        <w:rPr/>
        <w:t>у</w:t>
      </w:r>
      <w:r>
        <w:rPr>
          <w:spacing w:val="-2"/>
        </w:rPr>
        <w:t> </w:t>
      </w:r>
      <w:r>
        <w:rPr/>
        <w:t>региону</w:t>
      </w:r>
      <w:r>
        <w:rPr>
          <w:spacing w:val="-2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број</w:t>
      </w:r>
      <w:r>
        <w:rPr>
          <w:spacing w:val="-2"/>
        </w:rPr>
        <w:t> </w:t>
      </w:r>
      <w:r>
        <w:rPr/>
        <w:t>88/09),</w:t>
      </w:r>
      <w:r>
        <w:rPr>
          <w:spacing w:val="-2"/>
        </w:rPr>
        <w:t> </w:t>
      </w:r>
      <w:r>
        <w:rPr/>
        <w:t>члана</w:t>
      </w:r>
      <w:r>
        <w:rPr>
          <w:spacing w:val="-2"/>
        </w:rPr>
        <w:t> </w:t>
      </w:r>
      <w:r>
        <w:rPr/>
        <w:t>43.</w:t>
      </w:r>
      <w:r>
        <w:rPr>
          <w:spacing w:val="-60"/>
        </w:rPr>
        <w:t> </w:t>
      </w:r>
      <w:r>
        <w:rPr/>
        <w:t>став</w:t>
      </w:r>
      <w:r>
        <w:rPr>
          <w:spacing w:val="-1"/>
        </w:rPr>
        <w:t> </w:t>
      </w:r>
      <w:r>
        <w:rPr/>
        <w:t>1.</w:t>
      </w:r>
      <w:r>
        <w:rPr>
          <w:spacing w:val="-1"/>
        </w:rPr>
        <w:t> </w:t>
      </w:r>
      <w:r>
        <w:rPr/>
        <w:t>и члана</w:t>
      </w:r>
      <w:r>
        <w:rPr>
          <w:spacing w:val="-1"/>
        </w:rPr>
        <w:t> </w:t>
      </w:r>
      <w:r>
        <w:rPr/>
        <w:t>45.</w:t>
      </w:r>
      <w:r>
        <w:rPr>
          <w:spacing w:val="-1"/>
        </w:rPr>
        <w:t> </w:t>
      </w:r>
      <w:r>
        <w:rPr/>
        <w:t>став 1.</w:t>
      </w:r>
      <w:r>
        <w:rPr>
          <w:spacing w:val="-1"/>
        </w:rPr>
        <w:t> </w:t>
      </w:r>
      <w:r>
        <w:rPr/>
        <w:t>Закона</w:t>
      </w:r>
      <w:r>
        <w:rPr>
          <w:spacing w:val="-1"/>
        </w:rPr>
        <w:t> </w:t>
      </w:r>
      <w:r>
        <w:rPr/>
        <w:t>о Влади</w:t>
      </w:r>
      <w:r>
        <w:rPr>
          <w:spacing w:val="-1"/>
        </w:rPr>
        <w:t> </w:t>
      </w:r>
      <w:r>
        <w:rPr/>
        <w:t>(„Службени гласник</w:t>
      </w:r>
      <w:r>
        <w:rPr>
          <w:spacing w:val="-1"/>
        </w:rPr>
        <w:t> </w:t>
      </w:r>
      <w:r>
        <w:rPr/>
        <w:t>РС”,</w:t>
      </w:r>
      <w:r>
        <w:rPr>
          <w:spacing w:val="-1"/>
        </w:rPr>
        <w:t> </w:t>
      </w:r>
      <w:r>
        <w:rPr/>
        <w:t>бр. 55/05,</w:t>
      </w:r>
      <w:r>
        <w:rPr>
          <w:spacing w:val="-1"/>
        </w:rPr>
        <w:t> </w:t>
      </w:r>
      <w:r>
        <w:rPr/>
        <w:t>71/05</w:t>
      </w:r>
      <w:r>
        <w:rPr>
          <w:spacing w:val="-1"/>
        </w:rPr>
        <w:t> </w:t>
      </w:r>
      <w:r>
        <w:rPr/>
        <w:t>– исправка,</w:t>
      </w:r>
      <w:r>
        <w:rPr>
          <w:spacing w:val="-1"/>
        </w:rPr>
        <w:t> </w:t>
      </w:r>
      <w:r>
        <w:rPr/>
        <w:t>101/07</w:t>
      </w:r>
      <w:r>
        <w:rPr>
          <w:spacing w:val="-1"/>
        </w:rPr>
        <w:t> </w:t>
      </w:r>
      <w:r>
        <w:rPr/>
        <w:t>и</w:t>
      </w:r>
    </w:p>
    <w:p>
      <w:pPr>
        <w:pStyle w:val="BodyText"/>
        <w:spacing w:line="212" w:lineRule="exact"/>
        <w:ind w:left="279"/>
      </w:pPr>
      <w:r>
        <w:rPr/>
        <w:t>65/08),</w:t>
      </w:r>
    </w:p>
    <w:p>
      <w:pPr>
        <w:pStyle w:val="BodyText"/>
        <w:spacing w:before="141"/>
        <w:ind w:left="759"/>
      </w:pPr>
      <w:r>
        <w:rPr/>
        <w:t>Влада доноси</w:t>
      </w:r>
    </w:p>
    <w:p>
      <w:pPr>
        <w:pStyle w:val="BodyText"/>
        <w:spacing w:before="7"/>
        <w:rPr>
          <w:sz w:val="9"/>
        </w:rPr>
      </w:pPr>
    </w:p>
    <w:p>
      <w:pPr>
        <w:pStyle w:val="Heading1"/>
        <w:spacing w:before="100"/>
      </w:pPr>
      <w:r>
        <w:rPr/>
        <w:t>ОДЛУКУ</w:t>
      </w:r>
    </w:p>
    <w:p>
      <w:pPr>
        <w:pStyle w:val="BodyText"/>
        <w:spacing w:before="5"/>
        <w:rPr>
          <w:b/>
        </w:rPr>
      </w:pPr>
    </w:p>
    <w:p>
      <w:pPr>
        <w:spacing w:line="230" w:lineRule="auto" w:before="0"/>
        <w:ind w:left="3171" w:right="2904" w:firstLine="174"/>
        <w:jc w:val="left"/>
        <w:rPr>
          <w:b/>
          <w:sz w:val="18"/>
        </w:rPr>
      </w:pPr>
      <w:r>
        <w:rPr>
          <w:b/>
          <w:sz w:val="18"/>
        </w:rPr>
        <w:t>о изменама Стратегије очувања и јачања односа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матичне државе и дијаспоре и матичне државе</w:t>
      </w:r>
    </w:p>
    <w:p>
      <w:pPr>
        <w:pStyle w:val="Heading1"/>
        <w:spacing w:line="212" w:lineRule="exact"/>
        <w:ind w:left="4815" w:right="0"/>
        <w:jc w:val="left"/>
      </w:pPr>
      <w:r>
        <w:rPr/>
        <w:t>и Срба у региону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230" w:lineRule="auto" w:before="148" w:after="0"/>
        <w:ind w:left="279" w:right="418" w:firstLine="480"/>
        <w:jc w:val="left"/>
        <w:rPr>
          <w:sz w:val="18"/>
        </w:rPr>
      </w:pPr>
      <w:r>
        <w:rPr>
          <w:sz w:val="18"/>
        </w:rPr>
        <w:t>У Стратегији очувања и јачања односа матичне државе и дијаспоре и матичне државе и Срба у региону</w:t>
      </w:r>
      <w:r>
        <w:rPr>
          <w:spacing w:val="1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гласник</w:t>
      </w:r>
      <w:r>
        <w:rPr>
          <w:spacing w:val="-3"/>
          <w:sz w:val="18"/>
        </w:rPr>
        <w:t> </w:t>
      </w:r>
      <w:r>
        <w:rPr>
          <w:sz w:val="18"/>
        </w:rPr>
        <w:t>РС”,</w:t>
      </w:r>
      <w:r>
        <w:rPr>
          <w:spacing w:val="-3"/>
          <w:sz w:val="18"/>
        </w:rPr>
        <w:t> </w:t>
      </w:r>
      <w:r>
        <w:rPr>
          <w:sz w:val="18"/>
        </w:rPr>
        <w:t>број</w:t>
      </w:r>
      <w:r>
        <w:rPr>
          <w:spacing w:val="-3"/>
          <w:sz w:val="18"/>
        </w:rPr>
        <w:t> </w:t>
      </w:r>
      <w:r>
        <w:rPr>
          <w:sz w:val="18"/>
        </w:rPr>
        <w:t>4/11),</w:t>
      </w:r>
      <w:r>
        <w:rPr>
          <w:spacing w:val="-3"/>
          <w:sz w:val="18"/>
        </w:rPr>
        <w:t> </w:t>
      </w:r>
      <w:r>
        <w:rPr>
          <w:sz w:val="18"/>
        </w:rPr>
        <w:t>у</w:t>
      </w:r>
      <w:r>
        <w:rPr>
          <w:spacing w:val="-3"/>
          <w:sz w:val="18"/>
        </w:rPr>
        <w:t> </w:t>
      </w:r>
      <w:r>
        <w:rPr>
          <w:sz w:val="18"/>
        </w:rPr>
        <w:t>Глави</w:t>
      </w:r>
      <w:r>
        <w:rPr>
          <w:spacing w:val="-3"/>
          <w:sz w:val="18"/>
        </w:rPr>
        <w:t> </w:t>
      </w:r>
      <w:r>
        <w:rPr>
          <w:sz w:val="18"/>
        </w:rPr>
        <w:t>IV.</w:t>
      </w:r>
      <w:r>
        <w:rPr>
          <w:spacing w:val="-2"/>
          <w:sz w:val="18"/>
        </w:rPr>
        <w:t> </w:t>
      </w:r>
      <w:r>
        <w:rPr>
          <w:sz w:val="18"/>
        </w:rPr>
        <w:t>ПРОЈЕКЦИЈА</w:t>
      </w:r>
      <w:r>
        <w:rPr>
          <w:spacing w:val="-3"/>
          <w:sz w:val="18"/>
        </w:rPr>
        <w:t> </w:t>
      </w:r>
      <w:r>
        <w:rPr>
          <w:sz w:val="18"/>
        </w:rPr>
        <w:t>ОЧУВАЊА</w:t>
      </w:r>
      <w:r>
        <w:rPr>
          <w:spacing w:val="-3"/>
          <w:sz w:val="18"/>
        </w:rPr>
        <w:t> </w:t>
      </w:r>
      <w:r>
        <w:rPr>
          <w:sz w:val="18"/>
        </w:rPr>
        <w:t>И</w:t>
      </w:r>
      <w:r>
        <w:rPr>
          <w:spacing w:val="-3"/>
          <w:sz w:val="18"/>
        </w:rPr>
        <w:t> </w:t>
      </w:r>
      <w:r>
        <w:rPr>
          <w:sz w:val="18"/>
        </w:rPr>
        <w:t>ЈАЧАЊА</w:t>
      </w:r>
      <w:r>
        <w:rPr>
          <w:spacing w:val="-3"/>
          <w:sz w:val="18"/>
        </w:rPr>
        <w:t> </w:t>
      </w:r>
      <w:r>
        <w:rPr>
          <w:sz w:val="18"/>
        </w:rPr>
        <w:t>ОДНОСА</w:t>
      </w:r>
      <w:r>
        <w:rPr>
          <w:spacing w:val="-3"/>
          <w:sz w:val="18"/>
        </w:rPr>
        <w:t> </w:t>
      </w:r>
      <w:r>
        <w:rPr>
          <w:sz w:val="18"/>
        </w:rPr>
        <w:t>МАТИЧНЕ</w:t>
      </w:r>
      <w:r>
        <w:rPr>
          <w:spacing w:val="-3"/>
          <w:sz w:val="18"/>
        </w:rPr>
        <w:t> </w:t>
      </w:r>
      <w:r>
        <w:rPr>
          <w:sz w:val="18"/>
        </w:rPr>
        <w:t>ДРЖАВЕ</w:t>
      </w:r>
      <w:r>
        <w:rPr>
          <w:spacing w:val="-3"/>
          <w:sz w:val="18"/>
        </w:rPr>
        <w:t> </w:t>
      </w:r>
      <w:r>
        <w:rPr>
          <w:sz w:val="18"/>
        </w:rPr>
        <w:t>И</w:t>
      </w:r>
      <w:r>
        <w:rPr>
          <w:spacing w:val="-60"/>
          <w:sz w:val="18"/>
        </w:rPr>
        <w:t> </w:t>
      </w:r>
      <w:r>
        <w:rPr>
          <w:sz w:val="18"/>
        </w:rPr>
        <w:t>СРБА У РЕГИОНУ, одељак ПОСЕБНИ ДЕО ПРОЈЕКЦИЈЕ ОЧУВАЊА И ЈАЧАЊА ОДНОСА МАТИЧНЕ ДРЖАВЕ И СРБА У</w:t>
      </w:r>
      <w:r>
        <w:rPr>
          <w:spacing w:val="-61"/>
          <w:sz w:val="18"/>
        </w:rPr>
        <w:t> </w:t>
      </w:r>
      <w:r>
        <w:rPr>
          <w:sz w:val="18"/>
        </w:rPr>
        <w:t>РЕГИОНУ,</w:t>
      </w:r>
      <w:r>
        <w:rPr>
          <w:spacing w:val="-1"/>
          <w:sz w:val="18"/>
        </w:rPr>
        <w:t> </w:t>
      </w:r>
      <w:r>
        <w:rPr>
          <w:sz w:val="18"/>
        </w:rPr>
        <w:t>у пододељку</w:t>
      </w:r>
      <w:r>
        <w:rPr>
          <w:spacing w:val="-1"/>
          <w:sz w:val="18"/>
        </w:rPr>
        <w:t> </w:t>
      </w:r>
      <w:r>
        <w:rPr>
          <w:sz w:val="18"/>
        </w:rPr>
        <w:t>Специфични циљеви,</w:t>
      </w:r>
      <w:r>
        <w:rPr>
          <w:spacing w:val="-1"/>
          <w:sz w:val="18"/>
        </w:rPr>
        <w:t> </w:t>
      </w:r>
      <w:r>
        <w:rPr>
          <w:sz w:val="18"/>
        </w:rPr>
        <w:t>део под</w:t>
      </w:r>
      <w:r>
        <w:rPr>
          <w:spacing w:val="-1"/>
          <w:sz w:val="18"/>
        </w:rPr>
        <w:t> </w:t>
      </w:r>
      <w:r>
        <w:rPr>
          <w:sz w:val="18"/>
        </w:rPr>
        <w:t>насловом: „Црна</w:t>
      </w:r>
      <w:r>
        <w:rPr>
          <w:spacing w:val="-1"/>
          <w:sz w:val="18"/>
        </w:rPr>
        <w:t> </w:t>
      </w:r>
      <w:r>
        <w:rPr>
          <w:sz w:val="18"/>
        </w:rPr>
        <w:t>Гора”, мења</w:t>
      </w:r>
      <w:r>
        <w:rPr>
          <w:spacing w:val="-1"/>
          <w:sz w:val="18"/>
        </w:rPr>
        <w:t> </w:t>
      </w:r>
      <w:r>
        <w:rPr>
          <w:sz w:val="18"/>
        </w:rPr>
        <w:t>се и</w:t>
      </w:r>
      <w:r>
        <w:rPr>
          <w:spacing w:val="-1"/>
          <w:sz w:val="18"/>
        </w:rPr>
        <w:t> </w:t>
      </w:r>
      <w:r>
        <w:rPr>
          <w:sz w:val="18"/>
        </w:rPr>
        <w:t>гласи:</w:t>
      </w:r>
    </w:p>
    <w:p>
      <w:pPr>
        <w:pStyle w:val="BodyText"/>
        <w:spacing w:before="7"/>
        <w:rPr>
          <w:sz w:val="26"/>
        </w:rPr>
      </w:pPr>
    </w:p>
    <w:p>
      <w:pPr>
        <w:pStyle w:val="Heading1"/>
      </w:pPr>
      <w:r>
        <w:rPr/>
        <w:t>„Црна Гора</w:t>
      </w:r>
    </w:p>
    <w:p>
      <w:pPr>
        <w:pStyle w:val="BodyText"/>
        <w:spacing w:line="214" w:lineRule="exact" w:before="111"/>
        <w:ind w:left="759"/>
      </w:pPr>
      <w:r>
        <w:rPr/>
        <w:t>Република Србија требало би да после Босне и Херцеговине стави Црну Гору у средиште своје спољне и</w:t>
      </w:r>
    </w:p>
    <w:p>
      <w:pPr>
        <w:pStyle w:val="BodyText"/>
        <w:spacing w:line="230" w:lineRule="auto" w:before="3"/>
        <w:ind w:left="279" w:right="339"/>
      </w:pPr>
      <w:r>
        <w:rPr/>
        <w:t>регионалне политике. Имајући у виду вишевековне историјске и цивилизацијске нераскидиве везе две државе и</w:t>
      </w:r>
      <w:r>
        <w:rPr>
          <w:spacing w:val="-61"/>
        </w:rPr>
        <w:t> </w:t>
      </w:r>
      <w:r>
        <w:rPr/>
        <w:t>народа, важно је обезбедити српском народу равноправност и праведну заступљеност у државним установама,</w:t>
      </w:r>
      <w:r>
        <w:rPr>
          <w:spacing w:val="1"/>
        </w:rPr>
        <w:t> </w:t>
      </w:r>
      <w:r>
        <w:rPr/>
        <w:t>државној управи и локалној самоуправи. Неопходно је дати држављанство свим припадницима српског народа</w:t>
      </w:r>
    </w:p>
    <w:p>
      <w:pPr>
        <w:pStyle w:val="BodyText"/>
        <w:spacing w:line="230" w:lineRule="auto"/>
        <w:ind w:left="279" w:right="293"/>
      </w:pPr>
      <w:r>
        <w:rPr/>
        <w:t>који то желе. Контануирана улагања у политичку, економску и културну еманципацију и развој српског народа</w:t>
      </w:r>
      <w:r>
        <w:rPr>
          <w:spacing w:val="1"/>
        </w:rPr>
        <w:t> </w:t>
      </w:r>
      <w:r>
        <w:rPr/>
        <w:t>од посебне су важности. Посебно је неопходно системски уредити и гарантовати стечено право на школовање на</w:t>
      </w:r>
      <w:r>
        <w:rPr>
          <w:spacing w:val="-61"/>
        </w:rPr>
        <w:t> </w:t>
      </w:r>
      <w:r>
        <w:rPr/>
        <w:t>српском језику. Српски језик се не везује само за Србе у Црној Гори, него и за велики број Црногораца који и</w:t>
      </w:r>
      <w:r>
        <w:rPr>
          <w:spacing w:val="1"/>
        </w:rPr>
        <w:t> </w:t>
      </w:r>
      <w:r>
        <w:rPr/>
        <w:t>даље свој језик зову традиционалним, српским именом.</w:t>
      </w:r>
    </w:p>
    <w:p>
      <w:pPr>
        <w:pStyle w:val="BodyText"/>
        <w:spacing w:before="143"/>
        <w:ind w:left="759"/>
      </w:pPr>
      <w:r>
        <w:rPr/>
        <w:t>Република Србија даје подршку:</w:t>
      </w:r>
    </w:p>
    <w:p>
      <w:pPr>
        <w:pStyle w:val="ListParagraph"/>
        <w:numPr>
          <w:ilvl w:val="0"/>
          <w:numId w:val="2"/>
        </w:numPr>
        <w:tabs>
          <w:tab w:pos="938" w:val="left" w:leader="none"/>
        </w:tabs>
        <w:spacing w:line="230" w:lineRule="auto" w:before="148" w:after="0"/>
        <w:ind w:left="279" w:right="691" w:firstLine="480"/>
        <w:jc w:val="left"/>
        <w:rPr>
          <w:sz w:val="18"/>
        </w:rPr>
      </w:pPr>
      <w:r>
        <w:rPr>
          <w:sz w:val="18"/>
        </w:rPr>
        <w:t>реституцији одузете имовине грађанима српске националности, српским удружењима и институцијама</w:t>
      </w:r>
      <w:r>
        <w:rPr>
          <w:spacing w:val="-61"/>
          <w:sz w:val="18"/>
        </w:rPr>
        <w:t> </w:t>
      </w:r>
      <w:r>
        <w:rPr>
          <w:sz w:val="18"/>
        </w:rPr>
        <w:t>(банке, штедионице, културно-просветна друштва), као и Српској Православној Цркви;</w:t>
      </w:r>
    </w:p>
    <w:p>
      <w:pPr>
        <w:pStyle w:val="ListParagraph"/>
        <w:numPr>
          <w:ilvl w:val="0"/>
          <w:numId w:val="2"/>
        </w:numPr>
        <w:tabs>
          <w:tab w:pos="938" w:val="left" w:leader="none"/>
        </w:tabs>
        <w:spacing w:line="240" w:lineRule="auto" w:before="143" w:after="0"/>
        <w:ind w:left="937" w:right="0" w:hanging="179"/>
        <w:jc w:val="left"/>
        <w:rPr>
          <w:sz w:val="18"/>
        </w:rPr>
      </w:pPr>
      <w:r>
        <w:rPr>
          <w:sz w:val="18"/>
        </w:rPr>
        <w:t>обнови сакралног наслеђа српског народа;</w:t>
      </w:r>
    </w:p>
    <w:p>
      <w:pPr>
        <w:pStyle w:val="ListParagraph"/>
        <w:numPr>
          <w:ilvl w:val="0"/>
          <w:numId w:val="2"/>
        </w:numPr>
        <w:tabs>
          <w:tab w:pos="938" w:val="left" w:leader="none"/>
        </w:tabs>
        <w:spacing w:line="230" w:lineRule="auto" w:before="149" w:after="0"/>
        <w:ind w:left="279" w:right="1187" w:firstLine="480"/>
        <w:jc w:val="left"/>
        <w:rPr>
          <w:sz w:val="18"/>
        </w:rPr>
      </w:pPr>
      <w:r>
        <w:rPr>
          <w:sz w:val="18"/>
        </w:rPr>
        <w:t>развоју просветне области и Српске Православне Цркве (богословије, гимназије, основне школе,</w:t>
      </w:r>
      <w:r>
        <w:rPr>
          <w:spacing w:val="-61"/>
          <w:sz w:val="18"/>
        </w:rPr>
        <w:t> </w:t>
      </w:r>
      <w:r>
        <w:rPr>
          <w:sz w:val="18"/>
        </w:rPr>
        <w:t>обданишта, итд.).</w:t>
      </w:r>
    </w:p>
    <w:p>
      <w:pPr>
        <w:pStyle w:val="BodyText"/>
        <w:spacing w:line="230" w:lineRule="auto" w:before="150"/>
        <w:ind w:left="279" w:right="418" w:firstLine="480"/>
      </w:pPr>
      <w:r>
        <w:rPr/>
        <w:t>Министарство вера требало би да настави финансирање и бригу о свештенству и монаштву ради њихове</w:t>
      </w:r>
      <w:r>
        <w:rPr>
          <w:spacing w:val="1"/>
        </w:rPr>
        <w:t> </w:t>
      </w:r>
      <w:r>
        <w:rPr/>
        <w:t>духовне мисије у функцији очувања националног идентитета, пружање помоћи верским, културним и</w:t>
      </w:r>
      <w:r>
        <w:rPr>
          <w:spacing w:val="1"/>
        </w:rPr>
        <w:t> </w:t>
      </w:r>
      <w:r>
        <w:rPr/>
        <w:t>образовним установама, издавачким пројектима, радио и ТВ станицама и обнови и санацији сакралних објеката</w:t>
      </w:r>
      <w:r>
        <w:rPr>
          <w:spacing w:val="-61"/>
        </w:rPr>
        <w:t> </w:t>
      </w:r>
      <w:r>
        <w:rPr/>
        <w:t>(обнова</w:t>
      </w:r>
      <w:r>
        <w:rPr>
          <w:spacing w:val="-1"/>
        </w:rPr>
        <w:t> </w:t>
      </w:r>
      <w:r>
        <w:rPr/>
        <w:t>сакралног наслеђа српског народа).”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240" w:lineRule="auto" w:before="142" w:after="0"/>
        <w:ind w:left="1003" w:right="0" w:hanging="245"/>
        <w:jc w:val="left"/>
        <w:rPr>
          <w:sz w:val="18"/>
        </w:rPr>
      </w:pPr>
      <w:r>
        <w:rPr>
          <w:sz w:val="18"/>
        </w:rPr>
        <w:t>У одељку СТАНДАРДИ, пододељак Жељени стандарди мења се и гласи:</w:t>
      </w:r>
    </w:p>
    <w:p>
      <w:pPr>
        <w:pStyle w:val="BodyText"/>
        <w:spacing w:before="5"/>
        <w:rPr>
          <w:sz w:val="26"/>
        </w:rPr>
      </w:pPr>
    </w:p>
    <w:p>
      <w:pPr>
        <w:pStyle w:val="Heading1"/>
        <w:spacing w:before="1"/>
        <w:ind w:left="4859"/>
      </w:pPr>
      <w:r>
        <w:rPr/>
        <w:t>„Жељени стандарди</w:t>
      </w:r>
    </w:p>
    <w:p>
      <w:pPr>
        <w:pStyle w:val="BodyText"/>
        <w:spacing w:line="230" w:lineRule="auto" w:before="118"/>
        <w:ind w:left="279" w:right="525" w:firstLine="480"/>
      </w:pPr>
      <w:r>
        <w:rPr/>
        <w:t>Републици Србији је у интересу да српски народ у Босни и Херцеговини очува свој ентитет. Пуна</w:t>
      </w:r>
      <w:r>
        <w:rPr>
          <w:spacing w:val="1"/>
        </w:rPr>
        <w:t> </w:t>
      </w:r>
      <w:r>
        <w:rPr/>
        <w:t>национална, просветна, економска и културна права у осталим државама биће остварена не само захваљујући</w:t>
      </w:r>
      <w:r>
        <w:rPr>
          <w:spacing w:val="-61"/>
        </w:rPr>
        <w:t> </w:t>
      </w:r>
      <w:r>
        <w:rPr/>
        <w:t>чињеници да су њихове владе прихватиле ове стандарде, већ и захваљујући спремности Републике Србије да</w:t>
      </w:r>
      <w:r>
        <w:rPr>
          <w:spacing w:val="1"/>
        </w:rPr>
        <w:t> </w:t>
      </w:r>
      <w:r>
        <w:rPr/>
        <w:t>наступи</w:t>
      </w:r>
      <w:r>
        <w:rPr>
          <w:spacing w:val="-1"/>
        </w:rPr>
        <w:t> </w:t>
      </w:r>
      <w:r>
        <w:rPr/>
        <w:t>као партнер и суфинансијер</w:t>
      </w:r>
      <w:r>
        <w:rPr>
          <w:spacing w:val="-1"/>
        </w:rPr>
        <w:t> </w:t>
      </w:r>
      <w:r>
        <w:rPr/>
        <w:t>заједничких пројеката.”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240" w:lineRule="auto" w:before="143" w:after="0"/>
        <w:ind w:left="1003" w:right="0" w:hanging="245"/>
        <w:jc w:val="left"/>
        <w:rPr>
          <w:sz w:val="18"/>
        </w:rPr>
      </w:pPr>
      <w:r>
        <w:rPr>
          <w:sz w:val="18"/>
        </w:rPr>
        <w:t>Ову</w:t>
      </w:r>
      <w:r>
        <w:rPr>
          <w:spacing w:val="-3"/>
          <w:sz w:val="18"/>
        </w:rPr>
        <w:t> </w:t>
      </w:r>
      <w:r>
        <w:rPr>
          <w:sz w:val="18"/>
        </w:rPr>
        <w:t>одлуку</w:t>
      </w:r>
      <w:r>
        <w:rPr>
          <w:spacing w:val="-2"/>
          <w:sz w:val="18"/>
        </w:rPr>
        <w:t> </w:t>
      </w:r>
      <w:r>
        <w:rPr>
          <w:sz w:val="18"/>
        </w:rPr>
        <w:t>објавити</w:t>
      </w:r>
      <w:r>
        <w:rPr>
          <w:spacing w:val="-3"/>
          <w:sz w:val="18"/>
        </w:rPr>
        <w:t> </w:t>
      </w:r>
      <w:r>
        <w:rPr>
          <w:sz w:val="18"/>
        </w:rPr>
        <w:t>у</w:t>
      </w:r>
      <w:r>
        <w:rPr>
          <w:spacing w:val="-2"/>
          <w:sz w:val="18"/>
        </w:rPr>
        <w:t> </w:t>
      </w:r>
      <w:r>
        <w:rPr>
          <w:sz w:val="18"/>
        </w:rPr>
        <w:t>„Службеном</w:t>
      </w:r>
      <w:r>
        <w:rPr>
          <w:spacing w:val="-2"/>
          <w:sz w:val="18"/>
        </w:rPr>
        <w:t> </w:t>
      </w:r>
      <w:r>
        <w:rPr>
          <w:sz w:val="18"/>
        </w:rPr>
        <w:t>гласнику</w:t>
      </w:r>
      <w:r>
        <w:rPr>
          <w:spacing w:val="-3"/>
          <w:sz w:val="18"/>
        </w:rPr>
        <w:t> </w:t>
      </w:r>
      <w:r>
        <w:rPr>
          <w:sz w:val="18"/>
        </w:rPr>
        <w:t>Републике</w:t>
      </w:r>
      <w:r>
        <w:rPr>
          <w:spacing w:val="-2"/>
          <w:sz w:val="18"/>
        </w:rPr>
        <w:t> </w:t>
      </w:r>
      <w:r>
        <w:rPr>
          <w:sz w:val="18"/>
        </w:rPr>
        <w:t>Србије”.</w:t>
      </w:r>
    </w:p>
    <w:p>
      <w:pPr>
        <w:pStyle w:val="BodyText"/>
        <w:spacing w:before="141"/>
        <w:ind w:right="272"/>
        <w:jc w:val="right"/>
      </w:pPr>
      <w:r>
        <w:rPr/>
        <w:t>05 број 019-1564/2011</w:t>
      </w:r>
    </w:p>
    <w:p>
      <w:pPr>
        <w:pStyle w:val="BodyText"/>
        <w:spacing w:before="141"/>
        <w:ind w:right="272"/>
        <w:jc w:val="right"/>
      </w:pPr>
      <w:r>
        <w:rPr/>
        <w:t>У Београду, 2. марта 2011. године</w:t>
      </w:r>
    </w:p>
    <w:p>
      <w:pPr>
        <w:pStyle w:val="Heading1"/>
        <w:spacing w:before="142"/>
        <w:ind w:left="0" w:right="272"/>
        <w:jc w:val="right"/>
      </w:pPr>
      <w:r>
        <w:rPr/>
        <w:t>Влада</w:t>
      </w:r>
    </w:p>
    <w:p>
      <w:pPr>
        <w:spacing w:line="396" w:lineRule="auto" w:before="141"/>
        <w:ind w:left="8525" w:right="272" w:firstLine="1415"/>
        <w:jc w:val="right"/>
        <w:rPr>
          <w:sz w:val="18"/>
        </w:rPr>
      </w:pPr>
      <w:r>
        <w:rPr>
          <w:sz w:val="18"/>
        </w:rPr>
        <w:t>Председник,</w:t>
      </w:r>
      <w:r>
        <w:rPr>
          <w:spacing w:val="-61"/>
          <w:sz w:val="18"/>
        </w:rPr>
        <w:t> </w:t>
      </w:r>
      <w:r>
        <w:rPr>
          <w:sz w:val="18"/>
        </w:rPr>
        <w:t>др</w:t>
      </w:r>
      <w:r>
        <w:rPr>
          <w:spacing w:val="-7"/>
          <w:sz w:val="18"/>
        </w:rPr>
        <w:t> </w:t>
      </w:r>
      <w:r>
        <w:rPr>
          <w:b/>
          <w:sz w:val="18"/>
        </w:rPr>
        <w:t>Мирко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Цветковић,</w:t>
      </w:r>
      <w:r>
        <w:rPr>
          <w:b/>
          <w:spacing w:val="-6"/>
          <w:sz w:val="18"/>
        </w:rPr>
        <w:t> </w:t>
      </w:r>
      <w:r>
        <w:rPr>
          <w:sz w:val="18"/>
        </w:rPr>
        <w:t>с.р.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tabs>
          <w:tab w:pos="11068" w:val="left" w:leader="none"/>
        </w:tabs>
        <w:spacing w:before="95"/>
        <w:ind w:left="109" w:right="0" w:firstLine="0"/>
        <w:jc w:val="left"/>
        <w:rPr>
          <w:rFonts w:ascii="Arial MT"/>
          <w:sz w:val="16"/>
        </w:rPr>
      </w:pPr>
      <w:r>
        <w:rPr>
          <w:rFonts w:ascii="Arial MT"/>
          <w:sz w:val="16"/>
        </w:rPr>
        <w:t>about:blank</w:t>
        <w:tab/>
        <w:t>1/1</w:t>
      </w:r>
    </w:p>
    <w:sectPr>
      <w:type w:val="continuous"/>
      <w:pgSz w:w="12240" w:h="15840"/>
      <w:pgMar w:top="220" w:bottom="0" w:left="4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–"/>
      <w:lvlJc w:val="left"/>
      <w:pPr>
        <w:ind w:left="280" w:hanging="178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392" w:hanging="178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504" w:hanging="17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616" w:hanging="17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728" w:hanging="17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840" w:hanging="17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2" w:hanging="17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64" w:hanging="17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176" w:hanging="178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280" w:hanging="244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392" w:hanging="244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504" w:hanging="24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616" w:hanging="24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728" w:hanging="24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840" w:hanging="24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2" w:hanging="24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64" w:hanging="24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176" w:hanging="244"/>
      </w:pPr>
      <w:rPr>
        <w:rFonts w:hint="default"/>
        <w:lang w:val="Cy-sr-SP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Cy-sr-SP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ind w:left="4858" w:right="4374"/>
      <w:jc w:val="center"/>
      <w:outlineLvl w:val="1"/>
    </w:pPr>
    <w:rPr>
      <w:rFonts w:ascii="Verdana" w:hAnsi="Verdana" w:eastAsia="Verdana" w:cs="Verdana"/>
      <w:b/>
      <w:bCs/>
      <w:sz w:val="18"/>
      <w:szCs w:val="18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spacing w:before="143"/>
      <w:ind w:left="279" w:firstLine="480"/>
    </w:pPr>
    <w:rPr>
      <w:rFonts w:ascii="Verdana" w:hAnsi="Verdana" w:eastAsia="Verdana" w:cs="Verdana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pravno-informacioni-sistem.rs/SlGlasnikPortal/eli/rep/sgrs/vlada/odluka/2011/14/1/sg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2022-10-11T05:51:58Z</dcterms:created>
  <dcterms:modified xsi:type="dcterms:W3CDTF">2022-10-11T05:51:58Z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2022-10-10T00:00:00Z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2022-10-11T00:00:00Z</vt:filetime>
  </property>
</Properties>
</file>