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214" w:lineRule="exact" w:before="90"/>
        <w:ind w:left="599" w:firstLine="0"/>
      </w:pPr>
      <w:r>
        <w:rPr/>
        <w:t>Овај акт можете погледати на адреси</w:t>
      </w:r>
    </w:p>
    <w:p>
      <w:pPr>
        <w:pStyle w:val="BodyText"/>
        <w:spacing w:line="214" w:lineRule="exact" w:before="0"/>
        <w:ind w:left="119" w:firstLine="0"/>
      </w:pPr>
      <w:hyperlink r:id="rId7">
        <w:r>
          <w:rPr>
            <w:color w:val="1B4162"/>
          </w:rPr>
          <w:t>/eli/rep/sgrs/vlada/odluka/2020/66/3/sg</w:t>
        </w:r>
      </w:hyperlink>
    </w:p>
    <w:p>
      <w:pPr>
        <w:pStyle w:val="BodyText"/>
        <w:spacing w:before="0"/>
        <w:ind w:left="0" w:firstLine="0"/>
        <w:rPr>
          <w:sz w:val="28"/>
        </w:rPr>
      </w:pPr>
    </w:p>
    <w:p>
      <w:pPr>
        <w:pStyle w:val="Heading1"/>
        <w:spacing w:before="101"/>
      </w:pPr>
      <w:r>
        <w:rPr/>
        <w:t>1607</w:t>
      </w:r>
    </w:p>
    <w:p>
      <w:pPr>
        <w:pStyle w:val="BodyText"/>
        <w:spacing w:line="230" w:lineRule="auto" w:before="148"/>
        <w:ind w:right="258"/>
      </w:pPr>
      <w:r>
        <w:rPr/>
        <w:t>На</w:t>
      </w:r>
      <w:r>
        <w:rPr>
          <w:spacing w:val="-2"/>
        </w:rPr>
        <w:t> </w:t>
      </w:r>
      <w:r>
        <w:rPr/>
        <w:t>основу</w:t>
      </w:r>
      <w:r>
        <w:rPr>
          <w:spacing w:val="-2"/>
        </w:rPr>
        <w:t> </w:t>
      </w:r>
      <w:r>
        <w:rPr/>
        <w:t>члана</w:t>
      </w:r>
      <w:r>
        <w:rPr>
          <w:spacing w:val="-2"/>
        </w:rPr>
        <w:t> </w:t>
      </w:r>
      <w:r>
        <w:rPr/>
        <w:t>8.</w:t>
      </w:r>
      <w:r>
        <w:rPr>
          <w:spacing w:val="-2"/>
        </w:rPr>
        <w:t> </w:t>
      </w:r>
      <w:r>
        <w:rPr/>
        <w:t>ст.</w:t>
      </w:r>
      <w:r>
        <w:rPr>
          <w:spacing w:val="-2"/>
        </w:rPr>
        <w:t> </w:t>
      </w:r>
      <w:r>
        <w:rPr/>
        <w:t>2.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3.</w:t>
      </w:r>
      <w:r>
        <w:rPr>
          <w:spacing w:val="-2"/>
        </w:rPr>
        <w:t> </w:t>
      </w:r>
      <w:r>
        <w:rPr/>
        <w:t>Закона</w:t>
      </w:r>
      <w:r>
        <w:rPr>
          <w:spacing w:val="-2"/>
        </w:rPr>
        <w:t> </w:t>
      </w:r>
      <w:r>
        <w:rPr/>
        <w:t>о</w:t>
      </w:r>
      <w:r>
        <w:rPr>
          <w:spacing w:val="-2"/>
        </w:rPr>
        <w:t> </w:t>
      </w:r>
      <w:r>
        <w:rPr/>
        <w:t>пловидби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лукама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унутрашњим</w:t>
      </w:r>
      <w:r>
        <w:rPr>
          <w:spacing w:val="-2"/>
        </w:rPr>
        <w:t> </w:t>
      </w:r>
      <w:r>
        <w:rPr/>
        <w:t>водама</w:t>
      </w:r>
      <w:r>
        <w:rPr>
          <w:spacing w:val="-2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61"/>
        </w:rPr>
        <w:t> </w:t>
      </w:r>
      <w:r>
        <w:rPr/>
        <w:t>бр. 73/10, 121/12, 18/15, 96/15 – др. закон, 92/16, 104/16 – др. закон, 113/17 – др. закон, 41/18, 95/18 – др.</w:t>
      </w:r>
      <w:r>
        <w:rPr>
          <w:spacing w:val="1"/>
        </w:rPr>
        <w:t> </w:t>
      </w:r>
      <w:r>
        <w:rPr/>
        <w:t>закон, 37/19 – др. закон и 9/20) и члана 38. став 1. Закона о планском систему Републике Србије („Службени</w:t>
      </w:r>
    </w:p>
    <w:p>
      <w:pPr>
        <w:pStyle w:val="BodyText"/>
        <w:spacing w:line="396" w:lineRule="auto" w:before="0"/>
        <w:ind w:left="719" w:right="8583" w:hanging="480"/>
      </w:pPr>
      <w:r>
        <w:rPr/>
        <w:t>гласник</w:t>
      </w:r>
      <w:r>
        <w:rPr>
          <w:spacing w:val="-11"/>
        </w:rPr>
        <w:t> </w:t>
      </w:r>
      <w:r>
        <w:rPr/>
        <w:t>РС”,</w:t>
      </w:r>
      <w:r>
        <w:rPr>
          <w:spacing w:val="-11"/>
        </w:rPr>
        <w:t> </w:t>
      </w:r>
      <w:r>
        <w:rPr/>
        <w:t>број</w:t>
      </w:r>
      <w:r>
        <w:rPr>
          <w:spacing w:val="-10"/>
        </w:rPr>
        <w:t> </w:t>
      </w:r>
      <w:r>
        <w:rPr/>
        <w:t>30/18),</w:t>
      </w:r>
      <w:r>
        <w:rPr>
          <w:spacing w:val="-60"/>
        </w:rPr>
        <w:t> </w:t>
      </w:r>
      <w:r>
        <w:rPr/>
        <w:t>Влада доноси</w:t>
      </w:r>
    </w:p>
    <w:p>
      <w:pPr>
        <w:pStyle w:val="Heading1"/>
        <w:spacing w:before="66"/>
      </w:pPr>
      <w:r>
        <w:rPr/>
        <w:t>ОДЛУКУ</w:t>
      </w:r>
    </w:p>
    <w:p>
      <w:pPr>
        <w:pStyle w:val="BodyText"/>
        <w:spacing w:before="9"/>
        <w:ind w:left="0" w:firstLine="0"/>
        <w:rPr>
          <w:b/>
          <w:sz w:val="17"/>
        </w:rPr>
      </w:pPr>
    </w:p>
    <w:p>
      <w:pPr>
        <w:spacing w:before="1"/>
        <w:ind w:left="761" w:right="157" w:firstLine="0"/>
        <w:jc w:val="center"/>
        <w:rPr>
          <w:b/>
          <w:sz w:val="18"/>
        </w:rPr>
      </w:pPr>
      <w:r>
        <w:rPr>
          <w:b/>
          <w:sz w:val="18"/>
        </w:rPr>
        <w:t>о допунама Стратегије развоја водног саобраћаја Републике Србије од 2015. до 2025. године</w:t>
      </w:r>
    </w:p>
    <w:p>
      <w:pPr>
        <w:pStyle w:val="ListParagraph"/>
        <w:numPr>
          <w:ilvl w:val="0"/>
          <w:numId w:val="1"/>
        </w:numPr>
        <w:tabs>
          <w:tab w:pos="964" w:val="left" w:leader="none"/>
        </w:tabs>
        <w:spacing w:line="230" w:lineRule="auto" w:before="148" w:after="0"/>
        <w:ind w:left="239" w:right="328" w:firstLine="480"/>
        <w:jc w:val="left"/>
        <w:rPr>
          <w:sz w:val="18"/>
        </w:rPr>
      </w:pPr>
      <w:r>
        <w:rPr>
          <w:sz w:val="18"/>
        </w:rPr>
        <w:t>У Стратегији развоја водног саобраћаја Републике Србије од 2015. до 2025. године („Службени гласник</w:t>
      </w:r>
      <w:r>
        <w:rPr>
          <w:spacing w:val="-62"/>
          <w:sz w:val="18"/>
        </w:rPr>
        <w:t> </w:t>
      </w:r>
      <w:r>
        <w:rPr>
          <w:sz w:val="18"/>
        </w:rPr>
        <w:t>РС”,</w:t>
      </w:r>
      <w:r>
        <w:rPr>
          <w:spacing w:val="-1"/>
          <w:sz w:val="18"/>
        </w:rPr>
        <w:t> </w:t>
      </w:r>
      <w:r>
        <w:rPr>
          <w:sz w:val="18"/>
        </w:rPr>
        <w:t>број</w:t>
      </w:r>
      <w:r>
        <w:rPr>
          <w:spacing w:val="-1"/>
          <w:sz w:val="18"/>
        </w:rPr>
        <w:t> </w:t>
      </w:r>
      <w:r>
        <w:rPr>
          <w:sz w:val="18"/>
        </w:rPr>
        <w:t>3/15),</w:t>
      </w:r>
      <w:r>
        <w:rPr>
          <w:spacing w:val="-1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делу</w:t>
      </w:r>
      <w:r>
        <w:rPr>
          <w:spacing w:val="-1"/>
          <w:sz w:val="18"/>
        </w:rPr>
        <w:t> </w:t>
      </w:r>
      <w:r>
        <w:rPr>
          <w:sz w:val="18"/>
        </w:rPr>
        <w:t>6.</w:t>
      </w:r>
      <w:r>
        <w:rPr>
          <w:spacing w:val="-1"/>
          <w:sz w:val="18"/>
        </w:rPr>
        <w:t> </w:t>
      </w:r>
      <w:r>
        <w:rPr>
          <w:sz w:val="18"/>
        </w:rPr>
        <w:t>РАЗВОЈ ПОМОРСКЕ</w:t>
      </w:r>
      <w:r>
        <w:rPr>
          <w:spacing w:val="-1"/>
          <w:sz w:val="18"/>
        </w:rPr>
        <w:t> </w:t>
      </w:r>
      <w:r>
        <w:rPr>
          <w:sz w:val="18"/>
        </w:rPr>
        <w:t>ПРИВРЕДЕ</w:t>
      </w:r>
      <w:r>
        <w:rPr>
          <w:spacing w:val="-1"/>
          <w:sz w:val="18"/>
        </w:rPr>
        <w:t> </w:t>
      </w:r>
      <w:r>
        <w:rPr>
          <w:sz w:val="18"/>
        </w:rPr>
        <w:t>РЕПУБЛИКЕ</w:t>
      </w:r>
      <w:r>
        <w:rPr>
          <w:spacing w:val="-1"/>
          <w:sz w:val="18"/>
        </w:rPr>
        <w:t> </w:t>
      </w:r>
      <w:r>
        <w:rPr>
          <w:sz w:val="18"/>
        </w:rPr>
        <w:t>СРБИЈЕ,</w:t>
      </w:r>
      <w:r>
        <w:rPr>
          <w:spacing w:val="-1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одељку 6.3.</w:t>
      </w:r>
      <w:r>
        <w:rPr>
          <w:spacing w:val="-1"/>
          <w:sz w:val="18"/>
        </w:rPr>
        <w:t> </w:t>
      </w:r>
      <w:r>
        <w:rPr>
          <w:sz w:val="18"/>
        </w:rPr>
        <w:t>Визија,</w:t>
      </w:r>
      <w:r>
        <w:rPr>
          <w:spacing w:val="-1"/>
          <w:sz w:val="18"/>
        </w:rPr>
        <w:t> </w:t>
      </w:r>
      <w:r>
        <w:rPr>
          <w:sz w:val="18"/>
        </w:rPr>
        <w:t>мисија</w:t>
      </w:r>
      <w:r>
        <w:rPr>
          <w:spacing w:val="-1"/>
          <w:sz w:val="18"/>
        </w:rPr>
        <w:t> </w:t>
      </w:r>
      <w:r>
        <w:rPr>
          <w:sz w:val="18"/>
        </w:rPr>
        <w:t>и</w:t>
      </w:r>
    </w:p>
    <w:p>
      <w:pPr>
        <w:pStyle w:val="BodyText"/>
        <w:spacing w:line="212" w:lineRule="exact" w:before="0"/>
        <w:ind w:firstLine="0"/>
      </w:pPr>
      <w:r>
        <w:rPr/>
        <w:t>стратешки циљеви, пододељак 6.3.3. Стратешки циљеви после тачке 1. додаје се тачка 1a, која гласи:</w:t>
      </w:r>
    </w:p>
    <w:p>
      <w:pPr>
        <w:pStyle w:val="BodyText"/>
        <w:spacing w:line="396" w:lineRule="auto" w:before="141"/>
        <w:ind w:left="719" w:right="4950" w:firstLine="0"/>
      </w:pPr>
      <w:r>
        <w:rPr/>
        <w:t>„1а Потпуно спровођење обавезујућих IMO инструмената.</w:t>
      </w:r>
      <w:r>
        <w:rPr>
          <w:spacing w:val="-61"/>
        </w:rPr>
        <w:t> </w:t>
      </w:r>
      <w:r>
        <w:rPr/>
        <w:t>Овај</w:t>
      </w:r>
      <w:r>
        <w:rPr>
          <w:spacing w:val="-3"/>
        </w:rPr>
        <w:t> </w:t>
      </w:r>
      <w:r>
        <w:rPr/>
        <w:t>циљ</w:t>
      </w:r>
      <w:r>
        <w:rPr>
          <w:spacing w:val="-2"/>
        </w:rPr>
        <w:t> </w:t>
      </w:r>
      <w:r>
        <w:rPr/>
        <w:t>ће</w:t>
      </w:r>
      <w:r>
        <w:rPr>
          <w:spacing w:val="-2"/>
        </w:rPr>
        <w:t> </w:t>
      </w:r>
      <w:r>
        <w:rPr/>
        <w:t>бити</w:t>
      </w:r>
      <w:r>
        <w:rPr>
          <w:spacing w:val="-2"/>
        </w:rPr>
        <w:t> </w:t>
      </w:r>
      <w:r>
        <w:rPr/>
        <w:t>испуњен</w:t>
      </w:r>
      <w:r>
        <w:rPr>
          <w:spacing w:val="-2"/>
        </w:rPr>
        <w:t> </w:t>
      </w:r>
      <w:r>
        <w:rPr/>
        <w:t>предузимањем</w:t>
      </w:r>
      <w:r>
        <w:rPr>
          <w:spacing w:val="-3"/>
        </w:rPr>
        <w:t> </w:t>
      </w:r>
      <w:r>
        <w:rPr/>
        <w:t>следећих</w:t>
      </w:r>
      <w:r>
        <w:rPr>
          <w:spacing w:val="-2"/>
        </w:rPr>
        <w:t> </w:t>
      </w:r>
      <w:r>
        <w:rPr/>
        <w:t>мера: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6" w:after="0"/>
        <w:ind w:left="239" w:right="831" w:firstLine="480"/>
        <w:jc w:val="left"/>
        <w:rPr>
          <w:sz w:val="18"/>
        </w:rPr>
      </w:pPr>
      <w:r>
        <w:rPr>
          <w:sz w:val="18"/>
        </w:rPr>
        <w:t>спровођење Резолуције А.1070(28) Правилник о спровођењу IMO инструмената (III Правилник), са</w:t>
      </w:r>
      <w:r>
        <w:rPr>
          <w:spacing w:val="-62"/>
          <w:sz w:val="18"/>
        </w:rPr>
        <w:t> </w:t>
      </w:r>
      <w:r>
        <w:rPr>
          <w:sz w:val="18"/>
        </w:rPr>
        <w:t>изменама и допунама,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748" w:firstLine="480"/>
        <w:jc w:val="left"/>
        <w:rPr>
          <w:sz w:val="18"/>
        </w:rPr>
      </w:pPr>
      <w:r>
        <w:rPr>
          <w:sz w:val="18"/>
        </w:rPr>
        <w:t>спровођење Резолуције А.1121(30) 2017 Листа обавеза у складу са Правилником о спровођењу IMO</w:t>
      </w:r>
      <w:r>
        <w:rPr>
          <w:spacing w:val="-62"/>
          <w:sz w:val="18"/>
        </w:rPr>
        <w:t> </w:t>
      </w:r>
      <w:r>
        <w:rPr>
          <w:sz w:val="18"/>
        </w:rPr>
        <w:t>инструмената, са изменама и допунама.</w:t>
      </w:r>
    </w:p>
    <w:p>
      <w:pPr>
        <w:pStyle w:val="BodyText"/>
        <w:spacing w:before="142"/>
        <w:ind w:left="719" w:firstLine="0"/>
      </w:pPr>
      <w:r>
        <w:rPr/>
        <w:t>У циљу ефикасног испуњавања обавеза и одговорности, Министарство: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49" w:after="0"/>
        <w:ind w:left="239" w:right="438" w:firstLine="480"/>
        <w:jc w:val="left"/>
        <w:rPr>
          <w:sz w:val="18"/>
        </w:rPr>
      </w:pPr>
      <w:r>
        <w:rPr>
          <w:sz w:val="18"/>
        </w:rPr>
        <w:t>спроводи политику кроз предлагање и доношење законa и подзаконских аката, којима се ефикасно</w:t>
      </w:r>
      <w:r>
        <w:rPr>
          <w:spacing w:val="1"/>
          <w:sz w:val="18"/>
        </w:rPr>
        <w:t> </w:t>
      </w:r>
      <w:r>
        <w:rPr>
          <w:sz w:val="18"/>
        </w:rPr>
        <w:t>примењују захтеви IMO конвенција и протокола којима је приступила Република Србија, а које се односе на</w:t>
      </w:r>
      <w:r>
        <w:rPr>
          <w:spacing w:val="1"/>
          <w:sz w:val="18"/>
        </w:rPr>
        <w:t> </w:t>
      </w:r>
      <w:r>
        <w:rPr>
          <w:sz w:val="18"/>
        </w:rPr>
        <w:t>безбедност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сигурност</w:t>
      </w:r>
      <w:r>
        <w:rPr>
          <w:spacing w:val="-1"/>
          <w:sz w:val="18"/>
        </w:rPr>
        <w:t> </w:t>
      </w:r>
      <w:r>
        <w:rPr>
          <w:sz w:val="18"/>
        </w:rPr>
        <w:t>поморских</w:t>
      </w:r>
      <w:r>
        <w:rPr>
          <w:spacing w:val="-1"/>
          <w:sz w:val="18"/>
        </w:rPr>
        <w:t> </w:t>
      </w:r>
      <w:r>
        <w:rPr>
          <w:sz w:val="18"/>
        </w:rPr>
        <w:t>бродова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постројења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заштиту</w:t>
      </w:r>
      <w:r>
        <w:rPr>
          <w:spacing w:val="-1"/>
          <w:sz w:val="18"/>
        </w:rPr>
        <w:t> </w:t>
      </w:r>
      <w:r>
        <w:rPr>
          <w:sz w:val="18"/>
        </w:rPr>
        <w:t>животне</w:t>
      </w:r>
      <w:r>
        <w:rPr>
          <w:spacing w:val="-1"/>
          <w:sz w:val="18"/>
        </w:rPr>
        <w:t> </w:t>
      </w:r>
      <w:r>
        <w:rPr>
          <w:sz w:val="18"/>
        </w:rPr>
        <w:t>средине</w:t>
      </w:r>
      <w:r>
        <w:rPr>
          <w:spacing w:val="-1"/>
          <w:sz w:val="18"/>
        </w:rPr>
        <w:t> </w:t>
      </w:r>
      <w:r>
        <w:rPr>
          <w:sz w:val="18"/>
        </w:rPr>
        <w:t>од</w:t>
      </w:r>
      <w:r>
        <w:rPr>
          <w:spacing w:val="-1"/>
          <w:sz w:val="18"/>
        </w:rPr>
        <w:t> </w:t>
      </w:r>
      <w:r>
        <w:rPr>
          <w:sz w:val="18"/>
        </w:rPr>
        <w:t>загађења</w:t>
      </w:r>
      <w:r>
        <w:rPr>
          <w:spacing w:val="-1"/>
          <w:sz w:val="18"/>
        </w:rPr>
        <w:t> </w:t>
      </w:r>
      <w:r>
        <w:rPr>
          <w:sz w:val="18"/>
        </w:rPr>
        <w:t>са</w:t>
      </w:r>
      <w:r>
        <w:rPr>
          <w:spacing w:val="-1"/>
          <w:sz w:val="18"/>
        </w:rPr>
        <w:t> </w:t>
      </w:r>
      <w:r>
        <w:rPr>
          <w:sz w:val="18"/>
        </w:rPr>
        <w:t>бродова;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603" w:firstLine="480"/>
        <w:jc w:val="left"/>
        <w:rPr>
          <w:sz w:val="18"/>
        </w:rPr>
      </w:pPr>
      <w:r>
        <w:rPr>
          <w:sz w:val="18"/>
        </w:rPr>
        <w:t>Сектор за водни саобраћај и безбедност пловидбе припремa мишљење, изменe и допунe свих важних</w:t>
      </w:r>
      <w:r>
        <w:rPr>
          <w:spacing w:val="-61"/>
          <w:sz w:val="18"/>
        </w:rPr>
        <w:t> </w:t>
      </w:r>
      <w:r>
        <w:rPr>
          <w:sz w:val="18"/>
        </w:rPr>
        <w:t>политика које се односе на IMO конвенције и протоколе, којима је приступила Република Србија.</w:t>
      </w:r>
    </w:p>
    <w:p>
      <w:pPr>
        <w:pStyle w:val="BodyText"/>
        <w:spacing w:line="230" w:lineRule="auto"/>
        <w:ind w:right="370"/>
      </w:pPr>
      <w:r>
        <w:rPr/>
        <w:t>Министарство успоставља ресурсе и поступке управљања програмима безбедности, сигурности и заштите</w:t>
      </w:r>
      <w:r>
        <w:rPr>
          <w:spacing w:val="-61"/>
        </w:rPr>
        <w:t> </w:t>
      </w:r>
      <w:r>
        <w:rPr/>
        <w:t>животне средине од загађења са бродова, а као минимум, омогућује: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188" w:firstLine="480"/>
        <w:jc w:val="left"/>
        <w:rPr>
          <w:sz w:val="18"/>
        </w:rPr>
      </w:pPr>
      <w:r>
        <w:rPr>
          <w:sz w:val="18"/>
        </w:rPr>
        <w:t>издавање упутстава за примену важећих међународних прописа, као и давање мишљења о примени</w:t>
      </w:r>
      <w:r>
        <w:rPr>
          <w:spacing w:val="1"/>
          <w:sz w:val="18"/>
        </w:rPr>
        <w:t> </w:t>
      </w:r>
      <w:r>
        <w:rPr>
          <w:sz w:val="18"/>
        </w:rPr>
        <w:t>домаћих прописа, укључујући и издавање сведочанстава од стране признатих организација у складу са законом</w:t>
      </w:r>
      <w:r>
        <w:rPr>
          <w:spacing w:val="-61"/>
          <w:sz w:val="18"/>
        </w:rPr>
        <w:t> </w:t>
      </w:r>
      <w:r>
        <w:rPr>
          <w:sz w:val="18"/>
        </w:rPr>
        <w:t>којим се уређује поморска пловидба (у даљем тексту: признате организације), које су овлашћене у складу са</w:t>
      </w:r>
      <w:r>
        <w:rPr>
          <w:spacing w:val="1"/>
          <w:sz w:val="18"/>
        </w:rPr>
        <w:t> </w:t>
      </w:r>
      <w:r>
        <w:rPr>
          <w:sz w:val="18"/>
        </w:rPr>
        <w:t>правилом XI-1/1SOLAS Конвенције, као и за издавање сведочанства која се захтевају у складу са домаћим</w:t>
      </w:r>
      <w:r>
        <w:rPr>
          <w:spacing w:val="1"/>
          <w:sz w:val="18"/>
        </w:rPr>
        <w:t> </w:t>
      </w:r>
      <w:r>
        <w:rPr>
          <w:sz w:val="18"/>
        </w:rPr>
        <w:t>прописима, а која се односе на усаглашеност са структурним, механичким, електричним и/или другим захтевима</w:t>
      </w:r>
      <w:r>
        <w:rPr>
          <w:spacing w:val="-61"/>
          <w:sz w:val="18"/>
        </w:rPr>
        <w:t> </w:t>
      </w:r>
      <w:r>
        <w:rPr>
          <w:sz w:val="18"/>
        </w:rPr>
        <w:t>међународних конвенција којима је приступила Република Србија,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263" w:firstLine="480"/>
        <w:jc w:val="left"/>
        <w:rPr>
          <w:sz w:val="18"/>
        </w:rPr>
      </w:pPr>
      <w:r>
        <w:rPr>
          <w:sz w:val="18"/>
        </w:rPr>
        <w:t>усклађеност са захтевима важећих међународних прописа, користећи програме контрола и инспекције,</w:t>
      </w:r>
      <w:r>
        <w:rPr>
          <w:spacing w:val="1"/>
          <w:sz w:val="18"/>
        </w:rPr>
        <w:t> </w:t>
      </w:r>
      <w:r>
        <w:rPr>
          <w:sz w:val="18"/>
        </w:rPr>
        <w:t>независно од било ког надлежног органа који издаје сведочанства и документацију и/или било ког тела коме су</w:t>
      </w:r>
      <w:r>
        <w:rPr>
          <w:spacing w:val="-61"/>
          <w:sz w:val="18"/>
        </w:rPr>
        <w:t> </w:t>
      </w:r>
      <w:r>
        <w:rPr>
          <w:sz w:val="18"/>
        </w:rPr>
        <w:t>делегирана овлашћења за издавање неопходних сведочанстава и документације,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536" w:firstLine="480"/>
        <w:jc w:val="left"/>
        <w:rPr>
          <w:sz w:val="18"/>
        </w:rPr>
      </w:pPr>
      <w:r>
        <w:rPr>
          <w:sz w:val="18"/>
        </w:rPr>
        <w:t>усклађеност са захтевима међународних стандарда за обуку, издавање овлашћења и вршења бродске</w:t>
      </w:r>
      <w:r>
        <w:rPr>
          <w:spacing w:val="-62"/>
          <w:sz w:val="18"/>
        </w:rPr>
        <w:t> </w:t>
      </w:r>
      <w:r>
        <w:rPr>
          <w:sz w:val="18"/>
        </w:rPr>
        <w:t>страже помораца. То подразумева, између осталог:</w:t>
      </w:r>
    </w:p>
    <w:p>
      <w:pPr>
        <w:pStyle w:val="BodyText"/>
        <w:spacing w:before="142"/>
        <w:ind w:left="719" w:firstLine="0"/>
      </w:pPr>
      <w:r>
        <w:rPr/>
        <w:t>а) обуку, процену оспособљености и издавање овлашћења поморцима;</w:t>
      </w:r>
    </w:p>
    <w:p>
      <w:pPr>
        <w:pStyle w:val="BodyText"/>
        <w:spacing w:line="230" w:lineRule="auto" w:before="149"/>
        <w:ind w:right="504"/>
      </w:pPr>
      <w:r>
        <w:rPr/>
        <w:t>б) овлашћења и овере овлашћења која прецизно одражавају оспособљеност помораца, користећи</w:t>
      </w:r>
      <w:r>
        <w:rPr>
          <w:spacing w:val="1"/>
        </w:rPr>
        <w:t> </w:t>
      </w:r>
      <w:r>
        <w:rPr/>
        <w:t>одговарајућу терминологију, као и услове који су идентични оним који се користе у документу о минималном</w:t>
      </w:r>
      <w:r>
        <w:rPr>
          <w:spacing w:val="-61"/>
        </w:rPr>
        <w:t> </w:t>
      </w:r>
      <w:r>
        <w:rPr/>
        <w:t>броју чланова посаде за бродове;</w:t>
      </w:r>
    </w:p>
    <w:p>
      <w:pPr>
        <w:pStyle w:val="BodyText"/>
        <w:spacing w:line="230" w:lineRule="auto"/>
        <w:ind w:right="304"/>
      </w:pPr>
      <w:r>
        <w:rPr/>
        <w:t>в) обављање независне истраге о пријављеним случајевима, у вези дела или пропуста који могу директно</w:t>
      </w:r>
      <w:r>
        <w:rPr>
          <w:spacing w:val="-61"/>
        </w:rPr>
        <w:t> </w:t>
      </w:r>
      <w:r>
        <w:rPr/>
        <w:t>угрозити безбедност живота или имовине на мору или животну средину, од стране носилаца овлашћења или</w:t>
      </w:r>
      <w:r>
        <w:rPr>
          <w:spacing w:val="1"/>
        </w:rPr>
        <w:t> </w:t>
      </w:r>
      <w:r>
        <w:rPr/>
        <w:t>овере овлашћења које је издала Република Србија;</w:t>
      </w:r>
    </w:p>
    <w:p>
      <w:pPr>
        <w:pStyle w:val="BodyText"/>
        <w:spacing w:line="230" w:lineRule="auto"/>
        <w:ind w:right="404"/>
      </w:pPr>
      <w:r>
        <w:rPr/>
        <w:t>г) утврђивање механизма за привремено или трајно одузимање овлашћења или овере овлашћења издатa</w:t>
      </w:r>
      <w:r>
        <w:rPr>
          <w:spacing w:val="-61"/>
        </w:rPr>
        <w:t> </w:t>
      </w:r>
      <w:r>
        <w:rPr/>
        <w:t>поморцима од стране Републике Србије када је то оправдано и када је то неопходно ради спречавања</w:t>
      </w:r>
      <w:r>
        <w:rPr>
          <w:spacing w:val="1"/>
        </w:rPr>
        <w:t> </w:t>
      </w:r>
      <w:r>
        <w:rPr/>
        <w:t>злоупотребе;</w:t>
      </w:r>
    </w:p>
    <w:p>
      <w:pPr>
        <w:pStyle w:val="BodyText"/>
        <w:spacing w:line="230" w:lineRule="auto"/>
        <w:ind w:right="124"/>
        <w:jc w:val="both"/>
      </w:pPr>
      <w:r>
        <w:rPr/>
        <w:t>д) утврђивање поступака који се односе на обуку, процену и издавање овлашћења спроведених у складу са</w:t>
      </w:r>
      <w:r>
        <w:rPr>
          <w:spacing w:val="-61"/>
        </w:rPr>
        <w:t> </w:t>
      </w:r>
      <w:r>
        <w:rPr/>
        <w:t>надлежностима друге државе, које прихвата Република Србија, а на основу којих заповедници, официри и други</w:t>
      </w:r>
      <w:r>
        <w:rPr>
          <w:spacing w:val="-61"/>
        </w:rPr>
        <w:t> </w:t>
      </w:r>
      <w:r>
        <w:rPr/>
        <w:t>поморци могу бити ангажовани на бродовима који вију заставу Републике Србије;</w:t>
      </w:r>
    </w:p>
    <w:p>
      <w:pPr>
        <w:spacing w:after="0" w:line="230" w:lineRule="auto"/>
        <w:jc w:val="both"/>
        <w:sectPr>
          <w:headerReference w:type="default" r:id="rId5"/>
          <w:footerReference w:type="default" r:id="rId6"/>
          <w:type w:val="continuous"/>
          <w:pgSz w:w="12240" w:h="15840"/>
          <w:pgMar w:header="274" w:footer="285" w:top="460" w:bottom="480" w:left="460" w:right="580"/>
          <w:pgNumType w:start="1"/>
        </w:sectPr>
      </w:pPr>
    </w:p>
    <w:p>
      <w:pPr>
        <w:pStyle w:val="BodyText"/>
        <w:spacing w:line="214" w:lineRule="exact" w:before="90"/>
        <w:ind w:left="599" w:firstLine="0"/>
      </w:pPr>
      <w:r>
        <w:rPr>
          <w:spacing w:val="-22"/>
        </w:rPr>
        <w:t>О</w:t>
      </w:r>
      <w:r>
        <w:rPr>
          <w:spacing w:val="-93"/>
        </w:rPr>
        <w:t>–</w:t>
      </w:r>
      <w:r>
        <w:rPr/>
        <w:t>в</w:t>
      </w:r>
      <w:r>
        <w:rPr>
          <w:spacing w:val="-60"/>
        </w:rPr>
        <w:t>а</w:t>
      </w:r>
      <w:r>
        <w:rPr>
          <w:spacing w:val="-49"/>
        </w:rPr>
        <w:t>а</w:t>
      </w:r>
      <w:r>
        <w:rPr>
          <w:spacing w:val="-13"/>
        </w:rPr>
        <w:t>ј</w:t>
      </w:r>
      <w:r>
        <w:rPr>
          <w:spacing w:val="-36"/>
        </w:rPr>
        <w:t>д</w:t>
      </w:r>
      <w:r>
        <w:rPr>
          <w:spacing w:val="-73"/>
        </w:rPr>
        <w:t>а</w:t>
      </w:r>
      <w:r>
        <w:rPr>
          <w:spacing w:val="-35"/>
        </w:rPr>
        <w:t>е</w:t>
      </w:r>
      <w:r>
        <w:rPr>
          <w:spacing w:val="-72"/>
        </w:rPr>
        <w:t>к</w:t>
      </w:r>
      <w:r>
        <w:rPr>
          <w:spacing w:val="-35"/>
        </w:rPr>
        <w:t>к</w:t>
      </w:r>
      <w:r>
        <w:rPr>
          <w:spacing w:val="-55"/>
        </w:rPr>
        <w:t>т</w:t>
      </w:r>
      <w:r>
        <w:rPr/>
        <w:t>в</w:t>
      </w:r>
      <w:r>
        <w:rPr>
          <w:spacing w:val="-98"/>
        </w:rPr>
        <w:t>а</w:t>
      </w:r>
      <w:r>
        <w:rPr>
          <w:spacing w:val="-28"/>
        </w:rPr>
        <w:t>м</w:t>
      </w:r>
      <w:r>
        <w:rPr>
          <w:spacing w:val="-62"/>
        </w:rPr>
        <w:t>т</w:t>
      </w:r>
      <w:r>
        <w:rPr>
          <w:spacing w:val="-48"/>
        </w:rPr>
        <w:t>о</w:t>
      </w:r>
      <w:r>
        <w:rPr>
          <w:spacing w:val="-67"/>
        </w:rPr>
        <w:t>н</w:t>
      </w:r>
      <w:r>
        <w:rPr>
          <w:spacing w:val="-77"/>
        </w:rPr>
        <w:t>ж</w:t>
      </w:r>
      <w:r>
        <w:rPr>
          <w:spacing w:val="-33"/>
        </w:rPr>
        <w:t>о</w:t>
      </w:r>
      <w:r>
        <w:rPr>
          <w:spacing w:val="-12"/>
        </w:rPr>
        <w:t>е</w:t>
      </w:r>
      <w:r>
        <w:rPr>
          <w:spacing w:val="-104"/>
        </w:rPr>
        <w:t>и</w:t>
      </w:r>
      <w:r>
        <w:rPr/>
        <w:t>т</w:t>
      </w:r>
      <w:r>
        <w:rPr>
          <w:spacing w:val="-30"/>
        </w:rPr>
        <w:t>е</w:t>
      </w:r>
      <w:r>
        <w:rPr>
          <w:spacing w:val="-22"/>
        </w:rPr>
        <w:t>п</w:t>
      </w:r>
      <w:r>
        <w:rPr>
          <w:spacing w:val="-93"/>
        </w:rPr>
        <w:t>п</w:t>
      </w:r>
      <w:r>
        <w:rPr>
          <w:spacing w:val="-20"/>
        </w:rPr>
        <w:t>р</w:t>
      </w:r>
      <w:r>
        <w:rPr>
          <w:spacing w:val="-90"/>
        </w:rPr>
        <w:t>о</w:t>
      </w:r>
      <w:r>
        <w:rPr>
          <w:spacing w:val="-19"/>
        </w:rPr>
        <w:t>а</w:t>
      </w:r>
      <w:r>
        <w:rPr>
          <w:spacing w:val="-67"/>
        </w:rPr>
        <w:t>г</w:t>
      </w:r>
      <w:r>
        <w:rPr>
          <w:spacing w:val="-41"/>
        </w:rPr>
        <w:t>в</w:t>
      </w:r>
      <w:r>
        <w:rPr>
          <w:spacing w:val="-72"/>
        </w:rPr>
        <w:t>л</w:t>
      </w:r>
      <w:r>
        <w:rPr>
          <w:spacing w:val="-38"/>
        </w:rPr>
        <w:t>о</w:t>
      </w:r>
      <w:r>
        <w:rPr>
          <w:spacing w:val="-70"/>
        </w:rPr>
        <w:t>е</w:t>
      </w:r>
      <w:r>
        <w:rPr>
          <w:spacing w:val="-38"/>
        </w:rPr>
        <w:t>в</w:t>
      </w:r>
      <w:r>
        <w:rPr>
          <w:spacing w:val="-75"/>
        </w:rPr>
        <w:t>д</w:t>
      </w:r>
      <w:r>
        <w:rPr>
          <w:spacing w:val="-38"/>
        </w:rPr>
        <w:t>р</w:t>
      </w:r>
      <w:r>
        <w:rPr>
          <w:spacing w:val="-71"/>
        </w:rPr>
        <w:t>а</w:t>
      </w:r>
      <w:r>
        <w:rPr>
          <w:spacing w:val="-38"/>
        </w:rPr>
        <w:t>е</w:t>
      </w:r>
      <w:r>
        <w:rPr>
          <w:spacing w:val="-53"/>
        </w:rPr>
        <w:t>т</w:t>
      </w:r>
      <w:r>
        <w:rPr>
          <w:spacing w:val="-74"/>
        </w:rPr>
        <w:t>м</w:t>
      </w:r>
      <w:r>
        <w:rPr>
          <w:spacing w:val="-43"/>
        </w:rPr>
        <w:t>и</w:t>
      </w:r>
      <w:r>
        <w:rPr>
          <w:spacing w:val="-2"/>
        </w:rPr>
        <w:t>е</w:t>
      </w:r>
      <w:r>
        <w:rPr/>
        <w:t>н</w:t>
      </w:r>
      <w:r>
        <w:rPr>
          <w:spacing w:val="-107"/>
        </w:rPr>
        <w:t>а</w:t>
      </w:r>
      <w:r>
        <w:rPr/>
        <w:t>о</w:t>
      </w:r>
      <w:r>
        <w:rPr>
          <w:spacing w:val="-4"/>
        </w:rPr>
        <w:t> </w:t>
      </w:r>
      <w:r>
        <w:rPr>
          <w:spacing w:val="-106"/>
        </w:rPr>
        <w:t>а</w:t>
      </w:r>
      <w:r>
        <w:rPr>
          <w:spacing w:val="-10"/>
        </w:rPr>
        <w:t>п</w:t>
      </w:r>
      <w:r>
        <w:rPr>
          <w:spacing w:val="-103"/>
        </w:rPr>
        <w:t>д</w:t>
      </w:r>
      <w:r>
        <w:rPr>
          <w:spacing w:val="-7"/>
        </w:rPr>
        <w:t>о</w:t>
      </w:r>
      <w:r>
        <w:rPr>
          <w:spacing w:val="-106"/>
        </w:rPr>
        <w:t>р</w:t>
      </w:r>
      <w:r>
        <w:rPr/>
        <w:t>с</w:t>
      </w:r>
      <w:r>
        <w:rPr>
          <w:spacing w:val="-81"/>
        </w:rPr>
        <w:t>т</w:t>
      </w:r>
      <w:r>
        <w:rPr>
          <w:spacing w:val="-27"/>
        </w:rPr>
        <w:t>е</w:t>
      </w:r>
      <w:r>
        <w:rPr>
          <w:spacing w:val="-80"/>
        </w:rPr>
        <w:t>у</w:t>
      </w:r>
      <w:r>
        <w:rPr>
          <w:spacing w:val="-17"/>
        </w:rPr>
        <w:t>с</w:t>
      </w:r>
      <w:r>
        <w:rPr>
          <w:spacing w:val="-99"/>
        </w:rPr>
        <w:t>п</w:t>
      </w:r>
      <w:r>
        <w:rPr>
          <w:spacing w:val="-18"/>
        </w:rPr>
        <w:t>и</w:t>
      </w:r>
      <w:r>
        <w:rPr/>
        <w:t>ање у случају када су на броду идентификовани недостаци;</w:t>
      </w:r>
    </w:p>
    <w:p>
      <w:pPr>
        <w:pStyle w:val="BodyText"/>
        <w:spacing w:line="180" w:lineRule="exact" w:before="0"/>
        <w:ind w:left="119" w:firstLine="0"/>
      </w:pPr>
      <w:hyperlink r:id="rId7">
        <w:r>
          <w:rPr>
            <w:color w:val="1B4162"/>
          </w:rPr>
          <w:t>/eli/rep/sgrs/vlada/odluka/2020/66/3/sg</w:t>
        </w:r>
      </w:hyperlink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184" w:lineRule="exact" w:before="0" w:after="0"/>
        <w:ind w:left="897" w:right="0" w:hanging="179"/>
        <w:jc w:val="left"/>
        <w:rPr>
          <w:sz w:val="18"/>
        </w:rPr>
      </w:pPr>
      <w:r>
        <w:rPr>
          <w:sz w:val="18"/>
        </w:rPr>
        <w:t>израду и доношење детаљних упутстава у вези са захтевима међународних прописа.</w:t>
      </w:r>
    </w:p>
    <w:p>
      <w:pPr>
        <w:pStyle w:val="BodyText"/>
        <w:spacing w:line="230" w:lineRule="auto" w:before="148"/>
        <w:ind w:right="112"/>
      </w:pPr>
      <w:r>
        <w:rPr/>
        <w:t>Министарство осигурава да бродови који вију заставу Републике Србије буду довољно и ефикасно</w:t>
      </w:r>
      <w:r>
        <w:rPr>
          <w:spacing w:val="1"/>
        </w:rPr>
        <w:t> </w:t>
      </w:r>
      <w:r>
        <w:rPr/>
        <w:t>опремљени, узимајући у обзир релевантне и постојеће мере, као што су Принципи безбедног управљања, који су</w:t>
      </w:r>
      <w:r>
        <w:rPr>
          <w:spacing w:val="-61"/>
        </w:rPr>
        <w:t> </w:t>
      </w:r>
      <w:r>
        <w:rPr/>
        <w:t>усвојени од стране IМО.</w:t>
      </w:r>
    </w:p>
    <w:p>
      <w:pPr>
        <w:pStyle w:val="BodyText"/>
        <w:spacing w:line="230" w:lineRule="auto"/>
        <w:ind w:right="566"/>
      </w:pPr>
      <w:r>
        <w:rPr/>
        <w:t>За поморске бродове који вију заставу Републике Србије, Министарство може да овласти признату</w:t>
      </w:r>
      <w:r>
        <w:rPr>
          <w:spacing w:val="1"/>
        </w:rPr>
        <w:t> </w:t>
      </w:r>
      <w:r>
        <w:rPr/>
        <w:t>организацију да у име Републике Србије спроводи прегледе, инспекције и контроле, издаје сведочанства и</w:t>
      </w:r>
      <w:r>
        <w:rPr>
          <w:spacing w:val="1"/>
        </w:rPr>
        <w:t> </w:t>
      </w:r>
      <w:r>
        <w:rPr/>
        <w:t>документа, врши обележавање бродова и друге послове који се захтевају у складу са конвенцијама IМО или</w:t>
      </w:r>
      <w:r>
        <w:rPr>
          <w:spacing w:val="-61"/>
        </w:rPr>
        <w:t> </w:t>
      </w:r>
      <w:r>
        <w:rPr/>
        <w:t>према домаћим прописима. Пре доделе таквих овлашћења неопходно је: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14" w:lineRule="exact" w:before="143" w:after="0"/>
        <w:ind w:left="897" w:right="0" w:hanging="179"/>
        <w:jc w:val="left"/>
        <w:rPr>
          <w:sz w:val="18"/>
        </w:rPr>
      </w:pPr>
      <w:r>
        <w:rPr>
          <w:sz w:val="18"/>
        </w:rPr>
        <w:t>утврдити да призната организација има адекватне ресурсе у погледу техничких, управљачких и</w:t>
      </w:r>
    </w:p>
    <w:p>
      <w:pPr>
        <w:pStyle w:val="BodyText"/>
        <w:spacing w:line="230" w:lineRule="auto" w:before="3"/>
        <w:ind w:right="828" w:firstLine="0"/>
      </w:pPr>
      <w:r>
        <w:rPr/>
        <w:t>истраживачких способности за испуњавање додељених задатака, у складу са прописаним стандардима за</w:t>
      </w:r>
      <w:r>
        <w:rPr>
          <w:spacing w:val="-61"/>
        </w:rPr>
        <w:t> </w:t>
      </w:r>
      <w:r>
        <w:rPr/>
        <w:t>признате организације утврђеним у прописима IМО (Смернице за признате организације које раде у име</w:t>
      </w:r>
      <w:r>
        <w:rPr>
          <w:spacing w:val="1"/>
        </w:rPr>
        <w:t> </w:t>
      </w:r>
      <w:r>
        <w:rPr/>
        <w:t>Администрације – Резолуција А.739(18) – Додатак 1, са изменама и допунама);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272" w:firstLine="480"/>
        <w:jc w:val="left"/>
        <w:rPr>
          <w:sz w:val="18"/>
        </w:rPr>
      </w:pPr>
      <w:r>
        <w:rPr>
          <w:sz w:val="18"/>
        </w:rPr>
        <w:t>припремити писани уговор између Министарства и признате организације који укључује елементе</w:t>
      </w:r>
      <w:r>
        <w:rPr>
          <w:spacing w:val="1"/>
          <w:sz w:val="18"/>
        </w:rPr>
        <w:t> </w:t>
      </w:r>
      <w:r>
        <w:rPr>
          <w:sz w:val="18"/>
        </w:rPr>
        <w:t>наведене у релевантним прописима IМО. Основа за уговор између Министарства и признате организације треба</w:t>
      </w:r>
      <w:r>
        <w:rPr>
          <w:spacing w:val="-61"/>
          <w:sz w:val="18"/>
        </w:rPr>
        <w:t> </w:t>
      </w:r>
      <w:r>
        <w:rPr>
          <w:sz w:val="18"/>
        </w:rPr>
        <w:t>да буде Модел споразума за овлашћење признатих организација (MSC/Circ.710-MEPC/Circ.307, са изменама и</w:t>
      </w:r>
      <w:r>
        <w:rPr>
          <w:spacing w:val="1"/>
          <w:sz w:val="18"/>
        </w:rPr>
        <w:t> </w:t>
      </w:r>
      <w:r>
        <w:rPr>
          <w:sz w:val="18"/>
        </w:rPr>
        <w:t>допунама);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410" w:firstLine="480"/>
        <w:jc w:val="left"/>
        <w:rPr>
          <w:sz w:val="18"/>
        </w:rPr>
      </w:pPr>
      <w:r>
        <w:rPr>
          <w:sz w:val="18"/>
        </w:rPr>
        <w:t>издати конкретна упутства са детаљима о активностима која се спроводе у случају када се сматра да је</w:t>
      </w:r>
      <w:r>
        <w:rPr>
          <w:spacing w:val="-61"/>
          <w:sz w:val="18"/>
        </w:rPr>
        <w:t> </w:t>
      </w:r>
      <w:r>
        <w:rPr>
          <w:sz w:val="18"/>
        </w:rPr>
        <w:t>брод неспособан за пловидбу и када постоји опасност за брод, посаду и путнике на броду или када постоји</w:t>
      </w:r>
      <w:r>
        <w:rPr>
          <w:spacing w:val="1"/>
          <w:sz w:val="18"/>
        </w:rPr>
        <w:t> </w:t>
      </w:r>
      <w:r>
        <w:rPr>
          <w:sz w:val="18"/>
        </w:rPr>
        <w:t>опасност за животну средину;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194" w:firstLine="480"/>
        <w:jc w:val="both"/>
        <w:rPr>
          <w:sz w:val="18"/>
        </w:rPr>
      </w:pPr>
      <w:r>
        <w:rPr>
          <w:sz w:val="18"/>
        </w:rPr>
        <w:t>доставити признатој организацији све домаће прописе и тумачења одредби конвенција које се примењују</w:t>
      </w:r>
      <w:r>
        <w:rPr>
          <w:spacing w:val="-62"/>
          <w:sz w:val="18"/>
        </w:rPr>
        <w:t> </w:t>
      </w:r>
      <w:r>
        <w:rPr>
          <w:sz w:val="18"/>
        </w:rPr>
        <w:t>на бродове који вију заставу Републике Србије, као и додатне прописе Републике Србије који су ригорознији од</w:t>
      </w:r>
      <w:r>
        <w:rPr>
          <w:spacing w:val="-61"/>
          <w:sz w:val="18"/>
        </w:rPr>
        <w:t> </w:t>
      </w:r>
      <w:r>
        <w:rPr>
          <w:sz w:val="18"/>
        </w:rPr>
        <w:t>захтева конвенција;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519" w:firstLine="480"/>
        <w:jc w:val="left"/>
        <w:rPr>
          <w:sz w:val="18"/>
        </w:rPr>
      </w:pPr>
      <w:r>
        <w:rPr>
          <w:sz w:val="18"/>
        </w:rPr>
        <w:t>захтевати да призната организација води евиденцију и доставља податке Министарству који помажу у</w:t>
      </w:r>
      <w:r>
        <w:rPr>
          <w:spacing w:val="-61"/>
          <w:sz w:val="18"/>
        </w:rPr>
        <w:t> </w:t>
      </w:r>
      <w:r>
        <w:rPr>
          <w:sz w:val="18"/>
        </w:rPr>
        <w:t>тумачењу захтева садржаних у важећим међународним прописима.</w:t>
      </w:r>
    </w:p>
    <w:p>
      <w:pPr>
        <w:pStyle w:val="BodyText"/>
        <w:spacing w:line="214" w:lineRule="exact" w:before="142"/>
        <w:ind w:left="719" w:firstLine="0"/>
      </w:pPr>
      <w:r>
        <w:rPr/>
        <w:t>Министарство успоставља или учествује у програму надзора са адекватним ресурсима за праћење и</w:t>
      </w:r>
    </w:p>
    <w:p>
      <w:pPr>
        <w:pStyle w:val="BodyText"/>
        <w:spacing w:line="230" w:lineRule="auto" w:before="3"/>
        <w:ind w:right="733" w:firstLine="0"/>
      </w:pPr>
      <w:r>
        <w:rPr/>
        <w:t>комуникацију са признатим организацијама како би се осигурало да се међународни прописи у потпуности</w:t>
      </w:r>
      <w:r>
        <w:rPr>
          <w:spacing w:val="-61"/>
        </w:rPr>
        <w:t> </w:t>
      </w:r>
      <w:r>
        <w:rPr/>
        <w:t>поштују, и то: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421" w:firstLine="480"/>
        <w:jc w:val="left"/>
        <w:rPr>
          <w:sz w:val="18"/>
        </w:rPr>
      </w:pPr>
      <w:r>
        <w:rPr>
          <w:sz w:val="18"/>
        </w:rPr>
        <w:t>остварујући своја овлашћења да спроводи додатне прегледе како би се осигурало да бродови који вију</w:t>
      </w:r>
      <w:r>
        <w:rPr>
          <w:spacing w:val="-61"/>
          <w:sz w:val="18"/>
        </w:rPr>
        <w:t> </w:t>
      </w:r>
      <w:r>
        <w:rPr>
          <w:sz w:val="18"/>
        </w:rPr>
        <w:t>заставу Републике Србије ефикасно испуњавају захтеве важећих међународних прописа;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253" w:firstLine="480"/>
        <w:jc w:val="both"/>
        <w:rPr>
          <w:sz w:val="18"/>
        </w:rPr>
      </w:pPr>
      <w:r>
        <w:rPr>
          <w:sz w:val="18"/>
        </w:rPr>
        <w:t>спроводећи додатне прегледе које сматра неопходним како би се осигурало да бродови који вију заставу</w:t>
      </w:r>
      <w:r>
        <w:rPr>
          <w:spacing w:val="-61"/>
          <w:sz w:val="18"/>
        </w:rPr>
        <w:t> </w:t>
      </w:r>
      <w:r>
        <w:rPr>
          <w:sz w:val="18"/>
        </w:rPr>
        <w:t>Републике Србије испуњавају домаће прописе који допуњују међународне прописе;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180" w:firstLine="480"/>
        <w:jc w:val="both"/>
        <w:rPr>
          <w:sz w:val="18"/>
        </w:rPr>
      </w:pPr>
      <w:r>
        <w:rPr>
          <w:sz w:val="18"/>
        </w:rPr>
        <w:t>обезбеђујући да државни службеници добро познају домаће прописе и правила признатих организација и</w:t>
      </w:r>
      <w:r>
        <w:rPr>
          <w:spacing w:val="-61"/>
          <w:sz w:val="18"/>
        </w:rPr>
        <w:t> </w:t>
      </w:r>
      <w:r>
        <w:rPr>
          <w:sz w:val="18"/>
        </w:rPr>
        <w:t>могу да врше ефикасан надзор над признатим организацијама.</w:t>
      </w:r>
    </w:p>
    <w:p>
      <w:pPr>
        <w:pStyle w:val="BodyText"/>
        <w:spacing w:line="230" w:lineRule="auto"/>
        <w:ind w:right="438"/>
      </w:pPr>
      <w:r>
        <w:rPr/>
        <w:t>Надлежна тела и органи Републике Србије предузимају све неопходне мере како би се обезбедило</w:t>
      </w:r>
      <w:r>
        <w:rPr>
          <w:spacing w:val="1"/>
        </w:rPr>
        <w:t> </w:t>
      </w:r>
      <w:r>
        <w:rPr/>
        <w:t>поштовање међународних правила и стандарда на бродовима који вију заставу Републике Србије и осигурало</w:t>
      </w:r>
      <w:r>
        <w:rPr>
          <w:spacing w:val="-61"/>
        </w:rPr>
        <w:t> </w:t>
      </w:r>
      <w:r>
        <w:rPr/>
        <w:t>поштовање међународних прописа. Такве мере треба да укључе, између осталог: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904" w:firstLine="480"/>
        <w:jc w:val="left"/>
        <w:rPr>
          <w:sz w:val="18"/>
        </w:rPr>
      </w:pPr>
      <w:r>
        <w:rPr>
          <w:sz w:val="18"/>
        </w:rPr>
        <w:t>забрану бродовима који вију заставу Републике Србије испловљење из лука до испуњења захтева</w:t>
      </w:r>
      <w:r>
        <w:rPr>
          <w:spacing w:val="-62"/>
          <w:sz w:val="18"/>
        </w:rPr>
        <w:t> </w:t>
      </w:r>
      <w:r>
        <w:rPr>
          <w:sz w:val="18"/>
        </w:rPr>
        <w:t>међународних прописа и стандарда;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277" w:firstLine="480"/>
        <w:jc w:val="both"/>
        <w:rPr>
          <w:sz w:val="18"/>
        </w:rPr>
      </w:pPr>
      <w:r>
        <w:rPr>
          <w:sz w:val="18"/>
        </w:rPr>
        <w:t>периодични преглед поморских бродова, који ће потврдити да је стварно стање брода и његове посаде у</w:t>
      </w:r>
      <w:r>
        <w:rPr>
          <w:spacing w:val="-61"/>
          <w:sz w:val="18"/>
        </w:rPr>
        <w:t> </w:t>
      </w:r>
      <w:r>
        <w:rPr>
          <w:sz w:val="18"/>
        </w:rPr>
        <w:t>сагласности са сведочанствима која су им додељена;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1435" w:firstLine="480"/>
        <w:jc w:val="left"/>
        <w:rPr>
          <w:sz w:val="18"/>
        </w:rPr>
      </w:pPr>
      <w:r>
        <w:rPr>
          <w:sz w:val="18"/>
        </w:rPr>
        <w:t>преглед да ли је посада на бродовима упозната са својим дужностима и бродским уређењем,</w:t>
      </w:r>
      <w:r>
        <w:rPr>
          <w:spacing w:val="-61"/>
          <w:sz w:val="18"/>
        </w:rPr>
        <w:t> </w:t>
      </w:r>
      <w:r>
        <w:rPr>
          <w:sz w:val="18"/>
        </w:rPr>
        <w:t>инсталацијама, опремом и поступцима;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763" w:firstLine="480"/>
        <w:jc w:val="left"/>
        <w:rPr>
          <w:sz w:val="18"/>
        </w:rPr>
      </w:pPr>
      <w:r>
        <w:rPr>
          <w:sz w:val="18"/>
        </w:rPr>
        <w:t>обезбеђивање да посада и путници на броду у целини могу ефикасно координирати активностима у</w:t>
      </w:r>
      <w:r>
        <w:rPr>
          <w:spacing w:val="-62"/>
          <w:sz w:val="18"/>
        </w:rPr>
        <w:t> </w:t>
      </w:r>
      <w:r>
        <w:rPr>
          <w:sz w:val="18"/>
        </w:rPr>
        <w:t>ванредним ситуацијама и обављати виталне функције у вези безбедности и спречавања или ублажавања</w:t>
      </w:r>
      <w:r>
        <w:rPr>
          <w:spacing w:val="1"/>
          <w:sz w:val="18"/>
        </w:rPr>
        <w:t> </w:t>
      </w:r>
      <w:r>
        <w:rPr>
          <w:sz w:val="18"/>
        </w:rPr>
        <w:t>загађења;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649" w:firstLine="480"/>
        <w:jc w:val="left"/>
        <w:rPr>
          <w:sz w:val="18"/>
        </w:rPr>
      </w:pPr>
      <w:r>
        <w:rPr>
          <w:sz w:val="18"/>
        </w:rPr>
        <w:t>обезбеђивање, у домаћим прописима, адекватних казнених одредби како би се онемогућило кршење</w:t>
      </w:r>
      <w:r>
        <w:rPr>
          <w:spacing w:val="-62"/>
          <w:sz w:val="18"/>
        </w:rPr>
        <w:t> </w:t>
      </w:r>
      <w:r>
        <w:rPr>
          <w:sz w:val="18"/>
        </w:rPr>
        <w:t>међународних прописа на бродовима који вију заставу Републике Србије;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679" w:firstLine="480"/>
        <w:jc w:val="left"/>
        <w:rPr>
          <w:sz w:val="18"/>
        </w:rPr>
      </w:pPr>
      <w:r>
        <w:rPr>
          <w:sz w:val="18"/>
        </w:rPr>
        <w:t>вођење поступка, након што је спроведена истрага, против бродова који су прекршили међународне</w:t>
      </w:r>
      <w:r>
        <w:rPr>
          <w:spacing w:val="-61"/>
          <w:sz w:val="18"/>
        </w:rPr>
        <w:t> </w:t>
      </w:r>
      <w:r>
        <w:rPr>
          <w:sz w:val="18"/>
        </w:rPr>
        <w:t>прописе, без обзира на то где се прекршај догодио;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605" w:firstLine="480"/>
        <w:jc w:val="left"/>
        <w:rPr>
          <w:sz w:val="18"/>
        </w:rPr>
      </w:pPr>
      <w:r>
        <w:rPr>
          <w:sz w:val="18"/>
        </w:rPr>
        <w:t>обезбеђивање, у домаћим прописима, адекватних казнених одредби како би се спречило кршење</w:t>
      </w:r>
      <w:r>
        <w:rPr>
          <w:spacing w:val="1"/>
          <w:sz w:val="18"/>
        </w:rPr>
        <w:t> </w:t>
      </w:r>
      <w:r>
        <w:rPr>
          <w:sz w:val="18"/>
        </w:rPr>
        <w:t>међународних</w:t>
      </w:r>
      <w:r>
        <w:rPr>
          <w:spacing w:val="-2"/>
          <w:sz w:val="18"/>
        </w:rPr>
        <w:t> </w:t>
      </w:r>
      <w:r>
        <w:rPr>
          <w:sz w:val="18"/>
        </w:rPr>
        <w:t>прописа</w:t>
      </w:r>
      <w:r>
        <w:rPr>
          <w:spacing w:val="-1"/>
          <w:sz w:val="18"/>
        </w:rPr>
        <w:t> </w:t>
      </w:r>
      <w:r>
        <w:rPr>
          <w:sz w:val="18"/>
        </w:rPr>
        <w:t>од</w:t>
      </w:r>
      <w:r>
        <w:rPr>
          <w:spacing w:val="-1"/>
          <w:sz w:val="18"/>
        </w:rPr>
        <w:t> </w:t>
      </w:r>
      <w:r>
        <w:rPr>
          <w:sz w:val="18"/>
        </w:rPr>
        <w:t>стране</w:t>
      </w:r>
      <w:r>
        <w:rPr>
          <w:spacing w:val="-1"/>
          <w:sz w:val="18"/>
        </w:rPr>
        <w:t> </w:t>
      </w:r>
      <w:r>
        <w:rPr>
          <w:sz w:val="18"/>
        </w:rPr>
        <w:t>лица</w:t>
      </w:r>
      <w:r>
        <w:rPr>
          <w:spacing w:val="-1"/>
          <w:sz w:val="18"/>
        </w:rPr>
        <w:t> </w:t>
      </w:r>
      <w:r>
        <w:rPr>
          <w:sz w:val="18"/>
        </w:rPr>
        <w:t>која</w:t>
      </w:r>
      <w:r>
        <w:rPr>
          <w:spacing w:val="-1"/>
          <w:sz w:val="18"/>
        </w:rPr>
        <w:t> </w:t>
      </w:r>
      <w:r>
        <w:rPr>
          <w:sz w:val="18"/>
        </w:rPr>
        <w:t>имају</w:t>
      </w:r>
      <w:r>
        <w:rPr>
          <w:spacing w:val="-2"/>
          <w:sz w:val="18"/>
        </w:rPr>
        <w:t> </w:t>
      </w:r>
      <w:r>
        <w:rPr>
          <w:sz w:val="18"/>
        </w:rPr>
        <w:t>издата</w:t>
      </w:r>
      <w:r>
        <w:rPr>
          <w:spacing w:val="-1"/>
          <w:sz w:val="18"/>
        </w:rPr>
        <w:t> </w:t>
      </w:r>
      <w:r>
        <w:rPr>
          <w:sz w:val="18"/>
        </w:rPr>
        <w:t>овлашћења</w:t>
      </w:r>
      <w:r>
        <w:rPr>
          <w:spacing w:val="-1"/>
          <w:sz w:val="18"/>
        </w:rPr>
        <w:t> </w:t>
      </w:r>
      <w:r>
        <w:rPr>
          <w:sz w:val="18"/>
        </w:rPr>
        <w:t>или</w:t>
      </w:r>
      <w:r>
        <w:rPr>
          <w:spacing w:val="-1"/>
          <w:sz w:val="18"/>
        </w:rPr>
        <w:t> </w:t>
      </w:r>
      <w:r>
        <w:rPr>
          <w:sz w:val="18"/>
        </w:rPr>
        <w:t>овере</w:t>
      </w:r>
      <w:r>
        <w:rPr>
          <w:spacing w:val="-1"/>
          <w:sz w:val="18"/>
        </w:rPr>
        <w:t> </w:t>
      </w:r>
      <w:r>
        <w:rPr>
          <w:sz w:val="18"/>
        </w:rPr>
        <w:t>у</w:t>
      </w:r>
      <w:r>
        <w:rPr>
          <w:spacing w:val="-1"/>
          <w:sz w:val="18"/>
        </w:rPr>
        <w:t> </w:t>
      </w:r>
      <w:r>
        <w:rPr>
          <w:sz w:val="18"/>
        </w:rPr>
        <w:t>оквиру</w:t>
      </w:r>
      <w:r>
        <w:rPr>
          <w:spacing w:val="-2"/>
          <w:sz w:val="18"/>
        </w:rPr>
        <w:t> </w:t>
      </w:r>
      <w:r>
        <w:rPr>
          <w:sz w:val="18"/>
        </w:rPr>
        <w:t>своје</w:t>
      </w:r>
      <w:r>
        <w:rPr>
          <w:spacing w:val="-1"/>
          <w:sz w:val="18"/>
        </w:rPr>
        <w:t> </w:t>
      </w:r>
      <w:r>
        <w:rPr>
          <w:sz w:val="18"/>
        </w:rPr>
        <w:t>надлежности;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644" w:firstLine="480"/>
        <w:jc w:val="left"/>
        <w:rPr>
          <w:sz w:val="18"/>
        </w:rPr>
      </w:pPr>
      <w:r>
        <w:rPr>
          <w:sz w:val="18"/>
        </w:rPr>
        <w:t>вођење поступка, након што је спроведена истрага, против лица која поседују овлашћења о</w:t>
      </w:r>
      <w:r>
        <w:rPr>
          <w:spacing w:val="1"/>
          <w:sz w:val="18"/>
        </w:rPr>
        <w:t> </w:t>
      </w:r>
      <w:r>
        <w:rPr>
          <w:sz w:val="18"/>
        </w:rPr>
        <w:t>оспособљености, овлашћења о посебној оспособљености или оверу овлашћења о оспособљености, а која су</w:t>
      </w:r>
      <w:r>
        <w:rPr>
          <w:spacing w:val="-61"/>
          <w:sz w:val="18"/>
        </w:rPr>
        <w:t> </w:t>
      </w:r>
      <w:r>
        <w:rPr>
          <w:sz w:val="18"/>
        </w:rPr>
        <w:t>прекршила међународне прописе, без обзира на то где је дошло до кршења.</w:t>
      </w:r>
    </w:p>
    <w:p>
      <w:pPr>
        <w:spacing w:after="0" w:line="230" w:lineRule="auto"/>
        <w:jc w:val="left"/>
        <w:rPr>
          <w:sz w:val="18"/>
        </w:rPr>
        <w:sectPr>
          <w:pgSz w:w="12240" w:h="15840"/>
          <w:pgMar w:header="274" w:footer="285" w:top="460" w:bottom="480" w:left="460" w:right="580"/>
        </w:sectPr>
      </w:pPr>
    </w:p>
    <w:p>
      <w:pPr>
        <w:pStyle w:val="BodyText"/>
        <w:spacing w:line="214" w:lineRule="exact" w:before="90"/>
        <w:ind w:left="599" w:firstLine="0"/>
      </w:pPr>
      <w:r>
        <w:rPr>
          <w:spacing w:val="-22"/>
        </w:rPr>
        <w:t>О</w:t>
      </w:r>
      <w:r>
        <w:rPr>
          <w:spacing w:val="-116"/>
        </w:rPr>
        <w:t>Ц</w:t>
      </w:r>
      <w:r>
        <w:rPr/>
        <w:t>в</w:t>
      </w:r>
      <w:r>
        <w:rPr>
          <w:spacing w:val="-100"/>
        </w:rPr>
        <w:t>а</w:t>
      </w:r>
      <w:r>
        <w:rPr>
          <w:spacing w:val="-8"/>
        </w:rPr>
        <w:t>е</w:t>
      </w:r>
      <w:r>
        <w:rPr>
          <w:spacing w:val="-55"/>
        </w:rPr>
        <w:t>ј</w:t>
      </w:r>
      <w:r>
        <w:rPr/>
        <w:t>н</w:t>
      </w:r>
      <w:r>
        <w:rPr>
          <w:spacing w:val="-87"/>
        </w:rPr>
        <w:t>т</w:t>
      </w:r>
      <w:r>
        <w:rPr>
          <w:spacing w:val="-22"/>
        </w:rPr>
        <w:t>а</w:t>
      </w:r>
      <w:r>
        <w:rPr>
          <w:spacing w:val="-87"/>
        </w:rPr>
        <w:t>а</w:t>
      </w:r>
      <w:r>
        <w:rPr>
          <w:spacing w:val="-21"/>
        </w:rPr>
        <w:t>к</w:t>
      </w:r>
      <w:r>
        <w:rPr>
          <w:spacing w:val="-92"/>
        </w:rPr>
        <w:t>р</w:t>
      </w:r>
      <w:r>
        <w:rPr/>
        <w:t>т </w:t>
      </w:r>
      <w:r>
        <w:rPr>
          <w:spacing w:val="-123"/>
        </w:rPr>
        <w:t>м</w:t>
      </w:r>
      <w:r>
        <w:rPr/>
        <w:t>з</w:t>
      </w:r>
      <w:r>
        <w:rPr>
          <w:spacing w:val="-80"/>
        </w:rPr>
        <w:t>а</w:t>
      </w:r>
      <w:r>
        <w:rPr/>
        <w:t>о</w:t>
      </w:r>
      <w:r>
        <w:rPr>
          <w:spacing w:val="-110"/>
        </w:rPr>
        <w:t>ж</w:t>
      </w:r>
      <w:r>
        <w:rPr>
          <w:spacing w:val="-6"/>
        </w:rPr>
        <w:t>и</w:t>
      </w:r>
      <w:r>
        <w:rPr>
          <w:spacing w:val="-102"/>
        </w:rPr>
        <w:t>е</w:t>
      </w:r>
      <w:r>
        <w:rPr>
          <w:spacing w:val="5"/>
        </w:rPr>
        <w:t>с</w:t>
      </w:r>
      <w:r>
        <w:rPr/>
        <w:t>т</w:t>
      </w:r>
      <w:r>
        <w:rPr>
          <w:spacing w:val="-1"/>
        </w:rPr>
        <w:t>е</w:t>
      </w:r>
      <w:r>
        <w:rPr>
          <w:spacing w:val="-44"/>
        </w:rPr>
        <w:t>а</w:t>
      </w:r>
      <w:r>
        <w:rPr>
          <w:spacing w:val="-71"/>
        </w:rPr>
        <w:t>п</w:t>
      </w:r>
      <w:r>
        <w:rPr>
          <w:spacing w:val="-73"/>
        </w:rPr>
        <w:t>ж</w:t>
      </w:r>
      <w:r>
        <w:rPr>
          <w:spacing w:val="-37"/>
        </w:rPr>
        <w:t>о</w:t>
      </w:r>
      <w:r>
        <w:rPr>
          <w:spacing w:val="-79"/>
        </w:rPr>
        <w:t>и</w:t>
      </w:r>
      <w:r>
        <w:rPr>
          <w:spacing w:val="-6"/>
        </w:rPr>
        <w:t>г</w:t>
      </w:r>
      <w:r>
        <w:rPr>
          <w:spacing w:val="-102"/>
        </w:rPr>
        <w:t>в</w:t>
      </w:r>
      <w:r>
        <w:rPr>
          <w:spacing w:val="-11"/>
        </w:rPr>
        <w:t>л</w:t>
      </w:r>
      <w:r>
        <w:rPr>
          <w:spacing w:val="-98"/>
        </w:rPr>
        <w:t>а</w:t>
      </w:r>
      <w:r>
        <w:rPr>
          <w:spacing w:val="-10"/>
        </w:rPr>
        <w:t>е</w:t>
      </w:r>
      <w:r>
        <w:rPr>
          <w:spacing w:val="-155"/>
        </w:rPr>
        <w:t>њ</w:t>
      </w:r>
      <w:r>
        <w:rPr/>
        <w:t>д</w:t>
      </w:r>
      <w:r>
        <w:rPr>
          <w:spacing w:val="-66"/>
        </w:rPr>
        <w:t>а</w:t>
      </w:r>
      <w:r>
        <w:rPr>
          <w:spacing w:val="-43"/>
        </w:rPr>
        <w:t>е</w:t>
      </w:r>
      <w:r>
        <w:rPr/>
        <w:t>т</w:t>
      </w:r>
      <w:r>
        <w:rPr>
          <w:spacing w:val="-100"/>
        </w:rPr>
        <w:t>и</w:t>
      </w:r>
      <w:r>
        <w:rPr/>
        <w:t>н</w:t>
      </w:r>
      <w:r>
        <w:rPr>
          <w:spacing w:val="-60"/>
        </w:rPr>
        <w:t>е</w:t>
      </w:r>
      <w:r>
        <w:rPr>
          <w:spacing w:val="-56"/>
        </w:rPr>
        <w:t>н</w:t>
      </w:r>
      <w:r>
        <w:rPr>
          <w:spacing w:val="-41"/>
        </w:rPr>
        <w:t>с</w:t>
      </w:r>
      <w:r>
        <w:rPr>
          <w:spacing w:val="-68"/>
        </w:rPr>
        <w:t>а</w:t>
      </w:r>
      <w:r>
        <w:rPr/>
        <w:t>р</w:t>
      </w:r>
      <w:r>
        <w:rPr>
          <w:spacing w:val="-89"/>
        </w:rPr>
        <w:t>е</w:t>
      </w:r>
      <w:r>
        <w:rPr>
          <w:spacing w:val="-20"/>
        </w:rPr>
        <w:t>а</w:t>
      </w:r>
      <w:r>
        <w:rPr>
          <w:spacing w:val="-95"/>
        </w:rPr>
        <w:t>ћ</w:t>
      </w:r>
      <w:r>
        <w:rPr>
          <w:spacing w:val="-18"/>
        </w:rPr>
        <w:t>д</w:t>
      </w:r>
      <w:r>
        <w:rPr>
          <w:spacing w:val="-91"/>
        </w:rPr>
        <w:t>а</w:t>
      </w:r>
      <w:r>
        <w:rPr/>
        <w:t>р</w:t>
      </w:r>
      <w:r>
        <w:rPr>
          <w:spacing w:val="-66"/>
        </w:rPr>
        <w:t>е</w:t>
      </w:r>
      <w:r>
        <w:rPr>
          <w:spacing w:val="-42"/>
        </w:rPr>
        <w:t>у</w:t>
      </w:r>
      <w:r>
        <w:rPr/>
        <w:t>с</w:t>
      </w:r>
      <w:r>
        <w:rPr>
          <w:spacing w:val="-107"/>
        </w:rPr>
        <w:t>и</w:t>
      </w:r>
      <w:r>
        <w:rPr/>
        <w:t>саобраћају према потреби усваја и спроводи програм контроле и</w:t>
      </w:r>
    </w:p>
    <w:p>
      <w:pPr>
        <w:pStyle w:val="BodyText"/>
        <w:spacing w:line="214" w:lineRule="exact" w:before="0"/>
        <w:ind w:left="119" w:firstLine="0"/>
      </w:pPr>
      <w:hyperlink r:id="rId7">
        <w:r>
          <w:rPr>
            <w:color w:val="1B4162"/>
          </w:rPr>
          <w:t>/</w:t>
        </w:r>
        <w:r>
          <w:rPr>
            <w:color w:val="1B4162"/>
            <w:spacing w:val="-69"/>
          </w:rPr>
          <w:t>e</w:t>
        </w:r>
        <w:r>
          <w:rPr>
            <w:spacing w:val="-46"/>
          </w:rPr>
          <w:t>н</w:t>
        </w:r>
        <w:r>
          <w:rPr>
            <w:color w:val="1B4162"/>
            <w:spacing w:val="-4"/>
          </w:rPr>
          <w:t>l</w:t>
        </w:r>
        <w:r>
          <w:rPr>
            <w:spacing w:val="-105"/>
          </w:rPr>
          <w:t>а</w:t>
        </w:r>
        <w:r>
          <w:rPr>
            <w:color w:val="1B4162"/>
          </w:rPr>
          <w:t>i</w:t>
        </w:r>
        <w:r>
          <w:rPr>
            <w:color w:val="1B4162"/>
            <w:spacing w:val="-27"/>
          </w:rPr>
          <w:t>/</w:t>
        </w:r>
        <w:r>
          <w:rPr>
            <w:spacing w:val="-86"/>
          </w:rPr>
          <w:t>д</w:t>
        </w:r>
        <w:r>
          <w:rPr>
            <w:color w:val="1B4162"/>
          </w:rPr>
          <w:t>r</w:t>
        </w:r>
        <w:r>
          <w:rPr>
            <w:color w:val="1B4162"/>
            <w:spacing w:val="-99"/>
          </w:rPr>
          <w:t>e</w:t>
        </w:r>
        <w:r>
          <w:rPr/>
          <w:t>з</w:t>
        </w:r>
        <w:r>
          <w:rPr>
            <w:spacing w:val="-105"/>
          </w:rPr>
          <w:t>о</w:t>
        </w:r>
        <w:r>
          <w:rPr>
            <w:color w:val="1B4162"/>
            <w:spacing w:val="-8"/>
          </w:rPr>
          <w:t>p</w:t>
        </w:r>
        <w:r>
          <w:rPr>
            <w:spacing w:val="-105"/>
          </w:rPr>
          <w:t>р</w:t>
        </w:r>
        <w:r>
          <w:rPr>
            <w:color w:val="1B4162"/>
          </w:rPr>
          <w:t>/</w:t>
        </w:r>
        <w:r>
          <w:rPr>
            <w:color w:val="1B4162"/>
            <w:spacing w:val="-71"/>
          </w:rPr>
          <w:t>s</w:t>
        </w:r>
        <w:r>
          <w:rPr>
            <w:spacing w:val="-38"/>
          </w:rPr>
          <w:t>а</w:t>
        </w:r>
        <w:r>
          <w:rPr>
            <w:color w:val="1B4162"/>
            <w:spacing w:val="-75"/>
          </w:rPr>
          <w:t>g</w:t>
        </w:r>
        <w:r>
          <w:rPr>
            <w:spacing w:val="9"/>
          </w:rPr>
          <w:t>,</w:t>
        </w:r>
        <w:r>
          <w:rPr>
            <w:color w:val="1B4162"/>
            <w:spacing w:val="-23"/>
          </w:rPr>
          <w:t>r</w:t>
        </w:r>
        <w:r>
          <w:rPr>
            <w:spacing w:val="-84"/>
          </w:rPr>
          <w:t>к</w:t>
        </w:r>
        <w:r>
          <w:rPr>
            <w:color w:val="1B4162"/>
            <w:spacing w:val="-11"/>
          </w:rPr>
          <w:t>s</w:t>
        </w:r>
        <w:r>
          <w:rPr>
            <w:spacing w:val="-99"/>
          </w:rPr>
          <w:t>а</w:t>
        </w:r>
        <w:r>
          <w:rPr>
            <w:color w:val="1B4162"/>
          </w:rPr>
          <w:t>/</w:t>
        </w:r>
        <w:r>
          <w:rPr>
            <w:color w:val="1B4162"/>
            <w:spacing w:val="-91"/>
          </w:rPr>
          <w:t>v</w:t>
        </w:r>
        <w:r>
          <w:rPr>
            <w:spacing w:val="-17"/>
          </w:rPr>
          <w:t>к</w:t>
        </w:r>
        <w:r>
          <w:rPr>
            <w:color w:val="1B4162"/>
            <w:spacing w:val="-34"/>
          </w:rPr>
          <w:t>l</w:t>
        </w:r>
        <w:r>
          <w:rPr>
            <w:spacing w:val="-77"/>
          </w:rPr>
          <w:t>о</w:t>
        </w:r>
        <w:r>
          <w:rPr>
            <w:color w:val="1B4162"/>
          </w:rPr>
          <w:t>a</w:t>
        </w:r>
        <w:r>
          <w:rPr>
            <w:color w:val="1B4162"/>
            <w:spacing w:val="-81"/>
          </w:rPr>
          <w:t>d</w:t>
        </w:r>
        <w:r>
          <w:rPr>
            <w:spacing w:val="-30"/>
          </w:rPr>
          <w:t>б</w:t>
        </w:r>
        <w:r>
          <w:rPr>
            <w:color w:val="1B4162"/>
            <w:spacing w:val="-79"/>
          </w:rPr>
          <w:t>a</w:t>
        </w:r>
        <w:r>
          <w:rPr>
            <w:spacing w:val="-37"/>
          </w:rPr>
          <w:t>и</w:t>
        </w:r>
        <w:r>
          <w:rPr>
            <w:color w:val="1B4162"/>
          </w:rPr>
          <w:t>/</w:t>
        </w:r>
        <w:r>
          <w:rPr>
            <w:color w:val="1B4162"/>
            <w:spacing w:val="-91"/>
          </w:rPr>
          <w:t>o</w:t>
        </w:r>
        <w:r>
          <w:rPr>
            <w:spacing w:val="-6"/>
          </w:rPr>
          <w:t>с</w:t>
        </w:r>
        <w:r>
          <w:rPr>
            <w:color w:val="1B4162"/>
            <w:spacing w:val="-107"/>
          </w:rPr>
          <w:t>d</w:t>
        </w:r>
        <w:r>
          <w:rPr>
            <w:spacing w:val="-1"/>
          </w:rPr>
          <w:t>е</w:t>
        </w:r>
        <w:r>
          <w:rPr>
            <w:color w:val="1B4162"/>
            <w:spacing w:val="-50"/>
          </w:rPr>
          <w:t>l</w:t>
        </w:r>
        <w:r>
          <w:rPr>
            <w:spacing w:val="-33"/>
          </w:rPr>
          <w:t>:</w:t>
        </w:r>
        <w:r>
          <w:rPr>
            <w:color w:val="1B4162"/>
          </w:rPr>
          <w:t>uka/2020/66/3/sg</w:t>
        </w:r>
      </w:hyperlink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обезбедила брза и темељна истрага о жртвама, уз пријављивање несреће IМО;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обезбедило прикупљање статистичких података, ради анализе тренда и откривања критичних области;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49" w:after="0"/>
        <w:ind w:left="239" w:right="1133" w:firstLine="480"/>
        <w:jc w:val="left"/>
        <w:rPr>
          <w:sz w:val="18"/>
        </w:rPr>
      </w:pPr>
      <w:r>
        <w:rPr>
          <w:sz w:val="18"/>
        </w:rPr>
        <w:t>обезбедио правовремени одговор на недостатке и наводне инциденте загађења које пријављују</w:t>
      </w:r>
      <w:r>
        <w:rPr>
          <w:spacing w:val="-62"/>
          <w:sz w:val="18"/>
        </w:rPr>
        <w:t> </w:t>
      </w:r>
      <w:r>
        <w:rPr>
          <w:sz w:val="18"/>
        </w:rPr>
        <w:t>приобалне државе;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396" w:lineRule="auto" w:before="142" w:after="0"/>
        <w:ind w:left="719" w:right="1347" w:firstLine="0"/>
        <w:jc w:val="left"/>
        <w:rPr>
          <w:sz w:val="18"/>
        </w:rPr>
      </w:pPr>
      <w:r>
        <w:rPr>
          <w:sz w:val="18"/>
        </w:rPr>
        <w:t>обезбедио одговарајући број квалификованих државних службеника ради обављања истрага.</w:t>
      </w:r>
      <w:r>
        <w:rPr>
          <w:spacing w:val="-62"/>
          <w:sz w:val="18"/>
        </w:rPr>
        <w:t> </w:t>
      </w:r>
      <w:r>
        <w:rPr>
          <w:sz w:val="18"/>
        </w:rPr>
        <w:t>У складу са стварним потребама, Министарство треба да: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6" w:after="0"/>
        <w:ind w:left="239" w:right="815" w:firstLine="480"/>
        <w:jc w:val="left"/>
        <w:rPr>
          <w:sz w:val="18"/>
        </w:rPr>
      </w:pPr>
      <w:r>
        <w:rPr>
          <w:sz w:val="18"/>
        </w:rPr>
        <w:t>обезбеди довољан број квалификованих државних службеника ради истраге случајева у којима су</w:t>
      </w:r>
      <w:r>
        <w:rPr>
          <w:spacing w:val="1"/>
          <w:sz w:val="18"/>
        </w:rPr>
        <w:t> </w:t>
      </w:r>
      <w:r>
        <w:rPr>
          <w:sz w:val="18"/>
        </w:rPr>
        <w:t>утврђене неисправности овлашћења о оспособљености, овлашћења о посебној оспособљености или овере</w:t>
      </w:r>
      <w:r>
        <w:rPr>
          <w:spacing w:val="-61"/>
          <w:sz w:val="18"/>
        </w:rPr>
        <w:t> </w:t>
      </w:r>
      <w:r>
        <w:rPr>
          <w:sz w:val="18"/>
        </w:rPr>
        <w:t>овлашћења о оспособљености од стране Републике Србије;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384" w:firstLine="480"/>
        <w:jc w:val="left"/>
        <w:rPr>
          <w:sz w:val="18"/>
        </w:rPr>
      </w:pPr>
      <w:r>
        <w:rPr>
          <w:sz w:val="18"/>
        </w:rPr>
        <w:t>обезбеди одговарајући број квалификованих државних службеника ради спровођења домаћих прописа,</w:t>
      </w:r>
      <w:r>
        <w:rPr>
          <w:spacing w:val="-61"/>
          <w:sz w:val="18"/>
        </w:rPr>
        <w:t> </w:t>
      </w:r>
      <w:r>
        <w:rPr>
          <w:sz w:val="18"/>
        </w:rPr>
        <w:t>укључујући особље које ће испитати разлоге задржавања брода у страној луци;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2" w:after="0"/>
        <w:ind w:left="897" w:right="0" w:hanging="179"/>
        <w:jc w:val="left"/>
        <w:rPr>
          <w:sz w:val="18"/>
        </w:rPr>
      </w:pPr>
      <w:r>
        <w:rPr>
          <w:sz w:val="18"/>
        </w:rPr>
        <w:t>обезбеди обуку и надзор над активностима инспектора.</w:t>
      </w:r>
    </w:p>
    <w:p>
      <w:pPr>
        <w:pStyle w:val="BodyText"/>
        <w:spacing w:line="214" w:lineRule="exact" w:before="142"/>
        <w:ind w:left="719" w:firstLine="0"/>
      </w:pPr>
      <w:r>
        <w:rPr/>
        <w:t>Када је Министарство обавештено да је брод који вије заставу Републике Србије задржан од стране</w:t>
      </w:r>
    </w:p>
    <w:p>
      <w:pPr>
        <w:pStyle w:val="BodyText"/>
        <w:spacing w:line="230" w:lineRule="auto" w:before="3"/>
        <w:ind w:right="415" w:firstLine="0"/>
      </w:pPr>
      <w:r>
        <w:rPr/>
        <w:t>инспекције државе луке, Министарство надгледа да ли су предузете одговарајуће корективне мере да се брод</w:t>
      </w:r>
      <w:r>
        <w:rPr>
          <w:spacing w:val="-61"/>
        </w:rPr>
        <w:t> </w:t>
      </w:r>
      <w:r>
        <w:rPr/>
        <w:t>доведе у стање које је у складу са важећим међународним прописима.</w:t>
      </w:r>
    </w:p>
    <w:p>
      <w:pPr>
        <w:pStyle w:val="BodyText"/>
        <w:spacing w:line="230" w:lineRule="auto"/>
        <w:ind w:right="410"/>
      </w:pPr>
      <w:r>
        <w:rPr/>
        <w:t>Призната организација која је овлашћена да издаје сведочанства бродовима који вију заставу Републике</w:t>
      </w:r>
      <w:r>
        <w:rPr>
          <w:spacing w:val="-61"/>
        </w:rPr>
        <w:t> </w:t>
      </w:r>
      <w:r>
        <w:rPr/>
        <w:t>Србије издаће неопходна сведочанства након што утврди да брод испуњава све прописане захтеве.</w:t>
      </w:r>
    </w:p>
    <w:p>
      <w:pPr>
        <w:pStyle w:val="BodyText"/>
        <w:spacing w:line="230" w:lineRule="auto"/>
        <w:ind w:right="715"/>
      </w:pPr>
      <w:r>
        <w:rPr/>
        <w:t>Министарство издаје овлашћење о оспособљености поморца и овлашћења о посебној оспособљености</w:t>
      </w:r>
      <w:r>
        <w:rPr>
          <w:spacing w:val="-61"/>
        </w:rPr>
        <w:t> </w:t>
      </w:r>
      <w:r>
        <w:rPr/>
        <w:t>поморца након што утврди да лице испуњава прописане захтеве.</w:t>
      </w:r>
    </w:p>
    <w:p>
      <w:pPr>
        <w:pStyle w:val="BodyText"/>
        <w:spacing w:line="230" w:lineRule="auto" w:before="149"/>
        <w:ind w:right="198"/>
      </w:pPr>
      <w:r>
        <w:rPr/>
        <w:t>Сектор за водни саобраћај и безбедност пловидбе периодично врши процену учинка у погледу спровођења</w:t>
      </w:r>
      <w:r>
        <w:rPr>
          <w:spacing w:val="-61"/>
        </w:rPr>
        <w:t> </w:t>
      </w:r>
      <w:r>
        <w:rPr/>
        <w:t>управних поступака и ресурса потребних за испуњавање обавеза како то захтевају примењиви међународни</w:t>
      </w:r>
      <w:r>
        <w:rPr>
          <w:spacing w:val="1"/>
        </w:rPr>
        <w:t> </w:t>
      </w:r>
      <w:r>
        <w:rPr/>
        <w:t>прописи.</w:t>
      </w:r>
    </w:p>
    <w:p>
      <w:pPr>
        <w:pStyle w:val="BodyText"/>
        <w:spacing w:line="214" w:lineRule="exact" w:before="143"/>
        <w:ind w:left="719" w:firstLine="0"/>
      </w:pPr>
      <w:r>
        <w:rPr/>
        <w:t>Показатељи на основу којих Сектор за водни саобраћај и безбедност пловидбе процењује учинак,</w:t>
      </w:r>
    </w:p>
    <w:p>
      <w:pPr>
        <w:pStyle w:val="BodyText"/>
        <w:spacing w:line="230" w:lineRule="auto" w:before="3"/>
        <w:ind w:right="506" w:firstLine="0"/>
      </w:pPr>
      <w:r>
        <w:rPr/>
        <w:t>укључују, између осталог, стопе задржавања бродова у лукама од стране инспекција државе луке, резултате</w:t>
      </w:r>
      <w:r>
        <w:rPr>
          <w:spacing w:val="-61"/>
        </w:rPr>
        <w:t> </w:t>
      </w:r>
      <w:r>
        <w:rPr/>
        <w:t>инспекција, статистику о жртвама, комуникације и информационе процесе, годишње статистичке податке о</w:t>
      </w:r>
    </w:p>
    <w:p>
      <w:pPr>
        <w:pStyle w:val="BodyText"/>
        <w:spacing w:line="230" w:lineRule="auto" w:before="0"/>
        <w:ind w:right="486" w:firstLine="0"/>
      </w:pPr>
      <w:r>
        <w:rPr/>
        <w:t>губицима и друге одговарајуће показатеље учинка, како би се утврдило да ли су кадрови, ресурси и управни</w:t>
      </w:r>
      <w:r>
        <w:rPr>
          <w:spacing w:val="-61"/>
        </w:rPr>
        <w:t> </w:t>
      </w:r>
      <w:r>
        <w:rPr/>
        <w:t>поступци адекватни да би се испуниле обавезе Републике Србије.</w:t>
      </w:r>
    </w:p>
    <w:p>
      <w:pPr>
        <w:pStyle w:val="BodyText"/>
        <w:spacing w:before="143"/>
        <w:ind w:left="719" w:firstLine="0"/>
      </w:pPr>
      <w:r>
        <w:rPr/>
        <w:t>Подаци који се анализирају могу да обухвате, између осталог: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коефицијент губитка флоте и удеса ради идентификације трендова током одабраних временских периода;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број случајева задржаних бродова у односу на величину флоте;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49" w:after="0"/>
        <w:ind w:left="239" w:right="419" w:firstLine="480"/>
        <w:jc w:val="left"/>
        <w:rPr>
          <w:sz w:val="18"/>
        </w:rPr>
      </w:pPr>
      <w:r>
        <w:rPr>
          <w:sz w:val="18"/>
        </w:rPr>
        <w:t>број случајева у којима је утврђено да лица поседују фалсификована овлашћења или овере издате под</w:t>
      </w:r>
      <w:r>
        <w:rPr>
          <w:spacing w:val="-61"/>
          <w:sz w:val="18"/>
        </w:rPr>
        <w:t> </w:t>
      </w:r>
      <w:r>
        <w:rPr>
          <w:sz w:val="18"/>
        </w:rPr>
        <w:t>надлежношћу Републике Србије;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3" w:after="0"/>
        <w:ind w:left="897" w:right="0" w:hanging="179"/>
        <w:jc w:val="left"/>
        <w:rPr>
          <w:sz w:val="18"/>
        </w:rPr>
      </w:pPr>
      <w:r>
        <w:rPr>
          <w:sz w:val="18"/>
        </w:rPr>
        <w:t>одговоре на извештаје инспекције државе луке о недостатку;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истраживање несрећа на мору и закључке о потребним унапређењима ради избегавања несрећа;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техничке и друге ресурсе;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резултате инспекција, прегледа и контрола бродова у флоти;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истраживање несрећа на раду;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2" w:after="0"/>
        <w:ind w:left="897" w:right="0" w:hanging="179"/>
        <w:jc w:val="left"/>
        <w:rPr>
          <w:sz w:val="18"/>
        </w:rPr>
      </w:pPr>
      <w:r>
        <w:rPr>
          <w:sz w:val="18"/>
        </w:rPr>
        <w:t>број инцидената и прекршаја у вези са важећим међународним прописима о спречавању загађења;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број</w:t>
      </w:r>
      <w:r>
        <w:rPr>
          <w:spacing w:val="-5"/>
          <w:sz w:val="18"/>
        </w:rPr>
        <w:t> </w:t>
      </w:r>
      <w:r>
        <w:rPr>
          <w:sz w:val="18"/>
        </w:rPr>
        <w:t>суспензија</w:t>
      </w:r>
      <w:r>
        <w:rPr>
          <w:spacing w:val="-4"/>
          <w:sz w:val="18"/>
        </w:rPr>
        <w:t> </w:t>
      </w:r>
      <w:r>
        <w:rPr>
          <w:sz w:val="18"/>
        </w:rPr>
        <w:t>или</w:t>
      </w:r>
      <w:r>
        <w:rPr>
          <w:spacing w:val="-4"/>
          <w:sz w:val="18"/>
        </w:rPr>
        <w:t> </w:t>
      </w:r>
      <w:r>
        <w:rPr>
          <w:sz w:val="18"/>
        </w:rPr>
        <w:t>повлачења</w:t>
      </w:r>
      <w:r>
        <w:rPr>
          <w:spacing w:val="-4"/>
          <w:sz w:val="18"/>
        </w:rPr>
        <w:t> </w:t>
      </w:r>
      <w:r>
        <w:rPr>
          <w:sz w:val="18"/>
        </w:rPr>
        <w:t>сведочанстава,</w:t>
      </w:r>
      <w:r>
        <w:rPr>
          <w:spacing w:val="-5"/>
          <w:sz w:val="18"/>
        </w:rPr>
        <w:t> </w:t>
      </w:r>
      <w:r>
        <w:rPr>
          <w:sz w:val="18"/>
        </w:rPr>
        <w:t>одобрења,</w:t>
      </w:r>
      <w:r>
        <w:rPr>
          <w:spacing w:val="-4"/>
          <w:sz w:val="18"/>
        </w:rPr>
        <w:t> </w:t>
      </w:r>
      <w:r>
        <w:rPr>
          <w:sz w:val="18"/>
        </w:rPr>
        <w:t>сагласности</w:t>
      </w:r>
      <w:r>
        <w:rPr>
          <w:spacing w:val="-4"/>
          <w:sz w:val="18"/>
        </w:rPr>
        <w:t> </w:t>
      </w:r>
      <w:r>
        <w:rPr>
          <w:sz w:val="18"/>
        </w:rPr>
        <w:t>или</w:t>
      </w:r>
      <w:r>
        <w:rPr>
          <w:spacing w:val="-4"/>
          <w:sz w:val="18"/>
        </w:rPr>
        <w:t> </w:t>
      </w:r>
      <w:r>
        <w:rPr>
          <w:sz w:val="18"/>
        </w:rPr>
        <w:t>слично.”.</w:t>
      </w:r>
    </w:p>
    <w:p>
      <w:pPr>
        <w:pStyle w:val="ListParagraph"/>
        <w:numPr>
          <w:ilvl w:val="0"/>
          <w:numId w:val="1"/>
        </w:numPr>
        <w:tabs>
          <w:tab w:pos="964" w:val="left" w:leader="none"/>
        </w:tabs>
        <w:spacing w:line="230" w:lineRule="auto" w:before="148" w:after="0"/>
        <w:ind w:left="239" w:right="377" w:firstLine="480"/>
        <w:jc w:val="left"/>
        <w:rPr>
          <w:sz w:val="18"/>
        </w:rPr>
      </w:pPr>
      <w:r>
        <w:rPr>
          <w:sz w:val="18"/>
        </w:rPr>
        <w:t>У делу 8. ПРИЛОЗИ, у ставу 1. тачка на крају замењује се тачком запетом. Додаје се нова алинеја, која</w:t>
      </w:r>
      <w:r>
        <w:rPr>
          <w:spacing w:val="-62"/>
          <w:sz w:val="18"/>
        </w:rPr>
        <w:t> </w:t>
      </w:r>
      <w:r>
        <w:rPr>
          <w:sz w:val="18"/>
        </w:rPr>
        <w:t>гласи:</w:t>
      </w:r>
    </w:p>
    <w:p>
      <w:pPr>
        <w:pStyle w:val="BodyText"/>
        <w:spacing w:line="230" w:lineRule="auto"/>
        <w:ind w:right="313"/>
      </w:pPr>
      <w:r>
        <w:rPr/>
        <w:t>„Прилог 5 – Листа приоритетних пројеката за развој унутрашњег водног саобраћаја за период од 2015. до</w:t>
      </w:r>
      <w:r>
        <w:rPr>
          <w:spacing w:val="-61"/>
        </w:rPr>
        <w:t> </w:t>
      </w:r>
      <w:r>
        <w:rPr/>
        <w:t>2025.</w:t>
      </w:r>
      <w:r>
        <w:rPr>
          <w:spacing w:val="-1"/>
        </w:rPr>
        <w:t> </w:t>
      </w:r>
      <w:r>
        <w:rPr/>
        <w:t>године.”.</w:t>
      </w:r>
    </w:p>
    <w:p>
      <w:pPr>
        <w:pStyle w:val="ListParagraph"/>
        <w:numPr>
          <w:ilvl w:val="0"/>
          <w:numId w:val="1"/>
        </w:numPr>
        <w:tabs>
          <w:tab w:pos="964" w:val="left" w:leader="none"/>
        </w:tabs>
        <w:spacing w:line="230" w:lineRule="auto" w:before="150" w:after="0"/>
        <w:ind w:left="239" w:right="1023" w:firstLine="480"/>
        <w:jc w:val="left"/>
        <w:rPr>
          <w:sz w:val="18"/>
        </w:rPr>
      </w:pPr>
      <w:r>
        <w:rPr>
          <w:sz w:val="18"/>
        </w:rPr>
        <w:t>После Прилога 4 – Анализа промета у лукама и пристаништима, прогноза путничког туристичког</w:t>
      </w:r>
      <w:r>
        <w:rPr>
          <w:spacing w:val="-62"/>
          <w:sz w:val="18"/>
        </w:rPr>
        <w:t> </w:t>
      </w:r>
      <w:r>
        <w:rPr>
          <w:sz w:val="18"/>
        </w:rPr>
        <w:t>саобраћаја у периоду 2015–2025. године, који је одштампан уз Стратегију о развоју водног саобраћаја</w:t>
      </w:r>
    </w:p>
    <w:p>
      <w:pPr>
        <w:pStyle w:val="BodyText"/>
        <w:spacing w:line="230" w:lineRule="auto" w:before="0"/>
        <w:ind w:right="232" w:firstLine="0"/>
      </w:pPr>
      <w:r>
        <w:rPr/>
        <w:t>Републике</w:t>
      </w:r>
      <w:r>
        <w:rPr>
          <w:spacing w:val="-3"/>
        </w:rPr>
        <w:t> </w:t>
      </w:r>
      <w:r>
        <w:rPr/>
        <w:t>Србије</w:t>
      </w:r>
      <w:r>
        <w:rPr>
          <w:spacing w:val="-2"/>
        </w:rPr>
        <w:t> </w:t>
      </w:r>
      <w:r>
        <w:rPr/>
        <w:t>од</w:t>
      </w:r>
      <w:r>
        <w:rPr>
          <w:spacing w:val="-2"/>
        </w:rPr>
        <w:t> </w:t>
      </w:r>
      <w:r>
        <w:rPr/>
        <w:t>2015.</w:t>
      </w:r>
      <w:r>
        <w:rPr>
          <w:spacing w:val="-2"/>
        </w:rPr>
        <w:t> </w:t>
      </w:r>
      <w:r>
        <w:rPr/>
        <w:t>до</w:t>
      </w:r>
      <w:r>
        <w:rPr>
          <w:spacing w:val="-2"/>
        </w:rPr>
        <w:t> </w:t>
      </w:r>
      <w:r>
        <w:rPr/>
        <w:t>2025.</w:t>
      </w:r>
      <w:r>
        <w:rPr>
          <w:spacing w:val="-2"/>
        </w:rPr>
        <w:t> </w:t>
      </w:r>
      <w:r>
        <w:rPr/>
        <w:t>године</w:t>
      </w:r>
      <w:r>
        <w:rPr>
          <w:spacing w:val="-2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2"/>
        </w:rPr>
        <w:t> </w:t>
      </w:r>
      <w:r>
        <w:rPr/>
        <w:t>број</w:t>
      </w:r>
      <w:r>
        <w:rPr>
          <w:spacing w:val="-2"/>
        </w:rPr>
        <w:t> </w:t>
      </w:r>
      <w:r>
        <w:rPr/>
        <w:t>3/15)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чини</w:t>
      </w:r>
      <w:r>
        <w:rPr>
          <w:spacing w:val="-2"/>
        </w:rPr>
        <w:t> </w:t>
      </w:r>
      <w:r>
        <w:rPr/>
        <w:t>њен</w:t>
      </w:r>
      <w:r>
        <w:rPr>
          <w:spacing w:val="-2"/>
        </w:rPr>
        <w:t> </w:t>
      </w:r>
      <w:r>
        <w:rPr/>
        <w:t>саставни</w:t>
      </w:r>
      <w:r>
        <w:rPr>
          <w:spacing w:val="-2"/>
        </w:rPr>
        <w:t> </w:t>
      </w:r>
      <w:r>
        <w:rPr/>
        <w:t>део,</w:t>
      </w:r>
      <w:r>
        <w:rPr>
          <w:spacing w:val="-2"/>
        </w:rPr>
        <w:t> </w:t>
      </w:r>
      <w:r>
        <w:rPr/>
        <w:t>додаје</w:t>
      </w:r>
      <w:r>
        <w:rPr>
          <w:spacing w:val="-60"/>
        </w:rPr>
        <w:t> </w:t>
      </w:r>
      <w:r>
        <w:rPr/>
        <w:t>се Прилог 5 – Листа приоритетних пројеката за развој унутрашњег водног саобраћаја за период од 2015. до</w:t>
      </w:r>
    </w:p>
    <w:p>
      <w:pPr>
        <w:pStyle w:val="BodyText"/>
        <w:spacing w:line="212" w:lineRule="exact" w:before="0"/>
        <w:ind w:firstLine="0"/>
      </w:pPr>
      <w:r>
        <w:rPr/>
        <w:t>2025. године, који је одштампан уз ову одлуку и чини њен саставни део.</w:t>
      </w:r>
    </w:p>
    <w:p>
      <w:pPr>
        <w:spacing w:after="0" w:line="212" w:lineRule="exact"/>
        <w:sectPr>
          <w:pgSz w:w="12240" w:h="15840"/>
          <w:pgMar w:header="274" w:footer="285" w:top="460" w:bottom="480" w:left="460" w:right="580"/>
        </w:sectPr>
      </w:pPr>
    </w:p>
    <w:p>
      <w:pPr>
        <w:pStyle w:val="BodyText"/>
        <w:spacing w:line="214" w:lineRule="exact" w:before="90"/>
        <w:ind w:left="599" w:firstLine="0"/>
      </w:pPr>
      <w:r>
        <w:rPr>
          <w:spacing w:val="-22"/>
        </w:rPr>
        <w:t>О</w:t>
      </w:r>
      <w:r>
        <w:rPr>
          <w:spacing w:val="-93"/>
        </w:rPr>
        <w:t>4</w:t>
      </w:r>
      <w:r>
        <w:rPr>
          <w:spacing w:val="-15"/>
        </w:rPr>
        <w:t>в</w:t>
      </w:r>
      <w:r>
        <w:rPr>
          <w:spacing w:val="-52"/>
        </w:rPr>
        <w:t>.</w:t>
      </w:r>
      <w:r>
        <w:rPr/>
        <w:t>а</w:t>
      </w:r>
      <w:r>
        <w:rPr>
          <w:spacing w:val="-56"/>
        </w:rPr>
        <w:t>ј</w:t>
      </w:r>
      <w:r>
        <w:rPr>
          <w:spacing w:val="-23"/>
        </w:rPr>
        <w:t>О</w:t>
      </w:r>
      <w:r>
        <w:rPr>
          <w:spacing w:val="-86"/>
        </w:rPr>
        <w:t>а</w:t>
      </w:r>
      <w:r>
        <w:rPr>
          <w:spacing w:val="-22"/>
        </w:rPr>
        <w:t>в</w:t>
      </w:r>
      <w:r>
        <w:rPr>
          <w:spacing w:val="-85"/>
        </w:rPr>
        <w:t>к</w:t>
      </w:r>
      <w:r>
        <w:rPr>
          <w:spacing w:val="-22"/>
        </w:rPr>
        <w:t>у</w:t>
      </w:r>
      <w:r>
        <w:rPr>
          <w:spacing w:val="-5"/>
        </w:rPr>
        <w:t>т</w:t>
      </w:r>
      <w:r>
        <w:rPr>
          <w:spacing w:val="-42"/>
        </w:rPr>
        <w:t>о</w:t>
      </w:r>
      <w:r>
        <w:rPr>
          <w:spacing w:val="-84"/>
        </w:rPr>
        <w:t>м</w:t>
      </w:r>
      <w:r>
        <w:rPr>
          <w:spacing w:val="-29"/>
        </w:rPr>
        <w:t>д</w:t>
      </w:r>
      <w:r>
        <w:rPr>
          <w:spacing w:val="-81"/>
        </w:rPr>
        <w:t>о</w:t>
      </w:r>
      <w:r>
        <w:rPr>
          <w:spacing w:val="-31"/>
        </w:rPr>
        <w:t>л</w:t>
      </w:r>
      <w:r>
        <w:rPr>
          <w:spacing w:val="-113"/>
        </w:rPr>
        <w:t>ж</w:t>
      </w:r>
      <w:r>
        <w:rPr/>
        <w:t>у</w:t>
      </w:r>
      <w:r>
        <w:rPr>
          <w:spacing w:val="-101"/>
        </w:rPr>
        <w:t>к</w:t>
      </w:r>
      <w:r>
        <w:rPr>
          <w:spacing w:val="-8"/>
        </w:rPr>
        <w:t>е</w:t>
      </w:r>
      <w:r>
        <w:rPr>
          <w:spacing w:val="-100"/>
        </w:rPr>
        <w:t>у</w:t>
      </w:r>
      <w:r>
        <w:rPr/>
        <w:t>т</w:t>
      </w:r>
      <w:r>
        <w:rPr>
          <w:spacing w:val="-34"/>
        </w:rPr>
        <w:t>е</w:t>
      </w:r>
      <w:r>
        <w:rPr>
          <w:spacing w:val="-13"/>
        </w:rPr>
        <w:t>о</w:t>
      </w:r>
      <w:r>
        <w:rPr>
          <w:spacing w:val="-103"/>
        </w:rPr>
        <w:t>п</w:t>
      </w:r>
      <w:r>
        <w:rPr>
          <w:spacing w:val="-9"/>
        </w:rPr>
        <w:t>б</w:t>
      </w:r>
      <w:r>
        <w:rPr>
          <w:spacing w:val="-102"/>
        </w:rPr>
        <w:t>о</w:t>
      </w:r>
      <w:r>
        <w:rPr/>
        <w:t>ј</w:t>
      </w:r>
      <w:r>
        <w:rPr>
          <w:spacing w:val="-69"/>
        </w:rPr>
        <w:t>а</w:t>
      </w:r>
      <w:r>
        <w:rPr>
          <w:spacing w:val="-16"/>
        </w:rPr>
        <w:t>г</w:t>
      </w:r>
      <w:r>
        <w:rPr>
          <w:spacing w:val="-92"/>
        </w:rPr>
        <w:t>в</w:t>
      </w:r>
      <w:r>
        <w:rPr>
          <w:spacing w:val="-21"/>
        </w:rPr>
        <w:t>л</w:t>
      </w:r>
      <w:r>
        <w:rPr>
          <w:spacing w:val="-95"/>
        </w:rPr>
        <w:t>и</w:t>
      </w:r>
      <w:r>
        <w:rPr>
          <w:spacing w:val="-13"/>
        </w:rPr>
        <w:t>е</w:t>
      </w:r>
      <w:r>
        <w:rPr>
          <w:spacing w:val="-77"/>
        </w:rPr>
        <w:t>т</w:t>
      </w:r>
      <w:r>
        <w:rPr>
          <w:spacing w:val="-36"/>
        </w:rPr>
        <w:t>д</w:t>
      </w:r>
      <w:r>
        <w:rPr>
          <w:spacing w:val="-80"/>
        </w:rPr>
        <w:t>и</w:t>
      </w:r>
      <w:r>
        <w:rPr/>
        <w:t>а</w:t>
      </w:r>
      <w:r>
        <w:rPr>
          <w:spacing w:val="-55"/>
        </w:rPr>
        <w:t>т</w:t>
      </w:r>
      <w:r>
        <w:rPr>
          <w:spacing w:val="-53"/>
        </w:rPr>
        <w:t>у</w:t>
      </w:r>
      <w:r>
        <w:rPr/>
        <w:t>и</w:t>
      </w:r>
      <w:r>
        <w:rPr>
          <w:spacing w:val="-20"/>
        </w:rPr>
        <w:t>„</w:t>
      </w:r>
      <w:r>
        <w:rPr>
          <w:spacing w:val="-95"/>
        </w:rPr>
        <w:t>н</w:t>
      </w:r>
      <w:r>
        <w:rPr>
          <w:spacing w:val="-31"/>
        </w:rPr>
        <w:t>С</w:t>
      </w:r>
      <w:r>
        <w:rPr>
          <w:spacing w:val="-78"/>
        </w:rPr>
        <w:t>а</w:t>
      </w:r>
      <w:r>
        <w:rPr/>
        <w:t>л</w:t>
      </w:r>
      <w:r>
        <w:rPr>
          <w:spacing w:val="-78"/>
        </w:rPr>
        <w:t>у</w:t>
      </w:r>
      <w:r>
        <w:rPr>
          <w:spacing w:val="-31"/>
        </w:rPr>
        <w:t>а</w:t>
      </w:r>
      <w:r>
        <w:rPr>
          <w:spacing w:val="-114"/>
        </w:rPr>
        <w:t>ж</w:t>
      </w:r>
      <w:r>
        <w:rPr/>
        <w:t>д</w:t>
      </w:r>
      <w:r>
        <w:rPr>
          <w:spacing w:val="-111"/>
        </w:rPr>
        <w:t>р</w:t>
      </w:r>
      <w:r>
        <w:rPr/>
        <w:t>бес</w:t>
      </w:r>
      <w:r>
        <w:rPr>
          <w:spacing w:val="-97"/>
        </w:rPr>
        <w:t>и</w:t>
      </w:r>
      <w:r>
        <w:rPr/>
        <w:t>ом гласнику Републике Србије</w:t>
      </w:r>
      <w:r>
        <w:rPr>
          <w:spacing w:val="-19"/>
        </w:rPr>
        <w:t>”</w:t>
      </w:r>
      <w:r>
        <w:rPr/>
        <w:t>.</w:t>
      </w:r>
    </w:p>
    <w:p>
      <w:pPr>
        <w:pStyle w:val="BodyText"/>
        <w:spacing w:line="214" w:lineRule="exact" w:before="0"/>
        <w:ind w:left="119" w:firstLine="0"/>
      </w:pPr>
      <w:hyperlink r:id="rId7">
        <w:r>
          <w:rPr>
            <w:color w:val="1B4162"/>
          </w:rPr>
          <w:t>/eli/rep/sgrs/vlada/odluka/2020/66/3/sg</w:t>
        </w:r>
      </w:hyperlink>
    </w:p>
    <w:p>
      <w:pPr>
        <w:pStyle w:val="BodyText"/>
        <w:spacing w:before="0"/>
        <w:ind w:left="0" w:firstLin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182"/>
        <w:ind w:left="0" w:right="112" w:firstLine="0"/>
        <w:jc w:val="right"/>
      </w:pPr>
      <w:r>
        <w:rPr/>
        <w:t>05 број 342-3571/2020</w:t>
      </w:r>
    </w:p>
    <w:p>
      <w:pPr>
        <w:pStyle w:val="BodyText"/>
        <w:spacing w:before="142"/>
        <w:ind w:left="0" w:right="113" w:firstLine="0"/>
        <w:jc w:val="right"/>
      </w:pPr>
      <w:r>
        <w:rPr/>
        <w:t>У Београду, 7. маја 2020. године</w:t>
      </w:r>
    </w:p>
    <w:p>
      <w:pPr>
        <w:pStyle w:val="Heading1"/>
        <w:spacing w:before="141"/>
        <w:ind w:left="0" w:right="112"/>
        <w:jc w:val="right"/>
      </w:pPr>
      <w:r>
        <w:rPr/>
        <w:t>Влада</w:t>
      </w:r>
    </w:p>
    <w:p>
      <w:pPr>
        <w:pStyle w:val="BodyText"/>
        <w:spacing w:before="141"/>
        <w:ind w:left="0" w:right="112" w:firstLine="0"/>
        <w:jc w:val="right"/>
      </w:pPr>
      <w:r>
        <w:rPr/>
        <w:t>Председник,</w:t>
      </w:r>
    </w:p>
    <w:p>
      <w:pPr>
        <w:spacing w:before="141"/>
        <w:ind w:left="0" w:right="112" w:firstLine="0"/>
        <w:jc w:val="right"/>
        <w:rPr>
          <w:sz w:val="18"/>
        </w:rPr>
      </w:pPr>
      <w:r>
        <w:rPr>
          <w:b/>
          <w:sz w:val="18"/>
        </w:rPr>
        <w:t>Ана Брнабић,</w:t>
      </w:r>
      <w:r>
        <w:rPr>
          <w:b/>
          <w:spacing w:val="-1"/>
          <w:sz w:val="18"/>
        </w:rPr>
        <w:t> </w:t>
      </w:r>
      <w:r>
        <w:rPr>
          <w:sz w:val="18"/>
        </w:rPr>
        <w:t>с.р.</w:t>
      </w:r>
    </w:p>
    <w:p>
      <w:pPr>
        <w:pStyle w:val="BodyText"/>
        <w:spacing w:before="142"/>
        <w:ind w:left="0" w:right="112" w:firstLine="0"/>
        <w:jc w:val="right"/>
      </w:pPr>
      <w:r>
        <w:rPr/>
        <w:t>Прилог 5.</w:t>
      </w:r>
    </w:p>
    <w:p>
      <w:pPr>
        <w:spacing w:after="0"/>
        <w:jc w:val="right"/>
        <w:sectPr>
          <w:pgSz w:w="12240" w:h="15840"/>
          <w:pgMar w:header="274" w:footer="285" w:top="460" w:bottom="480" w:left="460" w:right="580"/>
          <w:cols w:num="2" w:equalWidth="0">
            <w:col w:w="7109" w:space="750"/>
            <w:col w:w="3341"/>
          </w:cols>
        </w:sectPr>
      </w:pPr>
    </w:p>
    <w:p>
      <w:pPr>
        <w:pStyle w:val="BodyText"/>
        <w:spacing w:before="2"/>
        <w:ind w:left="0" w:firstLine="0"/>
      </w:pPr>
    </w:p>
    <w:p>
      <w:pPr>
        <w:pStyle w:val="BodyText"/>
        <w:spacing w:line="214" w:lineRule="exact" w:before="100"/>
        <w:ind w:left="761" w:right="157" w:firstLine="0"/>
        <w:jc w:val="center"/>
      </w:pPr>
      <w:r>
        <w:rPr/>
        <w:t>ЛИСТА ПРИОРИТЕТНИХ ПРОЈЕКАТА ЗА РАЗВОЈ УНУТРАШЊЕГ ВОДНОГ САОБРАЋАЈА ЗА ПЕРИОД ОД 2015. ДО</w:t>
      </w:r>
    </w:p>
    <w:p>
      <w:pPr>
        <w:pStyle w:val="BodyText"/>
        <w:spacing w:line="214" w:lineRule="exact" w:before="0"/>
        <w:ind w:left="281" w:right="157" w:firstLine="0"/>
        <w:jc w:val="center"/>
      </w:pPr>
      <w:r>
        <w:rPr/>
        <w:t>2025. ГОДИНЕ</w:t>
      </w:r>
    </w:p>
    <w:p>
      <w:pPr>
        <w:pStyle w:val="ListParagraph"/>
        <w:numPr>
          <w:ilvl w:val="0"/>
          <w:numId w:val="3"/>
        </w:numPr>
        <w:tabs>
          <w:tab w:pos="980" w:val="left" w:leader="none"/>
        </w:tabs>
        <w:spacing w:line="240" w:lineRule="auto" w:before="111" w:after="0"/>
        <w:ind w:left="979" w:right="0" w:hanging="261"/>
        <w:jc w:val="left"/>
        <w:rPr>
          <w:sz w:val="18"/>
        </w:rPr>
      </w:pPr>
      <w:r>
        <w:rPr>
          <w:sz w:val="18"/>
        </w:rPr>
        <w:t>Пројекти из области лука и пристаништа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Реконструкција и изградња терминала за расуте и генералне терете Луке Смедерево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2" w:after="0"/>
        <w:ind w:left="897" w:right="0" w:hanging="179"/>
        <w:jc w:val="left"/>
        <w:rPr>
          <w:sz w:val="18"/>
        </w:rPr>
      </w:pPr>
      <w:r>
        <w:rPr>
          <w:sz w:val="18"/>
        </w:rPr>
        <w:t>Изградња нове луке у Београду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Изградња нових лучких капацитета Луке Богојево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Изградња нових лучких капацитета Луке Сремска Митровица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Изградња нових лучких капацитета Луке Прахово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2" w:after="0"/>
        <w:ind w:left="897" w:right="0" w:hanging="179"/>
        <w:jc w:val="left"/>
        <w:rPr>
          <w:sz w:val="18"/>
        </w:rPr>
      </w:pPr>
      <w:r>
        <w:rPr>
          <w:sz w:val="18"/>
        </w:rPr>
        <w:t>Изградња нових лучких капацитета Луке Сенте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Изградња луке у Апатину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Изградња међународног путничког пристаништа у Земуну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Изградња међународног путничког пристаништа у Лепенском Виру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2" w:after="0"/>
        <w:ind w:left="897" w:right="0" w:hanging="179"/>
        <w:jc w:val="left"/>
        <w:rPr>
          <w:sz w:val="18"/>
        </w:rPr>
      </w:pPr>
      <w:r>
        <w:rPr>
          <w:sz w:val="18"/>
        </w:rPr>
        <w:t>Изградња међународног путничког пристаништа у Раму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Изградња међународног путничког пристаништа у Баноштору</w:t>
      </w:r>
    </w:p>
    <w:p>
      <w:pPr>
        <w:pStyle w:val="ListParagraph"/>
        <w:numPr>
          <w:ilvl w:val="0"/>
          <w:numId w:val="3"/>
        </w:numPr>
        <w:tabs>
          <w:tab w:pos="980" w:val="left" w:leader="none"/>
        </w:tabs>
        <w:spacing w:line="240" w:lineRule="auto" w:before="141" w:after="0"/>
        <w:ind w:left="979" w:right="0" w:hanging="261"/>
        <w:jc w:val="left"/>
        <w:rPr>
          <w:sz w:val="18"/>
        </w:rPr>
      </w:pPr>
      <w:r>
        <w:rPr>
          <w:sz w:val="18"/>
        </w:rPr>
        <w:t>Пројекти из области транспортне инфраструктуре унутрашњег водног саобраћаја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Хидротехнички и багерски радови на критичним секторима на Дунаву између Београда и Бачке Паланке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49" w:after="0"/>
        <w:ind w:left="239" w:right="574" w:firstLine="480"/>
        <w:jc w:val="left"/>
        <w:rPr>
          <w:sz w:val="18"/>
        </w:rPr>
      </w:pPr>
      <w:r>
        <w:rPr>
          <w:sz w:val="18"/>
        </w:rPr>
        <w:t>Хидротехнички и багерски радови на критичним секторима на заједничкој деоници Дунава Републике</w:t>
      </w:r>
      <w:r>
        <w:rPr>
          <w:spacing w:val="-61"/>
          <w:sz w:val="18"/>
        </w:rPr>
        <w:t> </w:t>
      </w:r>
      <w:r>
        <w:rPr>
          <w:sz w:val="18"/>
        </w:rPr>
        <w:t>Србије и Републике Хрватске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50" w:after="0"/>
        <w:ind w:left="239" w:right="785" w:firstLine="480"/>
        <w:jc w:val="left"/>
        <w:rPr>
          <w:sz w:val="18"/>
        </w:rPr>
      </w:pPr>
      <w:r>
        <w:rPr>
          <w:sz w:val="18"/>
        </w:rPr>
        <w:t>Хидротехнички и багерски радови на критичним секторима на реци Сави (Камичак, Шабац, Кленак,</w:t>
      </w:r>
      <w:r>
        <w:rPr>
          <w:spacing w:val="-62"/>
          <w:sz w:val="18"/>
        </w:rPr>
        <w:t> </w:t>
      </w:r>
      <w:r>
        <w:rPr>
          <w:sz w:val="18"/>
        </w:rPr>
        <w:t>Сремска Митровица, Ушће Дрине и Саве)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3" w:after="0"/>
        <w:ind w:left="897" w:right="0" w:hanging="179"/>
        <w:jc w:val="left"/>
        <w:rPr>
          <w:sz w:val="18"/>
        </w:rPr>
      </w:pPr>
      <w:r>
        <w:rPr>
          <w:sz w:val="18"/>
        </w:rPr>
        <w:t>Адаптација бродске преводнице у саставу ХЕПС „Ђердап 1”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Адаптација бродске преводнице у саставу ХЕ „Ђердап 2”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Унапређења услова за превођење бродова у оквиру бране на Тиси</w:t>
      </w:r>
    </w:p>
    <w:p>
      <w:pPr>
        <w:pStyle w:val="ListParagraph"/>
        <w:numPr>
          <w:ilvl w:val="0"/>
          <w:numId w:val="3"/>
        </w:numPr>
        <w:tabs>
          <w:tab w:pos="980" w:val="left" w:leader="none"/>
        </w:tabs>
        <w:spacing w:line="240" w:lineRule="auto" w:before="141" w:after="0"/>
        <w:ind w:left="979" w:right="0" w:hanging="261"/>
        <w:jc w:val="left"/>
        <w:rPr>
          <w:sz w:val="18"/>
        </w:rPr>
      </w:pPr>
      <w:r>
        <w:rPr>
          <w:sz w:val="18"/>
        </w:rPr>
        <w:t>Пројекти развоја интелигентних транспортних система у унутрашњем водном транспорту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2" w:after="0"/>
        <w:ind w:left="897" w:right="0" w:hanging="179"/>
        <w:jc w:val="left"/>
        <w:rPr>
          <w:sz w:val="18"/>
        </w:rPr>
      </w:pPr>
      <w:r>
        <w:rPr>
          <w:sz w:val="18"/>
        </w:rPr>
        <w:t>Успостављање система хидрометеоролошких станица на унутрашњим водним путевима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40" w:lineRule="auto" w:before="141" w:after="0"/>
        <w:ind w:left="897" w:right="0" w:hanging="179"/>
        <w:jc w:val="left"/>
        <w:rPr>
          <w:sz w:val="18"/>
        </w:rPr>
      </w:pPr>
      <w:r>
        <w:rPr>
          <w:sz w:val="18"/>
        </w:rPr>
        <w:t>Успостављање</w:t>
      </w:r>
      <w:r>
        <w:rPr>
          <w:spacing w:val="-1"/>
          <w:sz w:val="18"/>
        </w:rPr>
        <w:t> </w:t>
      </w:r>
      <w:r>
        <w:rPr>
          <w:sz w:val="18"/>
        </w:rPr>
        <w:t>VTS и гласовног VHF система</w:t>
      </w:r>
      <w:r>
        <w:rPr>
          <w:spacing w:val="-1"/>
          <w:sz w:val="18"/>
        </w:rPr>
        <w:t> </w:t>
      </w:r>
      <w:r>
        <w:rPr>
          <w:sz w:val="18"/>
        </w:rPr>
        <w:t>на унутрашњим водним путевима</w:t>
      </w:r>
    </w:p>
    <w:p>
      <w:pPr>
        <w:pStyle w:val="ListParagraph"/>
        <w:numPr>
          <w:ilvl w:val="0"/>
          <w:numId w:val="2"/>
        </w:numPr>
        <w:tabs>
          <w:tab w:pos="898" w:val="left" w:leader="none"/>
        </w:tabs>
        <w:spacing w:line="230" w:lineRule="auto" w:before="148" w:after="0"/>
        <w:ind w:left="239" w:right="758" w:firstLine="480"/>
        <w:jc w:val="left"/>
        <w:rPr>
          <w:sz w:val="18"/>
        </w:rPr>
      </w:pPr>
      <w:r>
        <w:rPr>
          <w:sz w:val="18"/>
        </w:rPr>
        <w:t>Развој и инсталација система за навигационо праћење и електронско обележавање пловног пута на</w:t>
      </w:r>
      <w:r>
        <w:rPr>
          <w:spacing w:val="-61"/>
          <w:sz w:val="18"/>
        </w:rPr>
        <w:t> </w:t>
      </w:r>
      <w:r>
        <w:rPr>
          <w:sz w:val="18"/>
        </w:rPr>
        <w:t>Дунаву</w:t>
      </w:r>
      <w:r>
        <w:rPr>
          <w:spacing w:val="-1"/>
          <w:sz w:val="18"/>
        </w:rPr>
        <w:t> </w:t>
      </w:r>
      <w:r>
        <w:rPr>
          <w:sz w:val="18"/>
        </w:rPr>
        <w:t>и Сави (AtoNs)</w:t>
      </w:r>
    </w:p>
    <w:sectPr>
      <w:type w:val="continuous"/>
      <w:pgSz w:w="12240" w:h="15840"/>
      <w:pgMar w:top="460" w:bottom="480" w:left="46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rPr>
        <w:sz w:val="20"/>
      </w:rPr>
    </w:pPr>
    <w:r>
      <w:rPr/>
      <w:pict>
        <v:shape style="position:absolute;margin-left:25.453127pt;margin-top:766.757813pt;width:43.4pt;height:10.95pt;mso-position-horizontal-relative:page;mso-position-vertical-relative:page;z-index:-15821312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  <w:r>
      <w:rPr/>
      <w:pict>
        <v:shape style="position:absolute;margin-left:571.40625pt;margin-top:766.757813pt;width:18.150pt;height:10.95pt;mso-position-horizontal-relative:page;mso-position-vertical-relative:page;z-index:-15820800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Arial MT"/>
                    <w:sz w:val="16"/>
                  </w:rPr>
                  <w:t>/4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 w:firstLine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.453127pt;margin-top:13.757813pt;width:71.25pt;height:10.95pt;mso-position-horizontal-relative:page;mso-position-vertical-relative:page;z-index:-1582233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10/10/22,</w:t>
                </w:r>
                <w:r>
                  <w:rPr>
                    <w:rFonts w:ascii="Arial MT"/>
                    <w:spacing w:val="-5"/>
                    <w:sz w:val="16"/>
                  </w:rPr>
                  <w:t> </w:t>
                </w:r>
                <w:r>
                  <w:rPr>
                    <w:rFonts w:ascii="Arial MT"/>
                    <w:sz w:val="16"/>
                  </w:rPr>
                  <w:t>11:18</w:t>
                </w:r>
                <w:r>
                  <w:rPr>
                    <w:rFonts w:ascii="Arial MT"/>
                    <w:spacing w:val="-5"/>
                    <w:sz w:val="16"/>
                  </w:rPr>
                  <w:t> </w:t>
                </w:r>
                <w:r>
                  <w:rPr>
                    <w:rFonts w:ascii="Arial MT"/>
                    <w:sz w:val="16"/>
                  </w:rPr>
                  <w:t>AM</w:t>
                </w:r>
              </w:p>
            </w:txbxContent>
          </v:textbox>
          <w10:wrap type="none"/>
        </v:shape>
      </w:pict>
    </w:r>
    <w:r>
      <w:rPr/>
      <w:pict>
        <v:shape style="position:absolute;margin-left:343.609406pt;margin-top:13.757813pt;width:24.25pt;height:10.95pt;mso-position-horizontal-relative:page;mso-position-vertical-relative:page;z-index:-1582182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Zakon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decimal"/>
      <w:lvlText w:val="%1)"/>
      <w:lvlJc w:val="left"/>
      <w:pPr>
        <w:ind w:left="979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200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302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04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06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09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11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13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156" w:hanging="260"/>
      </w:pPr>
      <w:rPr>
        <w:rFonts w:hint="default"/>
        <w:lang w:val="Cy-sr-SP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–"/>
      <w:lvlJc w:val="left"/>
      <w:pPr>
        <w:ind w:left="240" w:hanging="178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336" w:hanging="178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432" w:hanging="17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528" w:hanging="17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624" w:hanging="17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720" w:hanging="17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816" w:hanging="17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912" w:hanging="17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08" w:hanging="178"/>
      </w:pPr>
      <w:rPr>
        <w:rFonts w:hint="default"/>
        <w:lang w:val="Cy-sr-SP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240" w:hanging="244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336" w:hanging="244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432" w:hanging="24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528" w:hanging="24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624" w:hanging="24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720" w:hanging="24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816" w:hanging="24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912" w:hanging="24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08" w:hanging="244"/>
      </w:pPr>
      <w:rPr>
        <w:rFonts w:hint="default"/>
        <w:lang w:val="Cy-sr-SP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Cy-sr-SP" w:eastAsia="en-US" w:bidi="ar-SA"/>
    </w:rPr>
  </w:style>
  <w:style w:styleId="BodyText" w:type="paragraph">
    <w:name w:val="Body Text"/>
    <w:basedOn w:val="Normal"/>
    <w:uiPriority w:val="1"/>
    <w:qFormat/>
    <w:pPr>
      <w:spacing w:before="150"/>
      <w:ind w:left="239" w:firstLine="480"/>
    </w:pPr>
    <w:rPr>
      <w:rFonts w:ascii="Verdana" w:hAnsi="Verdana" w:eastAsia="Verdana" w:cs="Verdana"/>
      <w:sz w:val="18"/>
      <w:szCs w:val="18"/>
      <w:lang w:val="Cy-sr-SP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761" w:right="157"/>
      <w:jc w:val="center"/>
      <w:outlineLvl w:val="1"/>
    </w:pPr>
    <w:rPr>
      <w:rFonts w:ascii="Verdana" w:hAnsi="Verdana" w:eastAsia="Verdana" w:cs="Verdana"/>
      <w:b/>
      <w:bCs/>
      <w:sz w:val="18"/>
      <w:szCs w:val="18"/>
      <w:lang w:val="Cy-sr-SP" w:eastAsia="en-US" w:bidi="ar-SA"/>
    </w:rPr>
  </w:style>
  <w:style w:styleId="ListParagraph" w:type="paragraph">
    <w:name w:val="List Paragraph"/>
    <w:basedOn w:val="Normal"/>
    <w:uiPriority w:val="1"/>
    <w:qFormat/>
    <w:pPr>
      <w:spacing w:before="141"/>
      <w:ind w:left="239" w:firstLine="480"/>
    </w:pPr>
    <w:rPr>
      <w:rFonts w:ascii="Verdana" w:hAnsi="Verdana" w:eastAsia="Verdana" w:cs="Verdana"/>
      <w:lang w:val="Cy-sr-SP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Cy-sr-SP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yperlink" Target="http://www.pravno-informacioni-sistem.rs/SlGlasnikPortal/eli/rep/sgrs/vlada/odluka/2020/66/3/sg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2022-10-11T05:48:51Z</dcterms:created>
  <dcterms:modified xsi:type="dcterms:W3CDTF">2022-10-11T05:48:51Z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2022-10-10T00:00:00Z</vt:filetime>
  </property>
  <property fmtid="{D5CDD505-2E9C-101B-9397-08002B2CF9AE}" pid="3" name="Creator">
    <vt:lpwstr>Mozilla/5.0 (Windows NT 10.0; Win64; x64) AppleWebKit/537.36 (KHTML, like Gecko) Chrome/105.0.0.0 Safari/537.36</vt:lpwstr>
  </property>
  <property fmtid="{D5CDD505-2E9C-101B-9397-08002B2CF9AE}" pid="4" name="LastSaved">
    <vt:filetime>2022-10-11T00:00:00Z</vt:filetime>
  </property>
</Properties>
</file>