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3CE6" w:rsidRDefault="009A2DE5">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BC3CE6" w:rsidRDefault="009A2DE5">
      <w:pPr>
        <w:spacing w:after="150"/>
      </w:pPr>
      <w:r>
        <w:rPr>
          <w:color w:val="000000"/>
        </w:rPr>
        <w:t xml:space="preserve">На основу члана 14. став 4. и члана 60. став 1. тачка 4) Закона о родној равноправности („Службени гласник РС”, број 52/21) и члана 38. став 1. </w:t>
      </w:r>
      <w:r>
        <w:rPr>
          <w:color w:val="000000"/>
        </w:rPr>
        <w:t>Закона о планском систему Републике Србије („Службени гласник РС”, број 30/18),</w:t>
      </w:r>
    </w:p>
    <w:p w:rsidR="00BC3CE6" w:rsidRDefault="009A2DE5">
      <w:pPr>
        <w:spacing w:after="150"/>
      </w:pPr>
      <w:r>
        <w:rPr>
          <w:color w:val="000000"/>
        </w:rPr>
        <w:t>Влада усваја</w:t>
      </w:r>
    </w:p>
    <w:p w:rsidR="00BC3CE6" w:rsidRDefault="009A2DE5">
      <w:pPr>
        <w:spacing w:after="225"/>
        <w:jc w:val="center"/>
      </w:pPr>
      <w:r>
        <w:rPr>
          <w:b/>
          <w:color w:val="000000"/>
        </w:rPr>
        <w:t>СТРАТЕГИЈУ</w:t>
      </w:r>
    </w:p>
    <w:p w:rsidR="00BC3CE6" w:rsidRDefault="009A2DE5">
      <w:pPr>
        <w:spacing w:after="225"/>
        <w:jc w:val="center"/>
      </w:pPr>
      <w:r>
        <w:rPr>
          <w:b/>
          <w:color w:val="000000"/>
        </w:rPr>
        <w:t>за родну равноправност за период од 2021. до 2030. године</w:t>
      </w:r>
    </w:p>
    <w:p w:rsidR="00BC3CE6" w:rsidRDefault="009A2DE5">
      <w:pPr>
        <w:spacing w:after="150"/>
        <w:jc w:val="center"/>
      </w:pPr>
      <w:r>
        <w:rPr>
          <w:color w:val="000000"/>
        </w:rPr>
        <w:t>"Службени гласник РС", број 103 од 4. новембра 2021.</w:t>
      </w:r>
    </w:p>
    <w:p w:rsidR="00BC3CE6" w:rsidRDefault="009A2DE5">
      <w:pPr>
        <w:spacing w:after="120"/>
        <w:jc w:val="center"/>
      </w:pPr>
      <w:r>
        <w:rPr>
          <w:color w:val="000000"/>
        </w:rPr>
        <w:t>УВОД</w:t>
      </w:r>
    </w:p>
    <w:p w:rsidR="00BC3CE6" w:rsidRDefault="009A2DE5">
      <w:pPr>
        <w:spacing w:after="150"/>
      </w:pPr>
      <w:r>
        <w:rPr>
          <w:color w:val="000000"/>
        </w:rPr>
        <w:t>Стратегијом за родну равноправност (</w:t>
      </w:r>
      <w:r>
        <w:rPr>
          <w:color w:val="000000"/>
        </w:rPr>
        <w:t>у даљем тексту: Стратегија) утврђене су свеобухватне мере за унапређење родне равноправности као чиниоца који подстиче развој друштва у Републици Србији. На такав приступ упућује Закон о ратификацији Конвенције о елиминисању свих облика дискриминације жена</w:t>
      </w:r>
      <w:r>
        <w:rPr>
          <w:color w:val="000000"/>
        </w:rPr>
        <w:t xml:space="preserve"> (у даљем тексту: CEDAW конвенција).</w:t>
      </w:r>
      <w:r>
        <w:rPr>
          <w:color w:val="000000"/>
          <w:vertAlign w:val="superscript"/>
        </w:rPr>
        <w:t>1</w:t>
      </w:r>
      <w:r>
        <w:rPr>
          <w:color w:val="000000"/>
        </w:rPr>
        <w:t xml:space="preserve"> Прихватањем ове конвенције она је, према одредбама Устава, постала део правног поретка Републике Србије и њене одредбе се непосредно примењују (члан 16. став 2. и члан 18. став 2. Устава). У правном систему Републике С</w:t>
      </w:r>
      <w:r>
        <w:rPr>
          <w:color w:val="000000"/>
        </w:rPr>
        <w:t>рбије CEDAW конвенција, као потврђени међународни уговор има виши статус у односу на националну легислативу, која мора бити у складу са потврђеним међународним уговорима (члан 167. став 1. тачка 1) Устава). Стратегија се ослања и на Опште препоруке Комитет</w:t>
      </w:r>
      <w:r>
        <w:rPr>
          <w:color w:val="000000"/>
        </w:rPr>
        <w:t>а за елиминисање свих облика дискриминације жена</w:t>
      </w:r>
      <w:r>
        <w:rPr>
          <w:color w:val="000000"/>
          <w:vertAlign w:val="superscript"/>
        </w:rPr>
        <w:t>2</w:t>
      </w:r>
      <w:r>
        <w:rPr>
          <w:color w:val="000000"/>
        </w:rPr>
        <w:t xml:space="preserve"> (у даљем тексту: CEDAW комитет), Закључна запажања CEDAW комитета у вези са Четвртим периодичним извештајем Републике Србије о спровођењу CEDAW</w:t>
      </w:r>
      <w:r>
        <w:rPr>
          <w:color w:val="000000"/>
          <w:vertAlign w:val="superscript"/>
        </w:rPr>
        <w:t>3</w:t>
      </w:r>
      <w:r>
        <w:rPr>
          <w:color w:val="000000"/>
        </w:rPr>
        <w:t xml:space="preserve"> конвенције, као и Опште препоруке CEDAW комитета. У правном с</w:t>
      </w:r>
      <w:r>
        <w:rPr>
          <w:color w:val="000000"/>
        </w:rPr>
        <w:t>истему Републике Србије одредбе о људским и мањинским правима тумаче се и сагласно међународним стандардима људских и мањинских права и пракси међународних тела која надзиру њихово спровођење (члан 18. став 3. Устава).</w:t>
      </w:r>
    </w:p>
    <w:p w:rsidR="00BC3CE6" w:rsidRDefault="009A2DE5">
      <w:pPr>
        <w:spacing w:after="150"/>
      </w:pPr>
      <w:r>
        <w:rPr>
          <w:color w:val="000000"/>
        </w:rPr>
        <w:t xml:space="preserve">Ова стратегија ослања се и на Агенду </w:t>
      </w:r>
      <w:r>
        <w:rPr>
          <w:color w:val="000000"/>
        </w:rPr>
        <w:t>Уједињених нација за одрживи развој до 2030. године (у даљем тексту: Агенду 2030), усклађена је са том Агендом и процесом приступања ЕУ, а циљеви постављени у Стратегији одговарају циљевима и потциљевима дефинисаним Агендом 2030 и у складу су са препорукам</w:t>
      </w:r>
      <w:r>
        <w:rPr>
          <w:color w:val="000000"/>
        </w:rPr>
        <w:t>а CEDAW комитета.</w:t>
      </w:r>
      <w:r>
        <w:rPr>
          <w:color w:val="000000"/>
          <w:vertAlign w:val="superscript"/>
        </w:rPr>
        <w:t>4</w:t>
      </w:r>
      <w:r>
        <w:rPr>
          <w:color w:val="000000"/>
        </w:rPr>
        <w:t xml:space="preserve"> Поред циља 5. који се односи у целини на родну равноправност као фактор развоја то су и: циљ 1. (Свет без сиромаштва) потциљеви 1.б и 1.4; циљ 2. (Свет без глади) потциљеви 2.3, 2.4 и 2.а; циљ 3. (Добро здравље) 3.4, 3.7, 3.8 и 3.а; циљ </w:t>
      </w:r>
      <w:r>
        <w:rPr>
          <w:color w:val="000000"/>
        </w:rPr>
        <w:t>4. (Квалитетно образовање) потциљеви 4.1, 4.2, 4.3, 4.4, 4.5, 4.6 и 4.а; циљ 6. (Чиста вода и санитарни услови) потциљеви 6.1, 6.2 и 6.4; циљ 7.</w:t>
      </w:r>
    </w:p>
    <w:p w:rsidR="00BC3CE6" w:rsidRDefault="009A2DE5">
      <w:pPr>
        <w:spacing w:after="150"/>
      </w:pPr>
      <w:r>
        <w:rPr>
          <w:color w:val="000000"/>
        </w:rPr>
        <w:lastRenderedPageBreak/>
        <w:t xml:space="preserve">(Доступна и обновљива енергија) потциљеви 7.1 и 7.2; циљ 8. (Достојанствен рад и економски раст) потциљеви 8.8 </w:t>
      </w:r>
      <w:r>
        <w:rPr>
          <w:color w:val="000000"/>
        </w:rPr>
        <w:t xml:space="preserve">и 8.б; циљ 9. (Индустрија, иновације, инфраструктура) потциљ 9.5; циљ 10. (Смањење неједнакости) потциљеви 10.2, 10.3, 10.4 и 10.7; циљ 11. (Одрживи градови и заједнице) потциљеви 11.1 и 11.7; циљ 12. (Одговорна потрошња и производња) потциљеви 12.8, 12.а </w:t>
      </w:r>
      <w:r>
        <w:rPr>
          <w:color w:val="000000"/>
        </w:rPr>
        <w:t>и 12.б; циљ 13. (Акција за климу) потциљеви 13.2, 13.3 и 13.а; циљ 15. (Живот на земљи) потциљ 15.9 и циљ 16. (Мир, правда и снажније институције) потциљеви 16.1, 16.3,16.6, 16.7, 16.9, 16.10, 16.а и 16.б.</w:t>
      </w:r>
    </w:p>
    <w:p w:rsidR="00BC3CE6" w:rsidRDefault="009A2DE5">
      <w:pPr>
        <w:spacing w:after="150"/>
      </w:pPr>
      <w:r>
        <w:rPr>
          <w:color w:val="000000"/>
        </w:rPr>
        <w:t>Стратегија и Акциони план припремају се у складу с</w:t>
      </w:r>
      <w:r>
        <w:rPr>
          <w:color w:val="000000"/>
        </w:rPr>
        <w:t>а Законом о планском систему Републике Србије</w:t>
      </w:r>
      <w:r>
        <w:rPr>
          <w:color w:val="000000"/>
          <w:vertAlign w:val="superscript"/>
        </w:rPr>
        <w:t>5</w:t>
      </w:r>
      <w:r>
        <w:rPr>
          <w:color w:val="000000"/>
        </w:rPr>
        <w:t xml:space="preserve"> и Уредбом о методологији управљањa јавним политикама, анализи ефеката јавних политика и прописа и садржају појединачних докумената јавних политика, са пратећим прилозима.</w:t>
      </w:r>
      <w:r>
        <w:rPr>
          <w:color w:val="000000"/>
          <w:vertAlign w:val="superscript"/>
        </w:rPr>
        <w:t>6</w:t>
      </w:r>
    </w:p>
    <w:p w:rsidR="00BC3CE6" w:rsidRDefault="009A2DE5">
      <w:pPr>
        <w:spacing w:after="150"/>
      </w:pPr>
      <w:r>
        <w:rPr>
          <w:color w:val="000000"/>
        </w:rPr>
        <w:t>Старaтегија је национална и мултисект</w:t>
      </w:r>
      <w:r>
        <w:rPr>
          <w:color w:val="000000"/>
        </w:rPr>
        <w:t>орска и доноси се за период 2021–2030. године, а Акциони план за њено спровођење донеће се за период 2021–2023. године.</w:t>
      </w:r>
    </w:p>
    <w:p w:rsidR="00BC3CE6" w:rsidRDefault="009A2DE5">
      <w:pPr>
        <w:spacing w:after="150"/>
      </w:pPr>
      <w:r>
        <w:rPr>
          <w:color w:val="000000"/>
        </w:rPr>
        <w:t>Влада је усвојила Националну стратегију за родну равноправност за период од 2016. до 2020. године</w:t>
      </w:r>
      <w:r>
        <w:rPr>
          <w:color w:val="000000"/>
          <w:vertAlign w:val="superscript"/>
        </w:rPr>
        <w:t>7</w:t>
      </w:r>
      <w:r>
        <w:rPr>
          <w:color w:val="000000"/>
        </w:rPr>
        <w:t xml:space="preserve"> заједно са АП за период 2016–2018. го</w:t>
      </w:r>
      <w:r>
        <w:rPr>
          <w:color w:val="000000"/>
        </w:rPr>
        <w:t>дине, која је престала да важи 2020. године. Акциони план за њену реализацију за период 2018–2020. године није усвојен. Због наведеног, као и у складу са препорукама међународних тела за праћење примене CEDAW конвенције, неопходно је усвојити нови стратешк</w:t>
      </w:r>
      <w:r>
        <w:rPr>
          <w:color w:val="000000"/>
        </w:rPr>
        <w:t>и документ.</w:t>
      </w:r>
    </w:p>
    <w:p w:rsidR="00BC3CE6" w:rsidRDefault="009A2DE5">
      <w:pPr>
        <w:spacing w:after="150"/>
      </w:pPr>
      <w:r>
        <w:rPr>
          <w:color w:val="000000"/>
        </w:rPr>
        <w:t>Решењем Министарства за људска и мањинска права и друштвени дијалог</w:t>
      </w:r>
      <w:r>
        <w:rPr>
          <w:color w:val="000000"/>
          <w:vertAlign w:val="superscript"/>
        </w:rPr>
        <w:t>8</w:t>
      </w:r>
      <w:r>
        <w:rPr>
          <w:color w:val="000000"/>
        </w:rPr>
        <w:t xml:space="preserve"> 28. априла 2021. године, образована је Посебна радна група за припрему Предлога Националне стратегије за родну равноправност за период 2021–2030. и Предлога АП за њено спровођ</w:t>
      </w:r>
      <w:r>
        <w:rPr>
          <w:color w:val="000000"/>
        </w:rPr>
        <w:t>ење за период 2021–2023. године, којом руководи потпредседница Владе и председница Координационог тела за родну равноправност проф. др Зорана Михајловић, а министарка за људска и мањинска права и друштвени дијалог Гордана Чомић је заменица председнице Посе</w:t>
      </w:r>
      <w:r>
        <w:rPr>
          <w:color w:val="000000"/>
        </w:rPr>
        <w:t>бне радне групе. Посебну радну групу чине представници и представнице као и њихови заменици и заменице: Координационог тела за родну равноправност, Министарства за људска и мањинска права и друштвени дијалог, Министарства за европске интеграције, Министарс</w:t>
      </w:r>
      <w:r>
        <w:rPr>
          <w:color w:val="000000"/>
        </w:rPr>
        <w:t>тва привреде, Министарства пољопривреде, шумарства и водопривреде, Министарства заштите животне средине, Министарства финансија, Министарства грађевинарства, саобраћаја и инфраструктуре, Министарства за бригу о селу, Министарства трговине, туризма и телеко</w:t>
      </w:r>
      <w:r>
        <w:rPr>
          <w:color w:val="000000"/>
        </w:rPr>
        <w:t>муникација, Министарства правде, Министарства државне управе и локалне самоуправе, Министарства за рад, запошљавање, борачка и социјална питања, Министарства за бригу о породици и демографију, Министарства омладине и спорта, Министарства културе и информис</w:t>
      </w:r>
      <w:r>
        <w:rPr>
          <w:color w:val="000000"/>
        </w:rPr>
        <w:t xml:space="preserve">ања, Министарства унутрашњих послова, Министарства спољних послова, Министарства рудардства и енергетике, Републичког секретаријата за јавне политике, Републичког </w:t>
      </w:r>
      <w:r>
        <w:rPr>
          <w:color w:val="000000"/>
        </w:rPr>
        <w:lastRenderedPageBreak/>
        <w:t>завода за статистику, Министарства одбране</w:t>
      </w:r>
      <w:r>
        <w:rPr>
          <w:color w:val="000000"/>
          <w:vertAlign w:val="superscript"/>
        </w:rPr>
        <w:t>9</w:t>
      </w:r>
      <w:r>
        <w:rPr>
          <w:color w:val="000000"/>
        </w:rPr>
        <w:t>, Тима за социјално укључивање и смањење сиромаштв</w:t>
      </w:r>
      <w:r>
        <w:rPr>
          <w:color w:val="000000"/>
        </w:rPr>
        <w:t>а, Српске академије наука и уметности, Сталне конференције градова и општина, као и удружења: Фондација Ана и Владе Дивац, Фондација социјалне и демократске иницијативе (ФОСДИ), Иницијатива за равноправност, иновативност и друштвени ангажман.</w:t>
      </w:r>
    </w:p>
    <w:p w:rsidR="00BC3CE6" w:rsidRDefault="009A2DE5">
      <w:pPr>
        <w:spacing w:after="150"/>
      </w:pPr>
      <w:r>
        <w:rPr>
          <w:color w:val="000000"/>
        </w:rPr>
        <w:t>У складу са Р</w:t>
      </w:r>
      <w:r>
        <w:rPr>
          <w:color w:val="000000"/>
        </w:rPr>
        <w:t>ешењем о образовању Радне групе, формиран је експертски тим за израду Полазних основа за израду текста Стратегије коју чини осам експерткиња. Координационо тело за родну равноправност одредило је две особе за помоћ у раду експертског тима, а Министарство з</w:t>
      </w:r>
      <w:r>
        <w:rPr>
          <w:color w:val="000000"/>
        </w:rPr>
        <w:t>а људска и мањинска права и друштвени дијалог једну. Поред чланова и чланица Радне групе која припрема ову стратегију, чланова и чланица експертског тима и особа именованих од стране Координационог тела за родну равноправност и Министарства за људска и мањ</w:t>
      </w:r>
      <w:r>
        <w:rPr>
          <w:color w:val="000000"/>
        </w:rPr>
        <w:t xml:space="preserve">инска права за пружање помоћи експертском тиму, у процес рада укључени су и представници ОЦД који су у саставу Радне групе за припрему Стратегије, као и ОЦД и други заинтересовани субјекти који учествују у консултативним састанцима, који су организовани у </w:t>
      </w:r>
      <w:r>
        <w:rPr>
          <w:color w:val="000000"/>
        </w:rPr>
        <w:t>току израде овог документа. Консултације су се одвијале у два паралелна процеса. Министарство за људска и мањинска права и друштвени дијалог организовало је и водило консултативни процес са органима јавне власти, а сугестије које су стигле достављене су ек</w:t>
      </w:r>
      <w:r>
        <w:rPr>
          <w:color w:val="000000"/>
        </w:rPr>
        <w:t>спертском тиму. Експертски тим је водио пет консултативних састанака које је организвало Удружење грађанки FemPlatz. На састанцима који су одржани у периоду од 26. до 30. августа 2021. године преко ZOOM платформе присуствовали су представници/це државних и</w:t>
      </w:r>
      <w:r>
        <w:rPr>
          <w:color w:val="000000"/>
        </w:rPr>
        <w:t>нституција на националном и локалном нивоу, међународних организација, представници/це академске заједнице, представници/це бројних ОЦД који се баве људским правима, правима одређених група, као и положајем и правима вишеструко дискриминисаних група (жене,</w:t>
      </w:r>
      <w:r>
        <w:rPr>
          <w:color w:val="000000"/>
        </w:rPr>
        <w:t xml:space="preserve"> жене жртве родно заснованог насиља, младе и старије жене, националне мањине, жене са инвалидитетом и др.), као и други појединци и појединке, активисти и активисткиње изнети коментари и сугестије на текст Полазних основа за израду Предлога националне стра</w:t>
      </w:r>
      <w:r>
        <w:rPr>
          <w:color w:val="000000"/>
        </w:rPr>
        <w:t>тегије за родну равноправност за период 2021–2030. године, са Акционим планом за њено спровођење за период 2021–2023. године од којих су многи унети у документ.</w:t>
      </w:r>
    </w:p>
    <w:p w:rsidR="00BC3CE6" w:rsidRDefault="009A2DE5">
      <w:pPr>
        <w:spacing w:after="150"/>
      </w:pPr>
      <w:r>
        <w:rPr>
          <w:color w:val="000000"/>
        </w:rPr>
        <w:t>Израда Стратегије подржана је кроз пројекат „Кључни кораци ка родној равноправности (фаза 2)” к</w:t>
      </w:r>
      <w:r>
        <w:rPr>
          <w:color w:val="000000"/>
        </w:rPr>
        <w:t>оји спроводи Агенција Уједињених нација за родну равноправност и оснаживање жена (UN Women) у сарадњи са Координационим телом за родну равноправност, а уз финансијску подршку ЕУ.</w:t>
      </w:r>
    </w:p>
    <w:p w:rsidR="00BC3CE6" w:rsidRDefault="009A2DE5">
      <w:pPr>
        <w:spacing w:after="150"/>
        <w:jc w:val="both"/>
      </w:pPr>
      <w:r>
        <w:rPr>
          <w:i/>
          <w:color w:val="000000"/>
        </w:rPr>
        <w:t>––––––––</w:t>
      </w:r>
    </w:p>
    <w:p w:rsidR="00BC3CE6" w:rsidRDefault="009A2DE5">
      <w:pPr>
        <w:spacing w:after="150"/>
        <w:jc w:val="both"/>
      </w:pPr>
      <w:r>
        <w:rPr>
          <w:i/>
          <w:color w:val="000000"/>
        </w:rPr>
        <w:t>1 „Службени лист СФРЈ”, број 11/81.</w:t>
      </w:r>
    </w:p>
    <w:p w:rsidR="00BC3CE6" w:rsidRDefault="009A2DE5">
      <w:pPr>
        <w:spacing w:after="150"/>
        <w:jc w:val="both"/>
      </w:pPr>
      <w:r>
        <w:rPr>
          <w:i/>
          <w:color w:val="000000"/>
        </w:rPr>
        <w:t>2 Доступно на: https://www.rodna</w:t>
      </w:r>
      <w:r>
        <w:rPr>
          <w:i/>
          <w:color w:val="000000"/>
        </w:rPr>
        <w:t>ravnopravnost.gov.rs/sites/default/files/2017-</w:t>
      </w:r>
      <w:r>
        <w:rPr>
          <w:i/>
          <w:color w:val="000000"/>
        </w:rPr>
        <w:lastRenderedPageBreak/>
        <w:t>02/Op%C5%A1te-preporuke-Komiteta-za-ukidanje-svih-oblika-diskriminacije.pdf, приступљено 7. маја 2021.</w:t>
      </w:r>
    </w:p>
    <w:p w:rsidR="00BC3CE6" w:rsidRDefault="009A2DE5">
      <w:pPr>
        <w:spacing w:after="150"/>
        <w:jc w:val="both"/>
      </w:pPr>
      <w:r>
        <w:rPr>
          <w:i/>
          <w:color w:val="000000"/>
        </w:rPr>
        <w:t xml:space="preserve">3 Усвојена у марту 2019. године, доступно на: http://socijalnoukljucivanje.gov.rs/sr/, приступљено 7. маја </w:t>
      </w:r>
      <w:r>
        <w:rPr>
          <w:i/>
          <w:color w:val="000000"/>
        </w:rPr>
        <w:t>2021.</w:t>
      </w:r>
    </w:p>
    <w:p w:rsidR="00BC3CE6" w:rsidRDefault="009A2DE5">
      <w:pPr>
        <w:spacing w:after="150"/>
        <w:jc w:val="both"/>
      </w:pPr>
      <w:r>
        <w:rPr>
          <w:i/>
          <w:color w:val="000000"/>
        </w:rPr>
        <w:t>4 Закључна запажања CEDAW комитета у вези са четвртим периодичним извештајем тачка ц – циљеви одрживог развоја.</w:t>
      </w:r>
    </w:p>
    <w:p w:rsidR="00BC3CE6" w:rsidRDefault="009A2DE5">
      <w:pPr>
        <w:spacing w:after="150"/>
        <w:jc w:val="both"/>
      </w:pPr>
      <w:r>
        <w:rPr>
          <w:i/>
          <w:color w:val="000000"/>
        </w:rPr>
        <w:t>5 „Службени гласник РС”, број 30/18.</w:t>
      </w:r>
    </w:p>
    <w:p w:rsidR="00BC3CE6" w:rsidRDefault="009A2DE5">
      <w:pPr>
        <w:spacing w:after="150"/>
        <w:jc w:val="both"/>
      </w:pPr>
      <w:r>
        <w:rPr>
          <w:i/>
          <w:color w:val="000000"/>
        </w:rPr>
        <w:t>6 „Службени гласник РС”, број 8/19.</w:t>
      </w:r>
    </w:p>
    <w:p w:rsidR="00BC3CE6" w:rsidRDefault="009A2DE5">
      <w:pPr>
        <w:spacing w:after="150"/>
        <w:jc w:val="both"/>
      </w:pPr>
      <w:r>
        <w:rPr>
          <w:i/>
          <w:color w:val="000000"/>
        </w:rPr>
        <w:t>7 „Службени гласник РС”, број 4/16.</w:t>
      </w:r>
    </w:p>
    <w:p w:rsidR="00BC3CE6" w:rsidRDefault="009A2DE5">
      <w:pPr>
        <w:spacing w:after="150"/>
        <w:jc w:val="both"/>
      </w:pPr>
      <w:r>
        <w:rPr>
          <w:i/>
          <w:color w:val="000000"/>
        </w:rPr>
        <w:t>8 Решење број 021-01-00013/20</w:t>
      </w:r>
      <w:r>
        <w:rPr>
          <w:i/>
          <w:color w:val="000000"/>
        </w:rPr>
        <w:t>21/1 од 28.4.2021. године.</w:t>
      </w:r>
    </w:p>
    <w:p w:rsidR="00BC3CE6" w:rsidRDefault="009A2DE5">
      <w:pPr>
        <w:spacing w:after="150"/>
        <w:jc w:val="both"/>
      </w:pPr>
      <w:r>
        <w:rPr>
          <w:i/>
          <w:color w:val="000000"/>
        </w:rPr>
        <w:t>9 Измена и допуна решења од 17.5.2021. године</w:t>
      </w:r>
    </w:p>
    <w:p w:rsidR="00BC3CE6" w:rsidRDefault="009A2DE5">
      <w:pPr>
        <w:spacing w:after="120"/>
        <w:jc w:val="center"/>
      </w:pPr>
      <w:r>
        <w:rPr>
          <w:color w:val="000000"/>
        </w:rPr>
        <w:t>1. ПЛАНСКИ ДОКУМЕНТИ И ПРАВНИ ОКВИР РЕЛЕВАНТАН ЗА СТРАТЕГИЈУ О РОДНОЈ РАВНОПРАВНОСТИ</w:t>
      </w:r>
    </w:p>
    <w:p w:rsidR="00BC3CE6" w:rsidRDefault="009A2DE5">
      <w:pPr>
        <w:spacing w:after="120"/>
        <w:jc w:val="center"/>
      </w:pPr>
      <w:r>
        <w:rPr>
          <w:b/>
          <w:color w:val="000000"/>
        </w:rPr>
        <w:t>1.1. Стратегије и акциони планови</w:t>
      </w:r>
    </w:p>
    <w:p w:rsidR="00BC3CE6" w:rsidRDefault="009A2DE5">
      <w:pPr>
        <w:spacing w:after="150"/>
      </w:pPr>
      <w:r>
        <w:rPr>
          <w:color w:val="000000"/>
        </w:rPr>
        <w:t xml:space="preserve">Стратегија је садржински повезана са више секторских стратегија </w:t>
      </w:r>
      <w:r>
        <w:rPr>
          <w:color w:val="000000"/>
        </w:rPr>
        <w:t>које се односе на различите области, а које и CEDAW конвенција издваја као области од приоритетног значаја за остваривање родне равноправности. Садржинска повезаност ове стратегије са стратегијама које се односе на поједине области друштвеног живота или на</w:t>
      </w:r>
      <w:r>
        <w:rPr>
          <w:color w:val="000000"/>
        </w:rPr>
        <w:t xml:space="preserve"> посебне субјекте, проистиче из мултисекторске природе родне равноправности. Мултисекторска природа родне равноправности налаже да се одреди однос Стратегије за родну равноправност према секторским јавним политикама. Смисао и циљ стратешких докумената је р</w:t>
      </w:r>
      <w:r>
        <w:rPr>
          <w:color w:val="000000"/>
        </w:rPr>
        <w:t xml:space="preserve">азвој друштва, а специфичности се односе на област, питање или субјекте на које се конкретна стратегија односи. То се односи и на ову стратегију за родну равноправност као стратешког документа у коме се при одређивању циљева који доприносе развоју друштва </w:t>
      </w:r>
      <w:r>
        <w:rPr>
          <w:color w:val="000000"/>
        </w:rPr>
        <w:t>приступа из родне перспективе. Родна равноправност као предуслов развоја друштва је окосница и суштинска одредница садржаја ове стратегије и повезана је са Агендом 2030</w:t>
      </w:r>
      <w:r>
        <w:rPr>
          <w:color w:val="000000"/>
          <w:vertAlign w:val="superscript"/>
        </w:rPr>
        <w:t>10</w:t>
      </w:r>
      <w:r>
        <w:rPr>
          <w:color w:val="000000"/>
        </w:rPr>
        <w:t>, као универзалном стратегијом која укључује три димензије одрживог развоја – економск</w:t>
      </w:r>
      <w:r>
        <w:rPr>
          <w:color w:val="000000"/>
        </w:rPr>
        <w:t>и раст, социјалну инклузију и заштиту животне средине Републике Србије. Република Србија је овај документ прихватила. Очекује се да кроз холистички и међусекторски приступ мобилишу сви ресурси ради остваривања 17 циљева одрживог развоја (ЦОР), до 2030. год</w:t>
      </w:r>
      <w:r>
        <w:rPr>
          <w:color w:val="000000"/>
        </w:rPr>
        <w:t>ине.</w:t>
      </w:r>
    </w:p>
    <w:p w:rsidR="00BC3CE6" w:rsidRDefault="009A2DE5">
      <w:pPr>
        <w:spacing w:after="150"/>
      </w:pPr>
      <w:r>
        <w:rPr>
          <w:color w:val="000000"/>
        </w:rPr>
        <w:t>Плански документи релевантни за ову стратегију груписани су према областима које су обухваћене овим планским документом.</w:t>
      </w:r>
    </w:p>
    <w:p w:rsidR="00BC3CE6" w:rsidRDefault="009A2DE5">
      <w:pPr>
        <w:spacing w:after="150"/>
      </w:pPr>
      <w:r>
        <w:rPr>
          <w:color w:val="000000"/>
        </w:rPr>
        <w:t xml:space="preserve">Плански документи који се односе на економију, образовање и науку као чиниоце који подстичу развој, обухватају следеће документе: </w:t>
      </w:r>
      <w:r>
        <w:rPr>
          <w:color w:val="000000"/>
        </w:rPr>
        <w:t xml:space="preserve">Стратегију за примену Конвенције о доступности информација, учешћу јавности у </w:t>
      </w:r>
      <w:r>
        <w:rPr>
          <w:color w:val="000000"/>
        </w:rPr>
        <w:lastRenderedPageBreak/>
        <w:t>доношењу одлука и праву на правну заштиту у питањима животне средине – Архуска конвенција</w:t>
      </w:r>
      <w:r>
        <w:rPr>
          <w:color w:val="000000"/>
          <w:vertAlign w:val="superscript"/>
        </w:rPr>
        <w:t>11</w:t>
      </w:r>
      <w:r>
        <w:rPr>
          <w:color w:val="000000"/>
        </w:rPr>
        <w:t>; Стратегију развоја енергетике Републике Србије до 2025. године са пројекцијама до 203</w:t>
      </w:r>
      <w:r>
        <w:rPr>
          <w:color w:val="000000"/>
        </w:rPr>
        <w:t>0. године</w:t>
      </w:r>
      <w:r>
        <w:rPr>
          <w:color w:val="000000"/>
          <w:vertAlign w:val="superscript"/>
        </w:rPr>
        <w:t>12</w:t>
      </w:r>
      <w:r>
        <w:rPr>
          <w:color w:val="000000"/>
        </w:rPr>
        <w:t>; Стратегију одрживог урбаног развоја Републике Србије до 2030. године</w:t>
      </w:r>
      <w:r>
        <w:rPr>
          <w:color w:val="000000"/>
          <w:vertAlign w:val="superscript"/>
        </w:rPr>
        <w:t>13</w:t>
      </w:r>
      <w:r>
        <w:rPr>
          <w:color w:val="000000"/>
        </w:rPr>
        <w:t xml:space="preserve"> и АП (2020–2022); Стратегију пољопривреде и руралног развоја Републике Србије 2014–2024. године</w:t>
      </w:r>
      <w:r>
        <w:rPr>
          <w:color w:val="000000"/>
          <w:vertAlign w:val="superscript"/>
        </w:rPr>
        <w:t>14</w:t>
      </w:r>
      <w:r>
        <w:rPr>
          <w:color w:val="000000"/>
        </w:rPr>
        <w:t>; Стратегију индустријске политике Републике Србије од 2021–2030. године</w:t>
      </w:r>
      <w:r>
        <w:rPr>
          <w:color w:val="000000"/>
          <w:vertAlign w:val="superscript"/>
        </w:rPr>
        <w:t>15</w:t>
      </w:r>
      <w:r>
        <w:rPr>
          <w:color w:val="000000"/>
        </w:rPr>
        <w:t>;</w:t>
      </w:r>
      <w:r>
        <w:rPr>
          <w:color w:val="000000"/>
        </w:rPr>
        <w:t xml:space="preserve"> Стратегију о економским миграцијама Републике Србије 2021–2027. године</w:t>
      </w:r>
      <w:r>
        <w:rPr>
          <w:color w:val="000000"/>
          <w:vertAlign w:val="superscript"/>
        </w:rPr>
        <w:t>16</w:t>
      </w:r>
      <w:r>
        <w:rPr>
          <w:color w:val="000000"/>
        </w:rPr>
        <w:t>; Стратегију развоја дигиталних вештина у Републике Србије (2020–2024)</w:t>
      </w:r>
      <w:r>
        <w:rPr>
          <w:color w:val="000000"/>
          <w:vertAlign w:val="superscript"/>
        </w:rPr>
        <w:t>17</w:t>
      </w:r>
      <w:r>
        <w:rPr>
          <w:color w:val="000000"/>
        </w:rPr>
        <w:t>; Стратегију научног и технолошког развоја РС – моћ знања (2021–2025) и АП (2021–2023)</w:t>
      </w:r>
      <w:r>
        <w:rPr>
          <w:color w:val="000000"/>
          <w:vertAlign w:val="superscript"/>
        </w:rPr>
        <w:t>18</w:t>
      </w:r>
      <w:r>
        <w:rPr>
          <w:color w:val="000000"/>
        </w:rPr>
        <w:t>, Стратегију паметне сп</w:t>
      </w:r>
      <w:r>
        <w:rPr>
          <w:color w:val="000000"/>
        </w:rPr>
        <w:t>ецијализације у Републике Србије (2020–2027)</w:t>
      </w:r>
      <w:r>
        <w:rPr>
          <w:color w:val="000000"/>
          <w:vertAlign w:val="superscript"/>
        </w:rPr>
        <w:t>19</w:t>
      </w:r>
      <w:r>
        <w:rPr>
          <w:color w:val="000000"/>
        </w:rPr>
        <w:t>; Стратегију запошљавања (2021–2026)</w:t>
      </w:r>
      <w:r>
        <w:rPr>
          <w:color w:val="000000"/>
          <w:vertAlign w:val="superscript"/>
        </w:rPr>
        <w:t>20</w:t>
      </w:r>
      <w:r>
        <w:rPr>
          <w:color w:val="000000"/>
        </w:rPr>
        <w:t>; Стратегију развоја образовања и васпитања до 2030. године.</w:t>
      </w:r>
      <w:r>
        <w:rPr>
          <w:color w:val="000000"/>
          <w:vertAlign w:val="superscript"/>
        </w:rPr>
        <w:t>21</w:t>
      </w:r>
      <w:r>
        <w:rPr>
          <w:color w:val="000000"/>
        </w:rPr>
        <w:t xml:space="preserve"> Неке стратегије престале су да важе, а значајне су за овај приоритет. То су: Национална стратегија одрживог р</w:t>
      </w:r>
      <w:r>
        <w:rPr>
          <w:color w:val="000000"/>
        </w:rPr>
        <w:t>азвоја</w:t>
      </w:r>
      <w:r>
        <w:rPr>
          <w:color w:val="000000"/>
          <w:vertAlign w:val="superscript"/>
        </w:rPr>
        <w:t>22</w:t>
      </w:r>
      <w:r>
        <w:rPr>
          <w:color w:val="000000"/>
        </w:rPr>
        <w:t>; Стратегија за подршку развоја малих и средњих предузећа, предузетништва и конкурентности 2015–2020) и АП (2015–2016)</w:t>
      </w:r>
      <w:r>
        <w:rPr>
          <w:color w:val="000000"/>
          <w:vertAlign w:val="superscript"/>
        </w:rPr>
        <w:t>23</w:t>
      </w:r>
      <w:r>
        <w:rPr>
          <w:color w:val="000000"/>
        </w:rPr>
        <w:t>; Стратегија управљања отпадом (2010–2019)</w:t>
      </w:r>
      <w:r>
        <w:rPr>
          <w:color w:val="000000"/>
          <w:vertAlign w:val="superscript"/>
        </w:rPr>
        <w:t>24</w:t>
      </w:r>
      <w:r>
        <w:rPr>
          <w:color w:val="000000"/>
        </w:rPr>
        <w:t>; Интегрисани национални енергетски и климатски план Републике Србије за период од 2</w:t>
      </w:r>
      <w:r>
        <w:rPr>
          <w:color w:val="000000"/>
        </w:rPr>
        <w:t>021. до 2030. године са визијом до 2050. године и Програм остваривања Стратегије</w:t>
      </w:r>
      <w:r>
        <w:rPr>
          <w:color w:val="000000"/>
          <w:vertAlign w:val="superscript"/>
        </w:rPr>
        <w:t>25</w:t>
      </w:r>
      <w:r>
        <w:rPr>
          <w:color w:val="000000"/>
        </w:rPr>
        <w:t>; Програм економских реформи за период од 2021. до 2023. године; Програм заштите природе Републике Србије за период од 2021. до 2023. године</w:t>
      </w:r>
      <w:r>
        <w:rPr>
          <w:color w:val="000000"/>
          <w:vertAlign w:val="superscript"/>
        </w:rPr>
        <w:t>26</w:t>
      </w:r>
      <w:r>
        <w:rPr>
          <w:color w:val="000000"/>
        </w:rPr>
        <w:t>.</w:t>
      </w:r>
    </w:p>
    <w:p w:rsidR="00BC3CE6" w:rsidRDefault="009A2DE5">
      <w:pPr>
        <w:spacing w:after="150"/>
      </w:pPr>
      <w:r>
        <w:rPr>
          <w:color w:val="000000"/>
        </w:rPr>
        <w:t>Плански документи који се одно</w:t>
      </w:r>
      <w:r>
        <w:rPr>
          <w:color w:val="000000"/>
        </w:rPr>
        <w:t>се на родне аспекте људских права, безбедности и насиља према женама, и политичког живота су: Стратегија за спречавање и борбу против родно заснованог насиља према женама и насиља у породици за период од 2021–2025. године</w:t>
      </w:r>
      <w:r>
        <w:rPr>
          <w:color w:val="000000"/>
          <w:vertAlign w:val="superscript"/>
        </w:rPr>
        <w:t>27</w:t>
      </w:r>
      <w:r>
        <w:rPr>
          <w:color w:val="000000"/>
        </w:rPr>
        <w:t>, Стратегија превенције и сузбија</w:t>
      </w:r>
      <w:r>
        <w:rPr>
          <w:color w:val="000000"/>
        </w:rPr>
        <w:t>ња трговине људима, посебно женама и децом и заштите жртава 2017–2022</w:t>
      </w:r>
      <w:r>
        <w:rPr>
          <w:color w:val="000000"/>
          <w:vertAlign w:val="superscript"/>
        </w:rPr>
        <w:t>28</w:t>
      </w:r>
      <w:r>
        <w:rPr>
          <w:color w:val="000000"/>
        </w:rPr>
        <w:t xml:space="preserve"> и АП (2021–2022</w:t>
      </w:r>
      <w:r>
        <w:rPr>
          <w:color w:val="000000"/>
          <w:vertAlign w:val="superscript"/>
        </w:rPr>
        <w:t>29</w:t>
      </w:r>
      <w:r>
        <w:rPr>
          <w:color w:val="000000"/>
        </w:rPr>
        <w:t>), Стратешка процена јавне безбедности (2017), Национална стратегија за остваривање права жртава и сведока кривичних дела у РС (2020–2025)</w:t>
      </w:r>
      <w:r>
        <w:rPr>
          <w:color w:val="000000"/>
          <w:vertAlign w:val="superscript"/>
        </w:rPr>
        <w:t>30</w:t>
      </w:r>
      <w:r>
        <w:rPr>
          <w:color w:val="000000"/>
        </w:rPr>
        <w:t xml:space="preserve"> и АП (2020–2025)</w:t>
      </w:r>
      <w:r>
        <w:rPr>
          <w:color w:val="000000"/>
          <w:vertAlign w:val="superscript"/>
        </w:rPr>
        <w:t>31</w:t>
      </w:r>
      <w:r>
        <w:rPr>
          <w:color w:val="000000"/>
        </w:rPr>
        <w:t>, Национ</w:t>
      </w:r>
      <w:r>
        <w:rPr>
          <w:color w:val="000000"/>
        </w:rPr>
        <w:t>ална стратегија за спречавање и борбу против тероризма (2017–2021)</w:t>
      </w:r>
      <w:r>
        <w:rPr>
          <w:color w:val="000000"/>
          <w:vertAlign w:val="superscript"/>
        </w:rPr>
        <w:t>32</w:t>
      </w:r>
      <w:r>
        <w:rPr>
          <w:color w:val="000000"/>
        </w:rPr>
        <w:t>, Национални АП за примену Резолуције 1325 СБ УН</w:t>
      </w:r>
      <w:r>
        <w:rPr>
          <w:color w:val="000000"/>
          <w:vertAlign w:val="superscript"/>
        </w:rPr>
        <w:t>33</w:t>
      </w:r>
      <w:r>
        <w:rPr>
          <w:color w:val="000000"/>
        </w:rPr>
        <w:t>, АП за поглавље 24–Правда, слобода, безбедност</w:t>
      </w:r>
      <w:r>
        <w:rPr>
          <w:color w:val="000000"/>
          <w:vertAlign w:val="superscript"/>
        </w:rPr>
        <w:t>34</w:t>
      </w:r>
      <w:r>
        <w:rPr>
          <w:color w:val="000000"/>
        </w:rPr>
        <w:t>, Стратегија националне безбедности (2019)</w:t>
      </w:r>
      <w:r>
        <w:rPr>
          <w:color w:val="000000"/>
          <w:vertAlign w:val="superscript"/>
        </w:rPr>
        <w:t>35</w:t>
      </w:r>
      <w:r>
        <w:rPr>
          <w:color w:val="000000"/>
        </w:rPr>
        <w:t>, Стратегија одбране РС (2019)</w:t>
      </w:r>
      <w:r>
        <w:rPr>
          <w:color w:val="000000"/>
          <w:vertAlign w:val="superscript"/>
        </w:rPr>
        <w:t>36</w:t>
      </w:r>
      <w:r>
        <w:rPr>
          <w:color w:val="000000"/>
        </w:rPr>
        <w:t xml:space="preserve">, Стратегија </w:t>
      </w:r>
      <w:r>
        <w:rPr>
          <w:color w:val="000000"/>
        </w:rPr>
        <w:t>за борбу против високотехничког криминала (2019–2023)</w:t>
      </w:r>
      <w:r>
        <w:rPr>
          <w:color w:val="000000"/>
          <w:vertAlign w:val="superscript"/>
        </w:rPr>
        <w:t>37</w:t>
      </w:r>
      <w:r>
        <w:rPr>
          <w:color w:val="000000"/>
        </w:rPr>
        <w:t xml:space="preserve"> са Акционим планом (2019–2020)</w:t>
      </w:r>
      <w:r>
        <w:rPr>
          <w:color w:val="000000"/>
          <w:vertAlign w:val="superscript"/>
        </w:rPr>
        <w:t>38</w:t>
      </w:r>
      <w:r>
        <w:rPr>
          <w:color w:val="000000"/>
        </w:rPr>
        <w:t>, Стратегија развоја МУП (2018–2023)</w:t>
      </w:r>
      <w:r>
        <w:rPr>
          <w:color w:val="000000"/>
          <w:vertAlign w:val="superscript"/>
        </w:rPr>
        <w:t>39</w:t>
      </w:r>
      <w:r>
        <w:rPr>
          <w:color w:val="000000"/>
        </w:rPr>
        <w:t xml:space="preserve"> и АП (2018–2019)</w:t>
      </w:r>
      <w:r>
        <w:rPr>
          <w:color w:val="000000"/>
          <w:vertAlign w:val="superscript"/>
        </w:rPr>
        <w:t>40</w:t>
      </w:r>
      <w:r>
        <w:rPr>
          <w:color w:val="000000"/>
        </w:rPr>
        <w:t>, Стратегија контроле малог и лаког оружја Републике Србије за период 2019–2024</w:t>
      </w:r>
      <w:r>
        <w:rPr>
          <w:color w:val="000000"/>
          <w:vertAlign w:val="superscript"/>
        </w:rPr>
        <w:t>41</w:t>
      </w:r>
      <w:r>
        <w:rPr>
          <w:color w:val="000000"/>
        </w:rPr>
        <w:t xml:space="preserve"> са Акционим планом (2019–2020</w:t>
      </w:r>
      <w:r>
        <w:rPr>
          <w:color w:val="000000"/>
        </w:rPr>
        <w:t>)</w:t>
      </w:r>
      <w:r>
        <w:rPr>
          <w:color w:val="000000"/>
          <w:vertAlign w:val="superscript"/>
        </w:rPr>
        <w:t>42</w:t>
      </w:r>
      <w:r>
        <w:rPr>
          <w:color w:val="000000"/>
        </w:rPr>
        <w:t>, Стратешки план полиције (2018–2021)</w:t>
      </w:r>
      <w:r>
        <w:rPr>
          <w:color w:val="000000"/>
          <w:vertAlign w:val="superscript"/>
        </w:rPr>
        <w:t>43</w:t>
      </w:r>
      <w:r>
        <w:rPr>
          <w:color w:val="000000"/>
        </w:rPr>
        <w:t>, Стратегија развоја система извршења кривичних санкција 2021–2027</w:t>
      </w:r>
      <w:r>
        <w:rPr>
          <w:color w:val="000000"/>
          <w:vertAlign w:val="superscript"/>
        </w:rPr>
        <w:t>44</w:t>
      </w:r>
      <w:r>
        <w:rPr>
          <w:color w:val="000000"/>
        </w:rPr>
        <w:t>, Национална стратегија реформе правосуђа (2020–2025)</w:t>
      </w:r>
      <w:r>
        <w:rPr>
          <w:color w:val="000000"/>
          <w:vertAlign w:val="superscript"/>
        </w:rPr>
        <w:t>45</w:t>
      </w:r>
      <w:r>
        <w:rPr>
          <w:color w:val="000000"/>
        </w:rPr>
        <w:t xml:space="preserve"> и АП</w:t>
      </w:r>
      <w:r>
        <w:rPr>
          <w:color w:val="000000"/>
          <w:vertAlign w:val="superscript"/>
        </w:rPr>
        <w:t>46</w:t>
      </w:r>
      <w:r>
        <w:rPr>
          <w:color w:val="000000"/>
        </w:rPr>
        <w:t xml:space="preserve">, Стратегија развоја система јавног информисања у Републике Србије за период од </w:t>
      </w:r>
      <w:r>
        <w:rPr>
          <w:color w:val="000000"/>
        </w:rPr>
        <w:t>2020. до 2025. године и АП (2020–2022).</w:t>
      </w:r>
      <w:r>
        <w:rPr>
          <w:color w:val="000000"/>
          <w:vertAlign w:val="superscript"/>
        </w:rPr>
        <w:t>47</w:t>
      </w:r>
      <w:r>
        <w:rPr>
          <w:color w:val="000000"/>
        </w:rPr>
        <w:t xml:space="preserve"> Неке стратегије престале су да важе, а значајне су за ове области: Стратегија супротстављања ирегуларним миграцијама у Републике Србије (2018–2020),</w:t>
      </w:r>
      <w:r>
        <w:rPr>
          <w:color w:val="000000"/>
          <w:vertAlign w:val="superscript"/>
        </w:rPr>
        <w:t>48</w:t>
      </w:r>
      <w:r>
        <w:rPr>
          <w:color w:val="000000"/>
        </w:rPr>
        <w:t xml:space="preserve"> Стратегија интегрисаног управљања границом у Републици Србији (</w:t>
      </w:r>
      <w:r>
        <w:rPr>
          <w:color w:val="000000"/>
        </w:rPr>
        <w:t>2017–2020),</w:t>
      </w:r>
      <w:r>
        <w:rPr>
          <w:color w:val="000000"/>
          <w:vertAlign w:val="superscript"/>
        </w:rPr>
        <w:t>49</w:t>
      </w:r>
      <w:r>
        <w:rPr>
          <w:color w:val="000000"/>
        </w:rPr>
        <w:t xml:space="preserve"> Национална стратегија за решавање питања избеглица и интерно расељених лица за период од 2015. до 2020. </w:t>
      </w:r>
      <w:r>
        <w:rPr>
          <w:color w:val="000000"/>
        </w:rPr>
        <w:lastRenderedPageBreak/>
        <w:t>године</w:t>
      </w:r>
      <w:r>
        <w:rPr>
          <w:color w:val="000000"/>
          <w:vertAlign w:val="superscript"/>
        </w:rPr>
        <w:t>50</w:t>
      </w:r>
      <w:r>
        <w:rPr>
          <w:color w:val="000000"/>
        </w:rPr>
        <w:t>, Стратегија развоја система бесплатне правне помоћи у Републици Србији</w:t>
      </w:r>
      <w:r>
        <w:rPr>
          <w:color w:val="000000"/>
          <w:vertAlign w:val="superscript"/>
        </w:rPr>
        <w:t>51</w:t>
      </w:r>
      <w:r>
        <w:rPr>
          <w:color w:val="000000"/>
        </w:rPr>
        <w:t>, Стратегија заштите података о личности</w:t>
      </w:r>
      <w:r>
        <w:rPr>
          <w:color w:val="000000"/>
          <w:vertAlign w:val="superscript"/>
        </w:rPr>
        <w:t>52</w:t>
      </w:r>
      <w:r>
        <w:rPr>
          <w:color w:val="000000"/>
        </w:rPr>
        <w:t>, Национална ст</w:t>
      </w:r>
      <w:r>
        <w:rPr>
          <w:color w:val="000000"/>
        </w:rPr>
        <w:t>ратегија заштите и спасавања у ванредним ситуацијама (2011)</w:t>
      </w:r>
      <w:r>
        <w:rPr>
          <w:color w:val="000000"/>
          <w:vertAlign w:val="superscript"/>
        </w:rPr>
        <w:t>53</w:t>
      </w:r>
      <w:r>
        <w:rPr>
          <w:color w:val="000000"/>
        </w:rPr>
        <w:t>, Национална стратегија о старењу (2006–2015).</w:t>
      </w:r>
      <w:r>
        <w:rPr>
          <w:color w:val="000000"/>
          <w:vertAlign w:val="superscript"/>
        </w:rPr>
        <w:t>54</w:t>
      </w:r>
    </w:p>
    <w:p w:rsidR="00BC3CE6" w:rsidRDefault="009A2DE5">
      <w:pPr>
        <w:spacing w:after="150"/>
      </w:pPr>
      <w:r>
        <w:rPr>
          <w:color w:val="000000"/>
        </w:rPr>
        <w:t>Плански документи који се односе на родне аспекте у областима здравствене заштите и социјалне сигурности су: Национална стратегија социјалног стан</w:t>
      </w:r>
      <w:r>
        <w:rPr>
          <w:color w:val="000000"/>
        </w:rPr>
        <w:t>овања</w:t>
      </w:r>
      <w:r>
        <w:rPr>
          <w:color w:val="000000"/>
          <w:vertAlign w:val="superscript"/>
        </w:rPr>
        <w:t>55</w:t>
      </w:r>
      <w:r>
        <w:rPr>
          <w:color w:val="000000"/>
        </w:rPr>
        <w:t>, Стратегија подстицања рађања</w:t>
      </w:r>
      <w:r>
        <w:rPr>
          <w:color w:val="000000"/>
          <w:vertAlign w:val="superscript"/>
        </w:rPr>
        <w:t>56</w:t>
      </w:r>
      <w:r>
        <w:rPr>
          <w:color w:val="000000"/>
        </w:rPr>
        <w:t>, Стратегија безбедности и здравља на раду (2018–2022) и АП (2018–2022)</w:t>
      </w:r>
      <w:r>
        <w:rPr>
          <w:color w:val="000000"/>
          <w:vertAlign w:val="superscript"/>
        </w:rPr>
        <w:t>57</w:t>
      </w:r>
      <w:r>
        <w:rPr>
          <w:color w:val="000000"/>
        </w:rPr>
        <w:t>, Стратегија јавног здравља у Републици Србији (2018–2026. године)</w:t>
      </w:r>
      <w:r>
        <w:rPr>
          <w:color w:val="000000"/>
          <w:vertAlign w:val="superscript"/>
        </w:rPr>
        <w:t>58</w:t>
      </w:r>
      <w:r>
        <w:rPr>
          <w:color w:val="000000"/>
        </w:rPr>
        <w:t>, Уредба о Националном програму за очување и унапређење сексуалног и репроду</w:t>
      </w:r>
      <w:r>
        <w:rPr>
          <w:color w:val="000000"/>
        </w:rPr>
        <w:t>ктивног здравља грађана Републике Србије</w:t>
      </w:r>
      <w:r>
        <w:rPr>
          <w:color w:val="000000"/>
          <w:vertAlign w:val="superscript"/>
        </w:rPr>
        <w:t>59</w:t>
      </w:r>
      <w:r>
        <w:rPr>
          <w:color w:val="000000"/>
        </w:rPr>
        <w:t>, Стратегија за превенцију и контролу хроничних незаразних болести</w:t>
      </w:r>
      <w:r>
        <w:rPr>
          <w:color w:val="000000"/>
          <w:vertAlign w:val="superscript"/>
        </w:rPr>
        <w:t>60</w:t>
      </w:r>
      <w:r>
        <w:rPr>
          <w:color w:val="000000"/>
        </w:rPr>
        <w:t>, Стратегија за превенцију и контролу ХИВ и АИДС у Републици Србији, 2018–2025</w:t>
      </w:r>
      <w:r>
        <w:rPr>
          <w:color w:val="000000"/>
          <w:vertAlign w:val="superscript"/>
        </w:rPr>
        <w:t>61</w:t>
      </w:r>
      <w:r>
        <w:rPr>
          <w:color w:val="000000"/>
        </w:rPr>
        <w:t>, Програм за ретке болести у Републици Србији за период 2020–2022.</w:t>
      </w:r>
      <w:r>
        <w:rPr>
          <w:color w:val="000000"/>
        </w:rPr>
        <w:t xml:space="preserve"> године са АП</w:t>
      </w:r>
      <w:r>
        <w:rPr>
          <w:color w:val="000000"/>
          <w:vertAlign w:val="superscript"/>
        </w:rPr>
        <w:t>62</w:t>
      </w:r>
      <w:r>
        <w:rPr>
          <w:color w:val="000000"/>
        </w:rPr>
        <w:t>, Уредба о Националном програму превенције штетне употребе алкохола и алкохолом узрокованих поремећаја у Републици Србији</w:t>
      </w:r>
      <w:r>
        <w:rPr>
          <w:color w:val="000000"/>
          <w:vertAlign w:val="superscript"/>
        </w:rPr>
        <w:t>63</w:t>
      </w:r>
      <w:r>
        <w:rPr>
          <w:color w:val="000000"/>
        </w:rPr>
        <w:t>, Уредба о Националном програму за превенцију гојазности код деце и одраслих</w:t>
      </w:r>
      <w:r>
        <w:rPr>
          <w:color w:val="000000"/>
          <w:vertAlign w:val="superscript"/>
        </w:rPr>
        <w:t>64</w:t>
      </w:r>
      <w:r>
        <w:rPr>
          <w:color w:val="000000"/>
        </w:rPr>
        <w:t xml:space="preserve">, Уредба о Националном програму подршке </w:t>
      </w:r>
      <w:r>
        <w:rPr>
          <w:color w:val="000000"/>
        </w:rPr>
        <w:t>дојењу, породичној и развојној нези новорођенчета</w:t>
      </w:r>
      <w:r>
        <w:rPr>
          <w:color w:val="000000"/>
          <w:vertAlign w:val="superscript"/>
        </w:rPr>
        <w:t>65</w:t>
      </w:r>
      <w:r>
        <w:rPr>
          <w:color w:val="000000"/>
        </w:rPr>
        <w:t xml:space="preserve"> Програм о заштити менталног здравља у Републици Србији за период од 2019. до 2026. године</w:t>
      </w:r>
      <w:r>
        <w:rPr>
          <w:color w:val="000000"/>
          <w:vertAlign w:val="superscript"/>
        </w:rPr>
        <w:t>66</w:t>
      </w:r>
      <w:r>
        <w:rPr>
          <w:color w:val="000000"/>
        </w:rPr>
        <w:t>, Програм унапређења контроле рака у Републици Србији (2020–2022. године)</w:t>
      </w:r>
      <w:r>
        <w:rPr>
          <w:color w:val="000000"/>
          <w:vertAlign w:val="superscript"/>
        </w:rPr>
        <w:t>67</w:t>
      </w:r>
      <w:r>
        <w:rPr>
          <w:color w:val="000000"/>
        </w:rPr>
        <w:t>, Програм заштите и спасавања у ванред</w:t>
      </w:r>
      <w:r>
        <w:rPr>
          <w:color w:val="000000"/>
        </w:rPr>
        <w:t>ним ситуацијама – одговор здравственог сектора</w:t>
      </w:r>
      <w:r>
        <w:rPr>
          <w:color w:val="000000"/>
          <w:vertAlign w:val="superscript"/>
        </w:rPr>
        <w:t>68</w:t>
      </w:r>
      <w:r>
        <w:rPr>
          <w:color w:val="000000"/>
        </w:rPr>
        <w:t>. Неки плански документи више не важе, а значајни су за ове области: Национална стратегија о старењу (2006–2015)</w:t>
      </w:r>
      <w:r>
        <w:rPr>
          <w:color w:val="000000"/>
          <w:vertAlign w:val="superscript"/>
        </w:rPr>
        <w:t>69</w:t>
      </w:r>
      <w:r>
        <w:rPr>
          <w:color w:val="000000"/>
        </w:rPr>
        <w:t>, Стратегија за палијативно збрињавање</w:t>
      </w:r>
      <w:r>
        <w:rPr>
          <w:color w:val="000000"/>
          <w:vertAlign w:val="superscript"/>
        </w:rPr>
        <w:t>70</w:t>
      </w:r>
      <w:r>
        <w:rPr>
          <w:color w:val="000000"/>
        </w:rPr>
        <w:t xml:space="preserve">, Национални програм здравствене заштите жена, деце и </w:t>
      </w:r>
      <w:r>
        <w:rPr>
          <w:color w:val="000000"/>
        </w:rPr>
        <w:t>омладине (2009)</w:t>
      </w:r>
      <w:r>
        <w:rPr>
          <w:color w:val="000000"/>
          <w:vertAlign w:val="superscript"/>
        </w:rPr>
        <w:t>71</w:t>
      </w:r>
      <w:r>
        <w:rPr>
          <w:color w:val="000000"/>
        </w:rPr>
        <w:t>, Стратегија за стално унапређење квалитета здравствене заштите и безбедности пацијената.</w:t>
      </w:r>
      <w:r>
        <w:rPr>
          <w:color w:val="000000"/>
          <w:vertAlign w:val="superscript"/>
        </w:rPr>
        <w:t>72</w:t>
      </w:r>
    </w:p>
    <w:p w:rsidR="00BC3CE6" w:rsidRDefault="009A2DE5">
      <w:pPr>
        <w:spacing w:after="150"/>
      </w:pPr>
      <w:r>
        <w:rPr>
          <w:color w:val="000000"/>
        </w:rPr>
        <w:t xml:space="preserve">Плански документи релевантни за институционални оквир, систем и алате за креирање родно одговорних јавних политика и буџета су: Стратегија реформе </w:t>
      </w:r>
      <w:r>
        <w:rPr>
          <w:color w:val="000000"/>
        </w:rPr>
        <w:t>јавне управе у Републици Србији за период од 2020. до 2030. године</w:t>
      </w:r>
      <w:r>
        <w:rPr>
          <w:color w:val="000000"/>
          <w:vertAlign w:val="superscript"/>
        </w:rPr>
        <w:t>73</w:t>
      </w:r>
      <w:r>
        <w:rPr>
          <w:color w:val="000000"/>
        </w:rPr>
        <w:t>, Програм развоја електронске управе у Републици Србији у периоду од 2020. до 2022. године и АП (2020–2022)</w:t>
      </w:r>
      <w:r>
        <w:rPr>
          <w:color w:val="000000"/>
          <w:vertAlign w:val="superscript"/>
        </w:rPr>
        <w:t>74</w:t>
      </w:r>
      <w:r>
        <w:rPr>
          <w:color w:val="000000"/>
        </w:rPr>
        <w:t>, Програм реформе управљања јавним финансијама за период од 2021–2025.</w:t>
      </w:r>
      <w:r>
        <w:rPr>
          <w:color w:val="000000"/>
          <w:vertAlign w:val="superscript"/>
        </w:rPr>
        <w:t>75</w:t>
      </w:r>
      <w:r>
        <w:rPr>
          <w:color w:val="000000"/>
        </w:rPr>
        <w:t xml:space="preserve"> године</w:t>
      </w:r>
      <w:r>
        <w:rPr>
          <w:color w:val="000000"/>
        </w:rPr>
        <w:t>, Фискална стратегија за 2022. годину са пројекцијама за 2023. и 2024. годину.</w:t>
      </w:r>
      <w:r>
        <w:rPr>
          <w:color w:val="000000"/>
          <w:vertAlign w:val="superscript"/>
        </w:rPr>
        <w:t>76</w:t>
      </w:r>
    </w:p>
    <w:p w:rsidR="00BC3CE6" w:rsidRDefault="009A2DE5">
      <w:pPr>
        <w:spacing w:after="150"/>
      </w:pPr>
      <w:r>
        <w:rPr>
          <w:color w:val="000000"/>
        </w:rPr>
        <w:t>Плански документи који се односе на особе које припадају рањивим групама издвојени су посебно јер се у оквиру сваке од области које обухвата ова стратегија сагледавају и узима</w:t>
      </w:r>
      <w:r>
        <w:rPr>
          <w:color w:val="000000"/>
        </w:rPr>
        <w:t>ју у обзир статус и потребе особа које припадају рањивим групама. То су: Стратегија за унапређење положаја особа са инвалидитетом у Републици Србији од 2020. до 2024. године</w:t>
      </w:r>
      <w:r>
        <w:rPr>
          <w:color w:val="000000"/>
          <w:vertAlign w:val="superscript"/>
        </w:rPr>
        <w:t>77</w:t>
      </w:r>
      <w:r>
        <w:rPr>
          <w:color w:val="000000"/>
        </w:rPr>
        <w:t xml:space="preserve"> и АП (2021–2022), Стратегија за социјално укључивање Рома и Ромкиња у Републици </w:t>
      </w:r>
      <w:r>
        <w:rPr>
          <w:color w:val="000000"/>
        </w:rPr>
        <w:t>Србији за период од 2016. до 2025. године</w:t>
      </w:r>
      <w:r>
        <w:rPr>
          <w:color w:val="000000"/>
          <w:vertAlign w:val="superscript"/>
        </w:rPr>
        <w:t>78</w:t>
      </w:r>
      <w:r>
        <w:rPr>
          <w:color w:val="000000"/>
        </w:rPr>
        <w:t xml:space="preserve"> и АП (2017–2018), Стратегија за превенцију и заштиту деце од насиља (2020–2023)</w:t>
      </w:r>
      <w:r>
        <w:rPr>
          <w:color w:val="000000"/>
          <w:vertAlign w:val="superscript"/>
        </w:rPr>
        <w:t>79</w:t>
      </w:r>
      <w:r>
        <w:rPr>
          <w:color w:val="000000"/>
        </w:rPr>
        <w:t xml:space="preserve"> и АП (2022–2023</w:t>
      </w:r>
      <w:r>
        <w:rPr>
          <w:color w:val="000000"/>
          <w:vertAlign w:val="superscript"/>
        </w:rPr>
        <w:t>80</w:t>
      </w:r>
      <w:r>
        <w:rPr>
          <w:color w:val="000000"/>
        </w:rPr>
        <w:t>), Национална стратегија за младе (2015–2025)</w:t>
      </w:r>
      <w:r>
        <w:rPr>
          <w:color w:val="000000"/>
          <w:vertAlign w:val="superscript"/>
        </w:rPr>
        <w:t>81</w:t>
      </w:r>
      <w:r>
        <w:rPr>
          <w:color w:val="000000"/>
        </w:rPr>
        <w:t xml:space="preserve"> и АП (2015–2017) као и АП (2018–2020).</w:t>
      </w:r>
      <w:r>
        <w:rPr>
          <w:color w:val="000000"/>
          <w:vertAlign w:val="superscript"/>
        </w:rPr>
        <w:t>82</w:t>
      </w:r>
    </w:p>
    <w:p w:rsidR="00BC3CE6" w:rsidRDefault="009A2DE5">
      <w:pPr>
        <w:spacing w:after="150"/>
        <w:jc w:val="both"/>
      </w:pPr>
      <w:r>
        <w:rPr>
          <w:i/>
          <w:color w:val="000000"/>
        </w:rPr>
        <w:lastRenderedPageBreak/>
        <w:t>––––––––</w:t>
      </w:r>
    </w:p>
    <w:p w:rsidR="00BC3CE6" w:rsidRDefault="009A2DE5">
      <w:pPr>
        <w:spacing w:after="150"/>
        <w:jc w:val="both"/>
      </w:pPr>
      <w:r>
        <w:rPr>
          <w:i/>
          <w:color w:val="000000"/>
        </w:rPr>
        <w:t xml:space="preserve">10 Уједињене </w:t>
      </w:r>
      <w:r>
        <w:rPr>
          <w:i/>
          <w:color w:val="000000"/>
        </w:rPr>
        <w:t>нације су на самиту одржаном септембра 2015. године усвојиле резолуцију Transforming our world: the 2030 Agenda for Sustainable Development.</w:t>
      </w:r>
    </w:p>
    <w:p w:rsidR="00BC3CE6" w:rsidRDefault="009A2DE5">
      <w:pPr>
        <w:spacing w:after="150"/>
        <w:jc w:val="both"/>
      </w:pPr>
      <w:r>
        <w:rPr>
          <w:i/>
          <w:color w:val="000000"/>
        </w:rPr>
        <w:t> </w:t>
      </w:r>
    </w:p>
    <w:p w:rsidR="00BC3CE6" w:rsidRDefault="009A2DE5">
      <w:pPr>
        <w:spacing w:after="150"/>
        <w:jc w:val="both"/>
      </w:pPr>
      <w:r>
        <w:rPr>
          <w:i/>
          <w:color w:val="000000"/>
        </w:rPr>
        <w:t>11 „Службени гласник РС”, број 103/11.</w:t>
      </w:r>
    </w:p>
    <w:p w:rsidR="00BC3CE6" w:rsidRDefault="009A2DE5">
      <w:pPr>
        <w:spacing w:after="150"/>
        <w:jc w:val="both"/>
      </w:pPr>
      <w:r>
        <w:rPr>
          <w:i/>
          <w:color w:val="000000"/>
        </w:rPr>
        <w:t>12 „Службени гласник РС”, број 101/15. У току је рад на новој Стратегији р</w:t>
      </w:r>
      <w:r>
        <w:rPr>
          <w:i/>
          <w:color w:val="000000"/>
        </w:rPr>
        <w:t>азвоја енергетике до 2040. године са пројекцијама до 2050. године и Програм остваривања Стратегије. Извор сугестије Министарства.</w:t>
      </w:r>
    </w:p>
    <w:p w:rsidR="00BC3CE6" w:rsidRDefault="009A2DE5">
      <w:pPr>
        <w:spacing w:after="150"/>
        <w:jc w:val="both"/>
      </w:pPr>
      <w:r>
        <w:rPr>
          <w:i/>
          <w:color w:val="000000"/>
        </w:rPr>
        <w:t>13 „Службени гласник РС”, број 47/19.</w:t>
      </w:r>
    </w:p>
    <w:p w:rsidR="00BC3CE6" w:rsidRDefault="009A2DE5">
      <w:pPr>
        <w:spacing w:after="150"/>
        <w:jc w:val="both"/>
      </w:pPr>
      <w:r>
        <w:rPr>
          <w:i/>
          <w:color w:val="000000"/>
        </w:rPr>
        <w:t>14 „Службени гласник РС”, бр. 10/21 и 85/14.</w:t>
      </w:r>
    </w:p>
    <w:p w:rsidR="00BC3CE6" w:rsidRDefault="009A2DE5">
      <w:pPr>
        <w:spacing w:after="150"/>
        <w:jc w:val="both"/>
      </w:pPr>
      <w:r>
        <w:rPr>
          <w:i/>
          <w:color w:val="000000"/>
        </w:rPr>
        <w:t>15 „Службени гласник РС”, број 35/20.</w:t>
      </w:r>
    </w:p>
    <w:p w:rsidR="00BC3CE6" w:rsidRDefault="009A2DE5">
      <w:pPr>
        <w:spacing w:after="150"/>
        <w:jc w:val="both"/>
      </w:pPr>
      <w:r>
        <w:rPr>
          <w:i/>
          <w:color w:val="000000"/>
        </w:rPr>
        <w:t>16 „С</w:t>
      </w:r>
      <w:r>
        <w:rPr>
          <w:i/>
          <w:color w:val="000000"/>
        </w:rPr>
        <w:t>лужбени гласник РС”, број 21/20.</w:t>
      </w:r>
    </w:p>
    <w:p w:rsidR="00BC3CE6" w:rsidRDefault="009A2DE5">
      <w:pPr>
        <w:spacing w:after="150"/>
        <w:jc w:val="both"/>
      </w:pPr>
      <w:r>
        <w:rPr>
          <w:i/>
          <w:color w:val="000000"/>
        </w:rPr>
        <w:t>17 „Службени гласник РС”, број 21/20.</w:t>
      </w:r>
    </w:p>
    <w:p w:rsidR="00BC3CE6" w:rsidRDefault="009A2DE5">
      <w:pPr>
        <w:spacing w:after="150"/>
        <w:jc w:val="both"/>
      </w:pPr>
      <w:r>
        <w:rPr>
          <w:i/>
          <w:color w:val="000000"/>
        </w:rPr>
        <w:t>18 „Службени гласник РС”, број 10/21.</w:t>
      </w:r>
    </w:p>
    <w:p w:rsidR="00BC3CE6" w:rsidRDefault="009A2DE5">
      <w:pPr>
        <w:spacing w:after="150"/>
        <w:jc w:val="both"/>
      </w:pPr>
      <w:r>
        <w:rPr>
          <w:i/>
          <w:color w:val="000000"/>
        </w:rPr>
        <w:t>19 „Службени гласник РС”, број 21/20.</w:t>
      </w:r>
    </w:p>
    <w:p w:rsidR="00BC3CE6" w:rsidRDefault="009A2DE5">
      <w:pPr>
        <w:spacing w:after="150"/>
        <w:jc w:val="both"/>
      </w:pPr>
      <w:r>
        <w:rPr>
          <w:i/>
          <w:color w:val="000000"/>
        </w:rPr>
        <w:t>20 „Службени гласник РС”, бр. 18/21 и 36/21.</w:t>
      </w:r>
    </w:p>
    <w:p w:rsidR="00BC3CE6" w:rsidRDefault="009A2DE5">
      <w:pPr>
        <w:spacing w:after="150"/>
        <w:jc w:val="both"/>
      </w:pPr>
      <w:r>
        <w:rPr>
          <w:i/>
          <w:color w:val="000000"/>
        </w:rPr>
        <w:t>21</w:t>
      </w:r>
      <w:r>
        <w:rPr>
          <w:i/>
          <w:color w:val="000000"/>
        </w:rPr>
        <w:tab/>
        <w:t>Доступно на https://www.srbija.gov.rs/dokument/45678/strategi</w:t>
      </w:r>
      <w:r>
        <w:rPr>
          <w:i/>
          <w:color w:val="000000"/>
        </w:rPr>
        <w:t>je-programi-planovi-.php, приступљено: 10.5.2021.</w:t>
      </w:r>
    </w:p>
    <w:p w:rsidR="00BC3CE6" w:rsidRDefault="009A2DE5">
      <w:pPr>
        <w:spacing w:after="150"/>
        <w:jc w:val="both"/>
      </w:pPr>
      <w:r>
        <w:rPr>
          <w:i/>
          <w:color w:val="000000"/>
        </w:rPr>
        <w:t>22 „Службени гласник РС”, број 63/21.</w:t>
      </w:r>
    </w:p>
    <w:p w:rsidR="00BC3CE6" w:rsidRDefault="009A2DE5">
      <w:pPr>
        <w:spacing w:after="150"/>
        <w:jc w:val="both"/>
      </w:pPr>
      <w:r>
        <w:rPr>
          <w:i/>
          <w:color w:val="000000"/>
        </w:rPr>
        <w:t>23 „Службени гласник РС”, број 35/15.</w:t>
      </w:r>
    </w:p>
    <w:p w:rsidR="00BC3CE6" w:rsidRDefault="009A2DE5">
      <w:pPr>
        <w:spacing w:after="150"/>
        <w:jc w:val="both"/>
      </w:pPr>
      <w:r>
        <w:rPr>
          <w:i/>
          <w:color w:val="000000"/>
        </w:rPr>
        <w:t>24 „Службени гласник РС”, број 29/10.</w:t>
      </w:r>
    </w:p>
    <w:p w:rsidR="00BC3CE6" w:rsidRDefault="009A2DE5">
      <w:pPr>
        <w:spacing w:after="150"/>
        <w:jc w:val="both"/>
      </w:pPr>
      <w:r>
        <w:rPr>
          <w:i/>
          <w:color w:val="000000"/>
        </w:rPr>
        <w:t>25 Документи су у фази израде Извор: Коментари Министарства за енергетику на Националну стра</w:t>
      </w:r>
      <w:r>
        <w:rPr>
          <w:i/>
          <w:color w:val="000000"/>
        </w:rPr>
        <w:t>тегију родне равноправности</w:t>
      </w:r>
    </w:p>
    <w:p w:rsidR="00BC3CE6" w:rsidRDefault="009A2DE5">
      <w:pPr>
        <w:spacing w:after="150"/>
        <w:jc w:val="both"/>
      </w:pPr>
      <w:r>
        <w:rPr>
          <w:i/>
          <w:color w:val="000000"/>
        </w:rPr>
        <w:t>26 „Службени гласник РС”, број 53/21.</w:t>
      </w:r>
    </w:p>
    <w:p w:rsidR="00BC3CE6" w:rsidRDefault="009A2DE5">
      <w:pPr>
        <w:spacing w:after="150"/>
        <w:jc w:val="both"/>
      </w:pPr>
      <w:r>
        <w:rPr>
          <w:i/>
          <w:color w:val="000000"/>
        </w:rPr>
        <w:t>27 „Службени гласник РС”, број 47/21 рад на припреми АП тече.</w:t>
      </w:r>
    </w:p>
    <w:p w:rsidR="00BC3CE6" w:rsidRDefault="009A2DE5">
      <w:pPr>
        <w:spacing w:after="150"/>
        <w:jc w:val="both"/>
      </w:pPr>
      <w:r>
        <w:rPr>
          <w:i/>
          <w:color w:val="000000"/>
        </w:rPr>
        <w:t>28 „Службени гласник РС”, број 77/17.</w:t>
      </w:r>
    </w:p>
    <w:p w:rsidR="00BC3CE6" w:rsidRDefault="009A2DE5">
      <w:pPr>
        <w:spacing w:after="150"/>
        <w:jc w:val="both"/>
      </w:pPr>
      <w:r>
        <w:rPr>
          <w:i/>
          <w:color w:val="000000"/>
        </w:rPr>
        <w:t xml:space="preserve">29 Акциони план припремљен и окончана јавна расправа – извор Сугестије Министарства </w:t>
      </w:r>
      <w:r>
        <w:rPr>
          <w:i/>
          <w:color w:val="000000"/>
        </w:rPr>
        <w:t>унутрашњих послова. достављене у процесу консултација.</w:t>
      </w:r>
    </w:p>
    <w:p w:rsidR="00BC3CE6" w:rsidRDefault="009A2DE5">
      <w:pPr>
        <w:spacing w:after="150"/>
        <w:jc w:val="both"/>
      </w:pPr>
      <w:r>
        <w:rPr>
          <w:i/>
          <w:color w:val="000000"/>
        </w:rPr>
        <w:t>30 Доступно на: https://www.srbija.gov.rs/dokument/45678/strategije.php, приступ: 12.5.2021.</w:t>
      </w:r>
    </w:p>
    <w:p w:rsidR="00BC3CE6" w:rsidRDefault="009A2DE5">
      <w:pPr>
        <w:spacing w:after="150"/>
        <w:jc w:val="both"/>
      </w:pPr>
      <w:r>
        <w:rPr>
          <w:i/>
          <w:color w:val="000000"/>
        </w:rPr>
        <w:t>31 Доступно на: www.mpravde.gov.rs, приступ: 12.5.2021.</w:t>
      </w:r>
    </w:p>
    <w:p w:rsidR="00BC3CE6" w:rsidRDefault="009A2DE5">
      <w:pPr>
        <w:spacing w:after="150"/>
        <w:jc w:val="both"/>
      </w:pPr>
      <w:r>
        <w:rPr>
          <w:i/>
          <w:color w:val="000000"/>
        </w:rPr>
        <w:t>32 „Службени гласник РС”, број 94/17.</w:t>
      </w:r>
    </w:p>
    <w:p w:rsidR="00BC3CE6" w:rsidRDefault="009A2DE5">
      <w:pPr>
        <w:spacing w:after="150"/>
        <w:jc w:val="both"/>
      </w:pPr>
      <w:r>
        <w:rPr>
          <w:i/>
          <w:color w:val="000000"/>
        </w:rPr>
        <w:lastRenderedPageBreak/>
        <w:t>33 „Службени г</w:t>
      </w:r>
      <w:r>
        <w:rPr>
          <w:i/>
          <w:color w:val="000000"/>
        </w:rPr>
        <w:t>ласник РС”, број 53/17.</w:t>
      </w:r>
    </w:p>
    <w:p w:rsidR="00BC3CE6" w:rsidRDefault="009A2DE5">
      <w:pPr>
        <w:spacing w:after="150"/>
        <w:jc w:val="both"/>
      </w:pPr>
      <w:r>
        <w:rPr>
          <w:i/>
          <w:color w:val="000000"/>
        </w:rPr>
        <w:t>34</w:t>
      </w:r>
      <w:r>
        <w:rPr>
          <w:i/>
          <w:color w:val="000000"/>
        </w:rPr>
        <w:tab/>
        <w:t>Доступно на: http://www.mup.gov.rs/wps/wcm/connect/a7fbd693-caec-4f3e-b471-187a2be8bcf0/lat-Akcioni+plan+za+P24+-+revidirana+verzija+23+07+2020.pdf?MOD=AJPERES&amp;CVID=ng1k6t5, приступљено: 10.5.2021.</w:t>
      </w:r>
    </w:p>
    <w:p w:rsidR="00BC3CE6" w:rsidRDefault="009A2DE5">
      <w:pPr>
        <w:spacing w:after="150"/>
        <w:jc w:val="both"/>
      </w:pPr>
      <w:r>
        <w:rPr>
          <w:i/>
          <w:color w:val="000000"/>
        </w:rPr>
        <w:t xml:space="preserve">35 „Службени гласник РС”, број </w:t>
      </w:r>
      <w:r>
        <w:rPr>
          <w:i/>
          <w:color w:val="000000"/>
        </w:rPr>
        <w:t>94/19.</w:t>
      </w:r>
    </w:p>
    <w:p w:rsidR="00BC3CE6" w:rsidRDefault="009A2DE5">
      <w:pPr>
        <w:spacing w:after="150"/>
        <w:jc w:val="both"/>
      </w:pPr>
      <w:r>
        <w:rPr>
          <w:i/>
          <w:color w:val="000000"/>
        </w:rPr>
        <w:t>36 „Службени гласник РС”, број 94/19.</w:t>
      </w:r>
    </w:p>
    <w:p w:rsidR="00BC3CE6" w:rsidRDefault="009A2DE5">
      <w:pPr>
        <w:spacing w:after="150"/>
        <w:jc w:val="both"/>
      </w:pPr>
      <w:r>
        <w:rPr>
          <w:i/>
          <w:color w:val="000000"/>
        </w:rPr>
        <w:t>37 „Службени гласник РС”, број 71/18.</w:t>
      </w:r>
    </w:p>
    <w:p w:rsidR="00BC3CE6" w:rsidRDefault="009A2DE5">
      <w:pPr>
        <w:spacing w:after="150"/>
        <w:jc w:val="both"/>
      </w:pPr>
      <w:r>
        <w:rPr>
          <w:i/>
          <w:color w:val="000000"/>
        </w:rPr>
        <w:t>38 Акциони план је припремљен и окончана је јавна расправа – извор сугестије МУП достављене у процесу. консултација. Доступно на: http://www.mup.rs/wps/wcm/connect/3470670e-</w:t>
      </w:r>
      <w:r>
        <w:rPr>
          <w:i/>
          <w:color w:val="000000"/>
        </w:rPr>
        <w:t>202a-4e78-b851- приступ: 5.7.2021.</w:t>
      </w:r>
    </w:p>
    <w:p w:rsidR="00BC3CE6" w:rsidRDefault="009A2DE5">
      <w:pPr>
        <w:spacing w:after="150"/>
        <w:jc w:val="both"/>
      </w:pPr>
      <w:r>
        <w:rPr>
          <w:i/>
          <w:color w:val="000000"/>
        </w:rPr>
        <w:t>39 „Службени гласник РС”, број 78/18.</w:t>
      </w:r>
    </w:p>
    <w:p w:rsidR="00BC3CE6" w:rsidRDefault="009A2DE5">
      <w:pPr>
        <w:spacing w:after="150"/>
        <w:jc w:val="both"/>
      </w:pPr>
      <w:r>
        <w:rPr>
          <w:i/>
          <w:color w:val="000000"/>
        </w:rPr>
        <w:t>40 Доступно на http://www.mup.rs/wps/wcm/connect/3470670e-202a-4e78-b851-940afe5a5e64/AP+za+Strategiju+za+borbu+protiv+VTK+2019-2020.pdf?MOD=AJPERES&amp;CVID=mtm2Egp, приступ: 5. 3. 2021.</w:t>
      </w:r>
    </w:p>
    <w:p w:rsidR="00BC3CE6" w:rsidRDefault="009A2DE5">
      <w:pPr>
        <w:spacing w:after="150"/>
        <w:jc w:val="both"/>
      </w:pPr>
      <w:r>
        <w:rPr>
          <w:i/>
          <w:color w:val="000000"/>
        </w:rPr>
        <w:t>41 Доступно на. https://www.srbija.gov.rs/dokument/45678/strategije.php, приступ: 5.3.2021.</w:t>
      </w:r>
    </w:p>
    <w:p w:rsidR="00BC3CE6" w:rsidRDefault="009A2DE5">
      <w:pPr>
        <w:spacing w:after="150"/>
        <w:jc w:val="both"/>
      </w:pPr>
      <w:r>
        <w:rPr>
          <w:i/>
          <w:color w:val="000000"/>
        </w:rPr>
        <w:t>42 Извор сугестије МУП изнете у консултацијама, Доступно на: https://www.srbija.gov.rs/dokument/45678/strategije.php, приступ: 5.3.2021.</w:t>
      </w:r>
    </w:p>
    <w:p w:rsidR="00BC3CE6" w:rsidRDefault="009A2DE5">
      <w:pPr>
        <w:spacing w:after="150"/>
        <w:jc w:val="both"/>
      </w:pPr>
      <w:r>
        <w:rPr>
          <w:i/>
          <w:color w:val="000000"/>
        </w:rPr>
        <w:t xml:space="preserve">43 „Службени гласник РС”, </w:t>
      </w:r>
      <w:r>
        <w:rPr>
          <w:i/>
          <w:color w:val="000000"/>
        </w:rPr>
        <w:t>број 94/17.</w:t>
      </w:r>
    </w:p>
    <w:p w:rsidR="00BC3CE6" w:rsidRDefault="009A2DE5">
      <w:pPr>
        <w:spacing w:after="150"/>
        <w:jc w:val="both"/>
      </w:pPr>
      <w:r>
        <w:rPr>
          <w:i/>
          <w:color w:val="000000"/>
        </w:rPr>
        <w:t>44 Доступно на: https://www.mpravde.gov.rs/tekst/33173/strategija-razvoja-sistema-izvrsenja-krivicnih-sankcija-u-republici-srbiji-za-period-2021-2027-godina.php рад на припреми стратегије тече, приступ: 12.3.2021.</w:t>
      </w:r>
    </w:p>
    <w:p w:rsidR="00BC3CE6" w:rsidRDefault="009A2DE5">
      <w:pPr>
        <w:spacing w:after="150"/>
        <w:jc w:val="both"/>
      </w:pPr>
      <w:r>
        <w:rPr>
          <w:i/>
          <w:color w:val="000000"/>
        </w:rPr>
        <w:t>45 „Службени гласник РС”, број</w:t>
      </w:r>
      <w:r>
        <w:rPr>
          <w:i/>
          <w:color w:val="000000"/>
        </w:rPr>
        <w:t xml:space="preserve"> 101/20.</w:t>
      </w:r>
    </w:p>
    <w:p w:rsidR="00BC3CE6" w:rsidRDefault="009A2DE5">
      <w:pPr>
        <w:spacing w:after="150"/>
        <w:jc w:val="both"/>
      </w:pPr>
      <w:r>
        <w:rPr>
          <w:i/>
          <w:color w:val="000000"/>
        </w:rPr>
        <w:t>46 Мере из Стратегије реализују се кроз активности из ревидираног Акционог плана за Поглавље 23. Доступно на: https://www.pravno-informacioni-sistem.rs/SlGlasnikPortal/eli/rep/sgrs/vlada/strategija/2020/ 101/1/reg приступ 5.3.2021.</w:t>
      </w:r>
    </w:p>
    <w:p w:rsidR="00BC3CE6" w:rsidRDefault="009A2DE5">
      <w:pPr>
        <w:spacing w:after="150"/>
        <w:jc w:val="both"/>
      </w:pPr>
      <w:r>
        <w:rPr>
          <w:i/>
          <w:color w:val="000000"/>
        </w:rPr>
        <w:t>47 „Службени гл</w:t>
      </w:r>
      <w:r>
        <w:rPr>
          <w:i/>
          <w:color w:val="000000"/>
        </w:rPr>
        <w:t>асник РС”, број 11/20.</w:t>
      </w:r>
    </w:p>
    <w:p w:rsidR="00BC3CE6" w:rsidRDefault="009A2DE5">
      <w:pPr>
        <w:spacing w:after="150"/>
        <w:jc w:val="both"/>
      </w:pPr>
      <w:r>
        <w:rPr>
          <w:i/>
          <w:color w:val="000000"/>
        </w:rPr>
        <w:t>48 „Службени гласник РС”, број 105/18.</w:t>
      </w:r>
    </w:p>
    <w:p w:rsidR="00BC3CE6" w:rsidRDefault="009A2DE5">
      <w:pPr>
        <w:spacing w:after="150"/>
        <w:jc w:val="both"/>
      </w:pPr>
      <w:r>
        <w:rPr>
          <w:i/>
          <w:color w:val="000000"/>
        </w:rPr>
        <w:t>49 „Службени гласник РС”, број 9/17.</w:t>
      </w:r>
    </w:p>
    <w:p w:rsidR="00BC3CE6" w:rsidRDefault="009A2DE5">
      <w:pPr>
        <w:spacing w:after="150"/>
        <w:jc w:val="both"/>
      </w:pPr>
      <w:r>
        <w:rPr>
          <w:i/>
          <w:color w:val="000000"/>
        </w:rPr>
        <w:t>50 „Службени гласник РС”, број 62/15.</w:t>
      </w:r>
    </w:p>
    <w:p w:rsidR="00BC3CE6" w:rsidRDefault="009A2DE5">
      <w:pPr>
        <w:spacing w:after="150"/>
        <w:jc w:val="both"/>
      </w:pPr>
      <w:r>
        <w:rPr>
          <w:i/>
          <w:color w:val="000000"/>
        </w:rPr>
        <w:t>51 „Службени гласник РС”, број 74/10.</w:t>
      </w:r>
    </w:p>
    <w:p w:rsidR="00BC3CE6" w:rsidRDefault="009A2DE5">
      <w:pPr>
        <w:spacing w:after="150"/>
        <w:jc w:val="both"/>
      </w:pPr>
      <w:r>
        <w:rPr>
          <w:i/>
          <w:color w:val="000000"/>
        </w:rPr>
        <w:t>52 „Службени гласник РС”, број 58/10.</w:t>
      </w:r>
    </w:p>
    <w:p w:rsidR="00BC3CE6" w:rsidRDefault="009A2DE5">
      <w:pPr>
        <w:spacing w:after="150"/>
        <w:jc w:val="both"/>
      </w:pPr>
      <w:r>
        <w:rPr>
          <w:i/>
          <w:color w:val="000000"/>
        </w:rPr>
        <w:lastRenderedPageBreak/>
        <w:t>53 „Службени гласник РС”, број 86/11.</w:t>
      </w:r>
    </w:p>
    <w:p w:rsidR="00BC3CE6" w:rsidRDefault="009A2DE5">
      <w:pPr>
        <w:spacing w:after="150"/>
        <w:jc w:val="both"/>
      </w:pPr>
      <w:r>
        <w:rPr>
          <w:i/>
          <w:color w:val="000000"/>
        </w:rPr>
        <w:t xml:space="preserve">54 </w:t>
      </w:r>
      <w:r>
        <w:rPr>
          <w:i/>
          <w:color w:val="000000"/>
        </w:rPr>
        <w:t>Доступно на: http://otvorenavlada.rs/strategija-starenje-lat-doc/, приступ: 5.3.2021.</w:t>
      </w:r>
    </w:p>
    <w:p w:rsidR="00BC3CE6" w:rsidRDefault="009A2DE5">
      <w:pPr>
        <w:spacing w:after="150"/>
        <w:jc w:val="both"/>
      </w:pPr>
      <w:r>
        <w:rPr>
          <w:i/>
          <w:color w:val="000000"/>
        </w:rPr>
        <w:t>55 „Службени гласник РС”, број 13/12.</w:t>
      </w:r>
    </w:p>
    <w:p w:rsidR="00BC3CE6" w:rsidRDefault="009A2DE5">
      <w:pPr>
        <w:spacing w:after="150"/>
        <w:jc w:val="both"/>
      </w:pPr>
      <w:r>
        <w:rPr>
          <w:i/>
          <w:color w:val="000000"/>
        </w:rPr>
        <w:t>56 „Службени гласник РС”, број 25/18.</w:t>
      </w:r>
    </w:p>
    <w:p w:rsidR="00BC3CE6" w:rsidRDefault="009A2DE5">
      <w:pPr>
        <w:spacing w:after="150"/>
        <w:jc w:val="both"/>
      </w:pPr>
      <w:r>
        <w:rPr>
          <w:i/>
          <w:color w:val="000000"/>
        </w:rPr>
        <w:t>57</w:t>
      </w:r>
      <w:r>
        <w:rPr>
          <w:i/>
          <w:color w:val="000000"/>
        </w:rPr>
        <w:tab/>
        <w:t>Доступно на https://www.srbija.gov.rs/dokument/45678/strategije-programi-planovi-.php</w:t>
      </w:r>
    </w:p>
    <w:p w:rsidR="00BC3CE6" w:rsidRDefault="009A2DE5">
      <w:pPr>
        <w:spacing w:after="150"/>
        <w:jc w:val="both"/>
      </w:pPr>
      <w:r>
        <w:rPr>
          <w:i/>
          <w:color w:val="000000"/>
        </w:rPr>
        <w:t xml:space="preserve">58 </w:t>
      </w:r>
      <w:r>
        <w:rPr>
          <w:i/>
          <w:color w:val="000000"/>
        </w:rPr>
        <w:t>„Службени гласник РС”, број 61/18.</w:t>
      </w:r>
    </w:p>
    <w:p w:rsidR="00BC3CE6" w:rsidRDefault="009A2DE5">
      <w:pPr>
        <w:spacing w:after="150"/>
        <w:jc w:val="both"/>
      </w:pPr>
      <w:r>
        <w:rPr>
          <w:i/>
          <w:color w:val="000000"/>
        </w:rPr>
        <w:t>59 „Службени гласник РС”, број 120/17.</w:t>
      </w:r>
    </w:p>
    <w:p w:rsidR="00BC3CE6" w:rsidRDefault="009A2DE5">
      <w:pPr>
        <w:spacing w:after="150"/>
        <w:jc w:val="both"/>
      </w:pPr>
      <w:r>
        <w:rPr>
          <w:i/>
          <w:color w:val="000000"/>
        </w:rPr>
        <w:t>60 „Службени гласник РС”, број 22/09.</w:t>
      </w:r>
    </w:p>
    <w:p w:rsidR="00BC3CE6" w:rsidRDefault="009A2DE5">
      <w:pPr>
        <w:spacing w:after="150"/>
        <w:jc w:val="both"/>
      </w:pPr>
      <w:r>
        <w:rPr>
          <w:i/>
          <w:color w:val="000000"/>
        </w:rPr>
        <w:t>61 „Службени гласник РС”, број 61/18.</w:t>
      </w:r>
    </w:p>
    <w:p w:rsidR="00BC3CE6" w:rsidRDefault="009A2DE5">
      <w:pPr>
        <w:spacing w:after="150"/>
        <w:jc w:val="both"/>
      </w:pPr>
      <w:r>
        <w:rPr>
          <w:i/>
          <w:color w:val="000000"/>
        </w:rPr>
        <w:t>62 „Службени гласник РС”, број 86/19.</w:t>
      </w:r>
    </w:p>
    <w:p w:rsidR="00BC3CE6" w:rsidRDefault="009A2DE5">
      <w:pPr>
        <w:spacing w:after="150"/>
        <w:jc w:val="both"/>
      </w:pPr>
      <w:r>
        <w:rPr>
          <w:i/>
          <w:color w:val="000000"/>
        </w:rPr>
        <w:t>63 „Службени гласник РС”, број 115/17.</w:t>
      </w:r>
    </w:p>
    <w:p w:rsidR="00BC3CE6" w:rsidRDefault="009A2DE5">
      <w:pPr>
        <w:spacing w:after="150"/>
        <w:jc w:val="both"/>
      </w:pPr>
      <w:r>
        <w:rPr>
          <w:i/>
          <w:color w:val="000000"/>
        </w:rPr>
        <w:t>64 „Службени гласник РС”, бро</w:t>
      </w:r>
      <w:r>
        <w:rPr>
          <w:i/>
          <w:color w:val="000000"/>
        </w:rPr>
        <w:t>ј 9/18.</w:t>
      </w:r>
    </w:p>
    <w:p w:rsidR="00BC3CE6" w:rsidRDefault="009A2DE5">
      <w:pPr>
        <w:spacing w:after="150"/>
        <w:jc w:val="both"/>
      </w:pPr>
      <w:r>
        <w:rPr>
          <w:i/>
          <w:color w:val="000000"/>
        </w:rPr>
        <w:t>65 „Службени гласник РС”, број 53/18.</w:t>
      </w:r>
    </w:p>
    <w:p w:rsidR="00BC3CE6" w:rsidRDefault="009A2DE5">
      <w:pPr>
        <w:spacing w:after="150"/>
        <w:jc w:val="both"/>
      </w:pPr>
      <w:r>
        <w:rPr>
          <w:i/>
          <w:color w:val="000000"/>
        </w:rPr>
        <w:t>66</w:t>
      </w:r>
      <w:r>
        <w:rPr>
          <w:i/>
          <w:color w:val="000000"/>
        </w:rPr>
        <w:tab/>
        <w:t>Доступно на: https://www.zdravlje.gov.rs/tekst/343487/program-o-zastiti-mentalnog-zdravlja-u-republici-srbiji-za-period-2019-2026-godine-.php, приступ: 12. 5. 2021.</w:t>
      </w:r>
    </w:p>
    <w:p w:rsidR="00BC3CE6" w:rsidRDefault="009A2DE5">
      <w:pPr>
        <w:spacing w:after="150"/>
        <w:jc w:val="both"/>
      </w:pPr>
      <w:r>
        <w:rPr>
          <w:i/>
          <w:color w:val="000000"/>
        </w:rPr>
        <w:t>67</w:t>
      </w:r>
      <w:r>
        <w:rPr>
          <w:i/>
          <w:color w:val="000000"/>
        </w:rPr>
        <w:tab/>
        <w:t>Доступно на: https://www.srbija.gov.rs/</w:t>
      </w:r>
      <w:r>
        <w:rPr>
          <w:i/>
          <w:color w:val="000000"/>
        </w:rPr>
        <w:t>dokument/45678/strategije-programi-planovi-.php, приступ: 12.5.2021.</w:t>
      </w:r>
    </w:p>
    <w:p w:rsidR="00BC3CE6" w:rsidRDefault="009A2DE5">
      <w:pPr>
        <w:spacing w:after="150"/>
        <w:jc w:val="both"/>
      </w:pPr>
      <w:r>
        <w:rPr>
          <w:i/>
          <w:color w:val="000000"/>
        </w:rPr>
        <w:t>68</w:t>
      </w:r>
      <w:r>
        <w:rPr>
          <w:i/>
          <w:color w:val="000000"/>
        </w:rPr>
        <w:tab/>
        <w:t>Доступно на: https://www.zdravlje.gov.rs/tekst/344842/program-zastite-i-spasavanja-u-vanrednim-situacijama.php</w:t>
      </w:r>
    </w:p>
    <w:p w:rsidR="00BC3CE6" w:rsidRDefault="009A2DE5">
      <w:pPr>
        <w:spacing w:after="150"/>
        <w:jc w:val="both"/>
      </w:pPr>
      <w:r>
        <w:rPr>
          <w:i/>
          <w:color w:val="000000"/>
        </w:rPr>
        <w:t>69 Доступно на: http://otvorenavlada.rs/strategija-starenje-lat-doc/</w:t>
      </w:r>
    </w:p>
    <w:p w:rsidR="00BC3CE6" w:rsidRDefault="009A2DE5">
      <w:pPr>
        <w:spacing w:after="150"/>
        <w:jc w:val="both"/>
      </w:pPr>
      <w:r>
        <w:rPr>
          <w:i/>
          <w:color w:val="000000"/>
        </w:rPr>
        <w:t>70 „</w:t>
      </w:r>
      <w:r>
        <w:rPr>
          <w:i/>
          <w:color w:val="000000"/>
        </w:rPr>
        <w:t>Службени гласник РС”, број 17/09.</w:t>
      </w:r>
    </w:p>
    <w:p w:rsidR="00BC3CE6" w:rsidRDefault="009A2DE5">
      <w:pPr>
        <w:spacing w:after="150"/>
        <w:jc w:val="both"/>
      </w:pPr>
      <w:r>
        <w:rPr>
          <w:i/>
          <w:color w:val="000000"/>
        </w:rPr>
        <w:t>71 „Службени гласник РС”, број 28/09.</w:t>
      </w:r>
    </w:p>
    <w:p w:rsidR="00BC3CE6" w:rsidRDefault="009A2DE5">
      <w:pPr>
        <w:spacing w:after="150"/>
        <w:jc w:val="both"/>
      </w:pPr>
      <w:r>
        <w:rPr>
          <w:i/>
          <w:color w:val="000000"/>
        </w:rPr>
        <w:t>72 „Службени гласник РС”, број 15/09.</w:t>
      </w:r>
    </w:p>
    <w:p w:rsidR="00BC3CE6" w:rsidRDefault="009A2DE5">
      <w:pPr>
        <w:spacing w:after="150"/>
        <w:jc w:val="both"/>
      </w:pPr>
      <w:r>
        <w:rPr>
          <w:i/>
          <w:color w:val="000000"/>
        </w:rPr>
        <w:t>73 „Службени гласник РС”, број 42/21.</w:t>
      </w:r>
    </w:p>
    <w:p w:rsidR="00BC3CE6" w:rsidRDefault="009A2DE5">
      <w:pPr>
        <w:spacing w:after="150"/>
        <w:jc w:val="both"/>
      </w:pPr>
      <w:r>
        <w:rPr>
          <w:i/>
          <w:color w:val="000000"/>
        </w:rPr>
        <w:t>74 „Службени гласник РС”, број 85/20.</w:t>
      </w:r>
    </w:p>
    <w:p w:rsidR="00BC3CE6" w:rsidRDefault="009A2DE5">
      <w:pPr>
        <w:spacing w:after="150"/>
        <w:jc w:val="both"/>
      </w:pPr>
      <w:r>
        <w:rPr>
          <w:i/>
          <w:color w:val="000000"/>
        </w:rPr>
        <w:t>75 „Службени гласник РС”, број 70/21.</w:t>
      </w:r>
    </w:p>
    <w:p w:rsidR="00BC3CE6" w:rsidRDefault="009A2DE5">
      <w:pPr>
        <w:spacing w:after="150"/>
        <w:jc w:val="both"/>
      </w:pPr>
      <w:r>
        <w:rPr>
          <w:i/>
          <w:color w:val="000000"/>
        </w:rPr>
        <w:t>76 Доступно на: https://mfin.gov</w:t>
      </w:r>
      <w:r>
        <w:rPr>
          <w:i/>
          <w:color w:val="000000"/>
        </w:rPr>
        <w:t>.rs/sr/dokumenti2-1/fiskalna-strategija-1 https://mfin.gov.rs/sr/dokumenti2-1/fiskalna-strategija-1, приступ: 3.9.2021.</w:t>
      </w:r>
    </w:p>
    <w:p w:rsidR="00BC3CE6" w:rsidRDefault="009A2DE5">
      <w:pPr>
        <w:spacing w:after="150"/>
        <w:jc w:val="both"/>
      </w:pPr>
      <w:r>
        <w:rPr>
          <w:i/>
          <w:color w:val="000000"/>
        </w:rPr>
        <w:t>77 „Службени гласник РС”, број 44/20.</w:t>
      </w:r>
    </w:p>
    <w:p w:rsidR="00BC3CE6" w:rsidRDefault="009A2DE5">
      <w:pPr>
        <w:spacing w:after="150"/>
        <w:jc w:val="both"/>
      </w:pPr>
      <w:r>
        <w:rPr>
          <w:i/>
          <w:color w:val="000000"/>
        </w:rPr>
        <w:t>78 „Службени гласник РС”, број 26/16.</w:t>
      </w:r>
    </w:p>
    <w:p w:rsidR="00BC3CE6" w:rsidRDefault="009A2DE5">
      <w:pPr>
        <w:spacing w:after="150"/>
        <w:jc w:val="both"/>
      </w:pPr>
      <w:r>
        <w:rPr>
          <w:i/>
          <w:color w:val="000000"/>
        </w:rPr>
        <w:lastRenderedPageBreak/>
        <w:t>79 „Службени гласник РС”, број 80/20.</w:t>
      </w:r>
    </w:p>
    <w:p w:rsidR="00BC3CE6" w:rsidRDefault="009A2DE5">
      <w:pPr>
        <w:spacing w:after="150"/>
        <w:jc w:val="both"/>
      </w:pPr>
      <w:r>
        <w:rPr>
          <w:i/>
          <w:color w:val="000000"/>
        </w:rPr>
        <w:t>80 Доступно на: https:</w:t>
      </w:r>
      <w:r>
        <w:rPr>
          <w:i/>
          <w:color w:val="000000"/>
        </w:rPr>
        <w:t>//www.socijalnouključivanje.gov.rs приступ 12.5.2021.</w:t>
      </w:r>
    </w:p>
    <w:p w:rsidR="00BC3CE6" w:rsidRDefault="009A2DE5">
      <w:pPr>
        <w:spacing w:after="150"/>
        <w:jc w:val="both"/>
      </w:pPr>
      <w:r>
        <w:rPr>
          <w:i/>
          <w:color w:val="000000"/>
        </w:rPr>
        <w:t>81 „Службени гласник РС”, број 22/15.</w:t>
      </w:r>
    </w:p>
    <w:p w:rsidR="00BC3CE6" w:rsidRDefault="009A2DE5">
      <w:pPr>
        <w:spacing w:after="150"/>
        <w:jc w:val="both"/>
      </w:pPr>
      <w:r>
        <w:rPr>
          <w:i/>
          <w:color w:val="000000"/>
        </w:rPr>
        <w:t>82 Национална стратегија за младе је у фази ревизије у складу са Законом о планском систему.</w:t>
      </w:r>
    </w:p>
    <w:p w:rsidR="00BC3CE6" w:rsidRDefault="009A2DE5">
      <w:pPr>
        <w:spacing w:after="120"/>
        <w:jc w:val="center"/>
      </w:pPr>
      <w:r>
        <w:rPr>
          <w:b/>
          <w:color w:val="000000"/>
        </w:rPr>
        <w:t>1.2. Кључни међународни акти</w:t>
      </w:r>
    </w:p>
    <w:p w:rsidR="00BC3CE6" w:rsidRDefault="009A2DE5">
      <w:pPr>
        <w:spacing w:after="150"/>
      </w:pPr>
      <w:r>
        <w:rPr>
          <w:color w:val="000000"/>
        </w:rPr>
        <w:t xml:space="preserve">Стратегија се заснива на међународном </w:t>
      </w:r>
      <w:r>
        <w:rPr>
          <w:color w:val="000000"/>
        </w:rPr>
        <w:t>праву као и националном прописима који се односе на субјекте и области обухваћене Стратегијом у чијем средишту је превазилажење родног јаза и остваривање родне равноправности као предуслов и подстицај развоја друштва. Значај родне компоненте друштвеног раз</w:t>
      </w:r>
      <w:r>
        <w:rPr>
          <w:color w:val="000000"/>
        </w:rPr>
        <w:t>воја и утицај превазилажења родног јаза и унапређења родне равноправности на развој је водећи критеријум на основу кога су селектовани међународни прописи и прописи на националном нивоу, са којима је Стратегија тесно повезана. Међународни извори</w:t>
      </w:r>
      <w:r>
        <w:rPr>
          <w:color w:val="000000"/>
          <w:vertAlign w:val="superscript"/>
        </w:rPr>
        <w:t>83</w:t>
      </w:r>
      <w:r>
        <w:rPr>
          <w:color w:val="000000"/>
        </w:rPr>
        <w:t xml:space="preserve"> од којих</w:t>
      </w:r>
      <w:r>
        <w:rPr>
          <w:color w:val="000000"/>
        </w:rPr>
        <w:t xml:space="preserve"> се полази укључују документе УН, СЕ и ЕУ.</w:t>
      </w:r>
    </w:p>
    <w:p w:rsidR="00BC3CE6" w:rsidRDefault="009A2DE5">
      <w:pPr>
        <w:spacing w:after="150"/>
      </w:pPr>
      <w:r>
        <w:rPr>
          <w:color w:val="000000"/>
        </w:rPr>
        <w:t>Међународни акти груписани су према областима које су обухваћене овом стратегијом. То су следеће области:</w:t>
      </w:r>
    </w:p>
    <w:p w:rsidR="00BC3CE6" w:rsidRDefault="009A2DE5">
      <w:pPr>
        <w:spacing w:after="150"/>
      </w:pPr>
      <w:r>
        <w:rPr>
          <w:color w:val="000000"/>
        </w:rPr>
        <w:t>Међународни акти који се односе на економију, образовање и науку као чиниоце који подстичу развој обухватај</w:t>
      </w:r>
      <w:r>
        <w:rPr>
          <w:color w:val="000000"/>
        </w:rPr>
        <w:t>у следеће изворе: Специјална сесија ГС УН: Жене 2000 – Родна равноправност, развој и мир за 21. век (2000) – Миленијумска декларација УН A/Res/55/2 (2000)</w:t>
      </w:r>
      <w:r>
        <w:rPr>
          <w:color w:val="000000"/>
          <w:vertAlign w:val="superscript"/>
        </w:rPr>
        <w:t>84</w:t>
      </w:r>
      <w:r>
        <w:rPr>
          <w:color w:val="000000"/>
        </w:rPr>
        <w:t>; Агенда 2030 – ЦОР A/RES/70/1</w:t>
      </w:r>
      <w:r>
        <w:rPr>
          <w:color w:val="000000"/>
          <w:vertAlign w:val="superscript"/>
        </w:rPr>
        <w:t>85</w:t>
      </w:r>
      <w:r>
        <w:rPr>
          <w:color w:val="000000"/>
        </w:rPr>
        <w:t>; Програм Акције Међународне конференције о становништву и развоју (</w:t>
      </w:r>
      <w:r>
        <w:rPr>
          <w:color w:val="000000"/>
        </w:rPr>
        <w:t>1994)</w:t>
      </w:r>
      <w:r>
        <w:rPr>
          <w:color w:val="000000"/>
          <w:vertAlign w:val="superscript"/>
        </w:rPr>
        <w:t>86</w:t>
      </w:r>
      <w:r>
        <w:rPr>
          <w:color w:val="000000"/>
        </w:rPr>
        <w:t>; Пекиншка декларација и Платформа за акцију (1995)</w:t>
      </w:r>
      <w:r>
        <w:rPr>
          <w:color w:val="000000"/>
          <w:vertAlign w:val="superscript"/>
        </w:rPr>
        <w:t>87</w:t>
      </w:r>
      <w:r>
        <w:rPr>
          <w:color w:val="000000"/>
        </w:rPr>
        <w:t>; Пекинг +15</w:t>
      </w:r>
      <w:r>
        <w:rPr>
          <w:color w:val="000000"/>
          <w:vertAlign w:val="superscript"/>
        </w:rPr>
        <w:t>88</w:t>
      </w:r>
      <w:r>
        <w:rPr>
          <w:color w:val="000000"/>
        </w:rPr>
        <w:t xml:space="preserve"> и Пекинг +25 – Национални преглед о оствареном напретку у спровођењу Пекиншке декларације и Платформе за акцију</w:t>
      </w:r>
      <w:r>
        <w:rPr>
          <w:color w:val="000000"/>
          <w:vertAlign w:val="superscript"/>
        </w:rPr>
        <w:t>89</w:t>
      </w:r>
      <w:r>
        <w:rPr>
          <w:color w:val="000000"/>
        </w:rPr>
        <w:t>; Конвенција против дискриминације у образовању</w:t>
      </w:r>
      <w:r>
        <w:rPr>
          <w:color w:val="000000"/>
          <w:vertAlign w:val="superscript"/>
        </w:rPr>
        <w:t>90</w:t>
      </w:r>
      <w:r>
        <w:rPr>
          <w:color w:val="000000"/>
        </w:rPr>
        <w:t>;</w:t>
      </w:r>
    </w:p>
    <w:p w:rsidR="00BC3CE6" w:rsidRDefault="009A2DE5">
      <w:pPr>
        <w:spacing w:after="150"/>
      </w:pPr>
      <w:r>
        <w:rPr>
          <w:color w:val="000000"/>
        </w:rPr>
        <w:t>Универзална Декла</w:t>
      </w:r>
      <w:r>
        <w:rPr>
          <w:color w:val="000000"/>
        </w:rPr>
        <w:t>рација о образовању у 21. веку (УНЕСКО) усвојена на светској конференцији посвећеној високом образовању у 21. веку</w:t>
      </w:r>
      <w:r>
        <w:rPr>
          <w:color w:val="000000"/>
          <w:vertAlign w:val="superscript"/>
        </w:rPr>
        <w:t>91</w:t>
      </w:r>
      <w:r>
        <w:rPr>
          <w:color w:val="000000"/>
        </w:rPr>
        <w:t>; Светска конференција о високом образовању</w:t>
      </w:r>
      <w:r>
        <w:rPr>
          <w:color w:val="000000"/>
          <w:vertAlign w:val="superscript"/>
        </w:rPr>
        <w:t>92</w:t>
      </w:r>
      <w:r>
        <w:rPr>
          <w:color w:val="000000"/>
        </w:rPr>
        <w:t>; Резолуција СЕ о женама у науци</w:t>
      </w:r>
      <w:r>
        <w:rPr>
          <w:color w:val="000000"/>
          <w:vertAlign w:val="superscript"/>
        </w:rPr>
        <w:t>93</w:t>
      </w:r>
      <w:r>
        <w:rPr>
          <w:color w:val="000000"/>
        </w:rPr>
        <w:t>; Право на образовање – политике и стратегије</w:t>
      </w:r>
      <w:r>
        <w:rPr>
          <w:color w:val="000000"/>
          <w:vertAlign w:val="superscript"/>
        </w:rPr>
        <w:t>94</w:t>
      </w:r>
      <w:r>
        <w:rPr>
          <w:color w:val="000000"/>
        </w:rPr>
        <w:t xml:space="preserve">; Хелсиншки </w:t>
      </w:r>
      <w:r>
        <w:rPr>
          <w:color w:val="000000"/>
        </w:rPr>
        <w:t>позив за акцију</w:t>
      </w:r>
      <w:r>
        <w:rPr>
          <w:color w:val="000000"/>
          <w:vertAlign w:val="superscript"/>
        </w:rPr>
        <w:t>95</w:t>
      </w:r>
      <w:r>
        <w:rPr>
          <w:color w:val="000000"/>
        </w:rPr>
        <w:t>; директиве ЕУ које се односе на принцип једнаког третмана жена и мушкараца и забрану родно засноване дискриминације – Директива 75/117/ЕЕЗ (једнаке зараде за мушкарце и жене)</w:t>
      </w:r>
      <w:r>
        <w:rPr>
          <w:color w:val="000000"/>
          <w:vertAlign w:val="superscript"/>
        </w:rPr>
        <w:t>96</w:t>
      </w:r>
      <w:r>
        <w:rPr>
          <w:color w:val="000000"/>
        </w:rPr>
        <w:t xml:space="preserve"> и Директива 76/207/EEЗ (доступност запослења, професионална о</w:t>
      </w:r>
      <w:r>
        <w:rPr>
          <w:color w:val="000000"/>
        </w:rPr>
        <w:t>бука, напредовање на радном месту и услови рада)</w:t>
      </w:r>
      <w:r>
        <w:rPr>
          <w:color w:val="000000"/>
          <w:vertAlign w:val="superscript"/>
        </w:rPr>
        <w:t>97</w:t>
      </w:r>
      <w:r>
        <w:rPr>
          <w:color w:val="000000"/>
        </w:rPr>
        <w:t>, Препорука Европске комисије о заштити достојанства жена и мушкараца на послу.</w:t>
      </w:r>
      <w:r>
        <w:rPr>
          <w:color w:val="000000"/>
          <w:vertAlign w:val="superscript"/>
        </w:rPr>
        <w:t>98</w:t>
      </w:r>
    </w:p>
    <w:p w:rsidR="00BC3CE6" w:rsidRDefault="009A2DE5">
      <w:pPr>
        <w:spacing w:after="150"/>
      </w:pPr>
      <w:r>
        <w:rPr>
          <w:color w:val="000000"/>
        </w:rPr>
        <w:t>Међународни акти који се односе на родне аспекте људских права, безбедности и насиља према женама и политичког живота су: Ун</w:t>
      </w:r>
      <w:r>
        <w:rPr>
          <w:color w:val="000000"/>
        </w:rPr>
        <w:t>иверзална декларација о људским правима (1948)</w:t>
      </w:r>
      <w:r>
        <w:rPr>
          <w:color w:val="000000"/>
          <w:vertAlign w:val="superscript"/>
        </w:rPr>
        <w:t>99</w:t>
      </w:r>
      <w:r>
        <w:rPr>
          <w:color w:val="000000"/>
        </w:rPr>
        <w:t>; Међународни пакт о грађанским и политичким правима (2200 А (XXI) (1966)</w:t>
      </w:r>
      <w:r>
        <w:rPr>
          <w:color w:val="000000"/>
          <w:vertAlign w:val="superscript"/>
        </w:rPr>
        <w:t>100</w:t>
      </w:r>
      <w:r>
        <w:rPr>
          <w:color w:val="000000"/>
        </w:rPr>
        <w:t xml:space="preserve"> (у даљем тексту: ПГПП); Опциони протокол уз Пакт</w:t>
      </w:r>
      <w:r>
        <w:rPr>
          <w:color w:val="000000"/>
          <w:vertAlign w:val="superscript"/>
        </w:rPr>
        <w:t>101</w:t>
      </w:r>
      <w:r>
        <w:rPr>
          <w:color w:val="000000"/>
        </w:rPr>
        <w:t xml:space="preserve"> и Други опциони протокол уз Пакт</w:t>
      </w:r>
      <w:r>
        <w:rPr>
          <w:color w:val="000000"/>
          <w:vertAlign w:val="superscript"/>
        </w:rPr>
        <w:t>102</w:t>
      </w:r>
      <w:r>
        <w:rPr>
          <w:color w:val="000000"/>
        </w:rPr>
        <w:t xml:space="preserve">; </w:t>
      </w:r>
      <w:r>
        <w:rPr>
          <w:color w:val="000000"/>
        </w:rPr>
        <w:lastRenderedPageBreak/>
        <w:t xml:space="preserve">Међународни пакт о економским, социјалним </w:t>
      </w:r>
      <w:r>
        <w:rPr>
          <w:color w:val="000000"/>
        </w:rPr>
        <w:t>и културним правима (1966)</w:t>
      </w:r>
      <w:r>
        <w:rPr>
          <w:color w:val="000000"/>
          <w:vertAlign w:val="superscript"/>
        </w:rPr>
        <w:t>103</w:t>
      </w:r>
      <w:r>
        <w:rPr>
          <w:color w:val="000000"/>
        </w:rPr>
        <w:t xml:space="preserve"> (у даљем тексту: ПЕСП); Резолуција СБ УН – Жене, мир и безбедност 1325 (2000), 1820 (2008), 1888 (2009), 1889 (2009), 1906 (2010), 2016 (2013), 2122 (2013)</w:t>
      </w:r>
      <w:r>
        <w:rPr>
          <w:color w:val="000000"/>
          <w:vertAlign w:val="superscript"/>
        </w:rPr>
        <w:t>104</w:t>
      </w:r>
      <w:r>
        <w:rPr>
          <w:color w:val="000000"/>
        </w:rPr>
        <w:t>; Резолуција ГС УН 65/69 – Жене, разоружање, неширење и контрола ору</w:t>
      </w:r>
      <w:r>
        <w:rPr>
          <w:color w:val="000000"/>
        </w:rPr>
        <w:t>жја</w:t>
      </w:r>
      <w:r>
        <w:rPr>
          <w:color w:val="000000"/>
          <w:vertAlign w:val="superscript"/>
        </w:rPr>
        <w:t>105</w:t>
      </w:r>
      <w:r>
        <w:rPr>
          <w:color w:val="000000"/>
        </w:rPr>
        <w:t>; Пекиншка декларација и Платформа за акцију (1995)</w:t>
      </w:r>
      <w:r>
        <w:rPr>
          <w:color w:val="000000"/>
          <w:vertAlign w:val="superscript"/>
        </w:rPr>
        <w:t>106</w:t>
      </w:r>
      <w:r>
        <w:rPr>
          <w:color w:val="000000"/>
        </w:rPr>
        <w:t>, Пекинг +15</w:t>
      </w:r>
      <w:r>
        <w:rPr>
          <w:color w:val="000000"/>
          <w:vertAlign w:val="superscript"/>
        </w:rPr>
        <w:t>107</w:t>
      </w:r>
      <w:r>
        <w:rPr>
          <w:color w:val="000000"/>
        </w:rPr>
        <w:t xml:space="preserve"> и Пекинг +25 – Национални преглед о оствареном напретку у спровођењу Пекиншке декларације и Платформе за акцију</w:t>
      </w:r>
      <w:r>
        <w:rPr>
          <w:color w:val="000000"/>
          <w:vertAlign w:val="superscript"/>
        </w:rPr>
        <w:t>108</w:t>
      </w:r>
      <w:r>
        <w:rPr>
          <w:color w:val="000000"/>
        </w:rPr>
        <w:t>; Eвропска конвенција за заштиту људских права и слобода и пратећи</w:t>
      </w:r>
      <w:r>
        <w:rPr>
          <w:color w:val="000000"/>
        </w:rPr>
        <w:t xml:space="preserve"> протоколи</w:t>
      </w:r>
      <w:r>
        <w:rPr>
          <w:color w:val="000000"/>
          <w:vertAlign w:val="superscript"/>
        </w:rPr>
        <w:t>109</w:t>
      </w:r>
      <w:r>
        <w:rPr>
          <w:color w:val="000000"/>
        </w:rPr>
        <w:t>; Повеља ЕУ о основним правима 2016/c 202/02</w:t>
      </w:r>
      <w:r>
        <w:rPr>
          <w:color w:val="000000"/>
          <w:vertAlign w:val="superscript"/>
        </w:rPr>
        <w:t>110</w:t>
      </w:r>
      <w:r>
        <w:rPr>
          <w:color w:val="000000"/>
        </w:rPr>
        <w:t>; Закључна запажања CEDAW комитета у вези са Четвртим периодичном извештајем РС о спровођењу CEDAW конвенције</w:t>
      </w:r>
      <w:r>
        <w:rPr>
          <w:color w:val="000000"/>
          <w:vertAlign w:val="superscript"/>
        </w:rPr>
        <w:t>111</w:t>
      </w:r>
      <w:r>
        <w:rPr>
          <w:color w:val="000000"/>
        </w:rPr>
        <w:t>; Конвенција СЕ о спречавању и борби против насиља над женама и насиља у породици (2</w:t>
      </w:r>
      <w:r>
        <w:rPr>
          <w:color w:val="000000"/>
        </w:rPr>
        <w:t>011)</w:t>
      </w:r>
      <w:r>
        <w:rPr>
          <w:color w:val="000000"/>
          <w:vertAlign w:val="superscript"/>
        </w:rPr>
        <w:t>112</w:t>
      </w:r>
      <w:r>
        <w:rPr>
          <w:color w:val="000000"/>
        </w:rPr>
        <w:t>; Декларација о једнакости жена и мушкараца као фундаменталном критеријуму демократије</w:t>
      </w:r>
      <w:r>
        <w:rPr>
          <w:color w:val="000000"/>
          <w:vertAlign w:val="superscript"/>
        </w:rPr>
        <w:t>113</w:t>
      </w:r>
      <w:r>
        <w:rPr>
          <w:color w:val="000000"/>
        </w:rPr>
        <w:t>; Конвенција СЕ о спречавању и борби против насиља над женама и насиља у породици</w:t>
      </w:r>
      <w:r>
        <w:rPr>
          <w:color w:val="000000"/>
          <w:vertAlign w:val="superscript"/>
        </w:rPr>
        <w:t>114</w:t>
      </w:r>
      <w:r>
        <w:rPr>
          <w:color w:val="000000"/>
        </w:rPr>
        <w:t>; Амстердамски споразум (1997) који регулише људска права, начело једнаког т</w:t>
      </w:r>
      <w:r>
        <w:rPr>
          <w:color w:val="000000"/>
        </w:rPr>
        <w:t>ретмана жена и мушкараца и забрану дискриминације на основу пола</w:t>
      </w:r>
      <w:r>
        <w:rPr>
          <w:color w:val="000000"/>
          <w:vertAlign w:val="superscript"/>
        </w:rPr>
        <w:t>115</w:t>
      </w:r>
      <w:r>
        <w:rPr>
          <w:color w:val="000000"/>
        </w:rPr>
        <w:t>; Резолуција о родној квоти за кандидате за судије ЕСЉП Р 1366 (2004) и 1426 (2005)</w:t>
      </w:r>
      <w:r>
        <w:rPr>
          <w:color w:val="000000"/>
          <w:vertAlign w:val="superscript"/>
        </w:rPr>
        <w:t>116</w:t>
      </w:r>
      <w:r>
        <w:rPr>
          <w:color w:val="000000"/>
        </w:rPr>
        <w:t>; Резолуција ЕП о женама у одлучивању</w:t>
      </w:r>
      <w:r>
        <w:rPr>
          <w:color w:val="000000"/>
          <w:vertAlign w:val="superscript"/>
        </w:rPr>
        <w:t>117</w:t>
      </w:r>
      <w:r>
        <w:rPr>
          <w:color w:val="000000"/>
        </w:rPr>
        <w:t>; Резолуција ЕП о женама у међународној политици</w:t>
      </w:r>
      <w:r>
        <w:rPr>
          <w:color w:val="000000"/>
          <w:vertAlign w:val="superscript"/>
        </w:rPr>
        <w:t>118</w:t>
      </w:r>
      <w:r>
        <w:rPr>
          <w:color w:val="000000"/>
        </w:rPr>
        <w:t xml:space="preserve">; Директива </w:t>
      </w:r>
      <w:r>
        <w:rPr>
          <w:color w:val="000000"/>
        </w:rPr>
        <w:t>97/80/ЕЗ (терет доказивања у случајевима дискриминације по основу пола)</w:t>
      </w:r>
      <w:r>
        <w:rPr>
          <w:color w:val="000000"/>
          <w:vertAlign w:val="superscript"/>
        </w:rPr>
        <w:t>119</w:t>
      </w:r>
      <w:r>
        <w:rPr>
          <w:color w:val="000000"/>
        </w:rPr>
        <w:t>; Директива ЕУ о превенцији и супротстављању трговини људима и заштити жртава 2011/36 (2011)</w:t>
      </w:r>
      <w:r>
        <w:rPr>
          <w:color w:val="000000"/>
          <w:vertAlign w:val="superscript"/>
        </w:rPr>
        <w:t>120</w:t>
      </w:r>
      <w:r>
        <w:rPr>
          <w:color w:val="000000"/>
        </w:rPr>
        <w:t>; Директива ЕУ о успостављању минималних стандарда о правима, подршци и заштити жртвама</w:t>
      </w:r>
      <w:r>
        <w:rPr>
          <w:color w:val="000000"/>
        </w:rPr>
        <w:t xml:space="preserve"> криминалитета (2012)</w:t>
      </w:r>
      <w:r>
        <w:rPr>
          <w:color w:val="000000"/>
          <w:vertAlign w:val="superscript"/>
        </w:rPr>
        <w:t>121</w:t>
      </w:r>
      <w:r>
        <w:rPr>
          <w:color w:val="000000"/>
        </w:rPr>
        <w:t>; АП за родну равноправност у ЕУ</w:t>
      </w:r>
      <w:r>
        <w:rPr>
          <w:color w:val="000000"/>
          <w:vertAlign w:val="superscript"/>
        </w:rPr>
        <w:t>122</w:t>
      </w:r>
      <w:r>
        <w:rPr>
          <w:color w:val="000000"/>
        </w:rPr>
        <w:t>; затим, препоруке Одбора министара СЕ о: елиминисању сексизма у језику</w:t>
      </w:r>
      <w:r>
        <w:rPr>
          <w:color w:val="000000"/>
          <w:vertAlign w:val="superscript"/>
        </w:rPr>
        <w:t>123</w:t>
      </w:r>
      <w:r>
        <w:rPr>
          <w:color w:val="000000"/>
        </w:rPr>
        <w:t>, равноправности жена и мушкараца</w:t>
      </w:r>
      <w:r>
        <w:rPr>
          <w:color w:val="000000"/>
          <w:vertAlign w:val="superscript"/>
        </w:rPr>
        <w:t>124</w:t>
      </w:r>
      <w:r>
        <w:rPr>
          <w:color w:val="000000"/>
        </w:rPr>
        <w:t>, уравнотеженом учешћу жена и мушкараца у политичком и јавном одлучивању</w:t>
      </w:r>
      <w:r>
        <w:rPr>
          <w:color w:val="000000"/>
          <w:vertAlign w:val="superscript"/>
        </w:rPr>
        <w:t>125</w:t>
      </w:r>
      <w:r>
        <w:rPr>
          <w:color w:val="000000"/>
        </w:rPr>
        <w:t>, представља</w:t>
      </w:r>
      <w:r>
        <w:rPr>
          <w:color w:val="000000"/>
        </w:rPr>
        <w:t>њу жена у медијима</w:t>
      </w:r>
      <w:r>
        <w:rPr>
          <w:color w:val="000000"/>
          <w:vertAlign w:val="superscript"/>
        </w:rPr>
        <w:t>126</w:t>
      </w:r>
      <w:r>
        <w:rPr>
          <w:color w:val="000000"/>
        </w:rPr>
        <w:t>, репрезентовању жена у изборном систему</w:t>
      </w:r>
      <w:r>
        <w:rPr>
          <w:color w:val="000000"/>
          <w:vertAlign w:val="superscript"/>
        </w:rPr>
        <w:t>127</w:t>
      </w:r>
      <w:r>
        <w:rPr>
          <w:color w:val="000000"/>
        </w:rPr>
        <w:t>, учешћу жена у јавном и политичком животу европских регија.</w:t>
      </w:r>
      <w:r>
        <w:rPr>
          <w:color w:val="000000"/>
          <w:vertAlign w:val="superscript"/>
        </w:rPr>
        <w:t>128</w:t>
      </w:r>
    </w:p>
    <w:p w:rsidR="00BC3CE6" w:rsidRDefault="009A2DE5">
      <w:pPr>
        <w:spacing w:after="150"/>
      </w:pPr>
      <w:r>
        <w:rPr>
          <w:color w:val="000000"/>
        </w:rPr>
        <w:t>Међународни акти релевантни за родне аспекте у областима здравствене заштите и социјалне сигурности су: Међународни пакт о еконо</w:t>
      </w:r>
      <w:r>
        <w:rPr>
          <w:color w:val="000000"/>
        </w:rPr>
        <w:t>мским, социјалним и културним правима (1966)</w:t>
      </w:r>
      <w:r>
        <w:rPr>
          <w:color w:val="000000"/>
          <w:vertAlign w:val="superscript"/>
        </w:rPr>
        <w:t>129</w:t>
      </w:r>
      <w:r>
        <w:rPr>
          <w:color w:val="000000"/>
        </w:rPr>
        <w:t>; Закључци Европског комитета за социјална права у вези са применом Европске социјалне повеље (март 2020)</w:t>
      </w:r>
      <w:r>
        <w:rPr>
          <w:color w:val="000000"/>
          <w:vertAlign w:val="superscript"/>
        </w:rPr>
        <w:t>130</w:t>
      </w:r>
      <w:r>
        <w:rPr>
          <w:color w:val="000000"/>
        </w:rPr>
        <w:t>; Ревидирана Европска социјална повеља</w:t>
      </w:r>
      <w:r>
        <w:rPr>
          <w:color w:val="000000"/>
          <w:vertAlign w:val="superscript"/>
        </w:rPr>
        <w:t>131</w:t>
      </w:r>
      <w:r>
        <w:rPr>
          <w:color w:val="000000"/>
        </w:rPr>
        <w:t>; Конвенција о људским правима и биомедицини</w:t>
      </w:r>
      <w:r>
        <w:rPr>
          <w:color w:val="000000"/>
          <w:vertAlign w:val="superscript"/>
        </w:rPr>
        <w:t>132</w:t>
      </w:r>
      <w:r>
        <w:rPr>
          <w:color w:val="000000"/>
        </w:rPr>
        <w:t xml:space="preserve">; Конвенција </w:t>
      </w:r>
      <w:r>
        <w:rPr>
          <w:color w:val="000000"/>
        </w:rPr>
        <w:t>о безбедности и здрављу у пољопривреди</w:t>
      </w:r>
      <w:r>
        <w:rPr>
          <w:color w:val="000000"/>
          <w:vertAlign w:val="superscript"/>
        </w:rPr>
        <w:t>133</w:t>
      </w:r>
      <w:r>
        <w:rPr>
          <w:color w:val="000000"/>
        </w:rPr>
        <w:t>; Резолуција Савета министара рада и социјалне политике о уравнотеженом учешћу жена и мушкараца у породичном и радном животу</w:t>
      </w:r>
      <w:r>
        <w:rPr>
          <w:color w:val="000000"/>
          <w:vertAlign w:val="superscript"/>
        </w:rPr>
        <w:t>134</w:t>
      </w:r>
      <w:r>
        <w:rPr>
          <w:color w:val="000000"/>
        </w:rPr>
        <w:t>; Директива 79/7/ЕЕЗ (социјална заштита)</w:t>
      </w:r>
      <w:r>
        <w:rPr>
          <w:color w:val="000000"/>
          <w:vertAlign w:val="superscript"/>
        </w:rPr>
        <w:t>135</w:t>
      </w:r>
      <w:r>
        <w:rPr>
          <w:color w:val="000000"/>
        </w:rPr>
        <w:t xml:space="preserve">; Директива 86/613/ЕЕЗ (самосталне </w:t>
      </w:r>
      <w:r>
        <w:rPr>
          <w:color w:val="000000"/>
        </w:rPr>
        <w:t>делатности, заштита самозапослених жена током трудноће и материнства)</w:t>
      </w:r>
      <w:r>
        <w:rPr>
          <w:color w:val="000000"/>
          <w:vertAlign w:val="superscript"/>
        </w:rPr>
        <w:t>136</w:t>
      </w:r>
      <w:r>
        <w:rPr>
          <w:color w:val="000000"/>
        </w:rPr>
        <w:t>; Директива 2006/54/ЕЗ (запослење и звања)</w:t>
      </w:r>
      <w:r>
        <w:rPr>
          <w:color w:val="000000"/>
          <w:vertAlign w:val="superscript"/>
        </w:rPr>
        <w:t>137</w:t>
      </w:r>
      <w:r>
        <w:rPr>
          <w:color w:val="000000"/>
        </w:rPr>
        <w:t>; директиве о заштити трудница, мајки и родитеља међу којима су: Директива 92/85/ЕЕЗ (мере за унапређење сигурности и здравствене заштите н</w:t>
      </w:r>
      <w:r>
        <w:rPr>
          <w:color w:val="000000"/>
        </w:rPr>
        <w:t>а раду трудних радница, радница које су се недавно породиле или су на породиљском одсуству)</w:t>
      </w:r>
      <w:r>
        <w:rPr>
          <w:color w:val="000000"/>
          <w:vertAlign w:val="superscript"/>
        </w:rPr>
        <w:t>138</w:t>
      </w:r>
      <w:r>
        <w:rPr>
          <w:color w:val="000000"/>
        </w:rPr>
        <w:t>, Директива 96/34/ЕЗ (одсуство ради бриге о детету)</w:t>
      </w:r>
      <w:r>
        <w:rPr>
          <w:color w:val="000000"/>
          <w:vertAlign w:val="superscript"/>
        </w:rPr>
        <w:t>139</w:t>
      </w:r>
      <w:r>
        <w:rPr>
          <w:color w:val="000000"/>
        </w:rPr>
        <w:t>, Директива 2010/18/ЕЗ (родитељско одсуство)</w:t>
      </w:r>
      <w:r>
        <w:rPr>
          <w:color w:val="000000"/>
          <w:vertAlign w:val="superscript"/>
        </w:rPr>
        <w:t>140</w:t>
      </w:r>
      <w:r>
        <w:rPr>
          <w:color w:val="000000"/>
        </w:rPr>
        <w:t xml:space="preserve">; препоруке Одбора </w:t>
      </w:r>
      <w:r>
        <w:rPr>
          <w:color w:val="000000"/>
        </w:rPr>
        <w:lastRenderedPageBreak/>
        <w:t xml:space="preserve">министара о: помирeњу породичног и јавног </w:t>
      </w:r>
      <w:r>
        <w:rPr>
          <w:color w:val="000000"/>
        </w:rPr>
        <w:t>живота</w:t>
      </w:r>
      <w:r>
        <w:rPr>
          <w:color w:val="000000"/>
          <w:vertAlign w:val="superscript"/>
        </w:rPr>
        <w:t>141</w:t>
      </w:r>
      <w:r>
        <w:rPr>
          <w:color w:val="000000"/>
        </w:rPr>
        <w:t>, укључивању родних разлика у здравствену политику.</w:t>
      </w:r>
      <w:r>
        <w:rPr>
          <w:color w:val="000000"/>
          <w:vertAlign w:val="superscript"/>
        </w:rPr>
        <w:t>142</w:t>
      </w:r>
    </w:p>
    <w:p w:rsidR="00BC3CE6" w:rsidRDefault="009A2DE5">
      <w:pPr>
        <w:spacing w:after="150"/>
      </w:pPr>
      <w:r>
        <w:rPr>
          <w:color w:val="000000"/>
        </w:rPr>
        <w:t>Међународни акти релевантни за институционални оквир и креирање родно одговорних јавних политика и буџета су: Европска повеља о локалној самоуправи</w:t>
      </w:r>
      <w:r>
        <w:rPr>
          <w:color w:val="000000"/>
          <w:vertAlign w:val="superscript"/>
        </w:rPr>
        <w:t>143</w:t>
      </w:r>
      <w:r>
        <w:rPr>
          <w:color w:val="000000"/>
        </w:rPr>
        <w:t>; Додатни протокол о праву учешћа у одлучи</w:t>
      </w:r>
      <w:r>
        <w:rPr>
          <w:color w:val="000000"/>
        </w:rPr>
        <w:t>вању о пословима локалних власти</w:t>
      </w:r>
      <w:r>
        <w:rPr>
          <w:color w:val="000000"/>
          <w:vertAlign w:val="superscript"/>
        </w:rPr>
        <w:t>144</w:t>
      </w:r>
      <w:r>
        <w:rPr>
          <w:color w:val="000000"/>
        </w:rPr>
        <w:t>; Европска повеља о родној равноправности на локалном нивоу</w:t>
      </w:r>
      <w:r>
        <w:rPr>
          <w:color w:val="000000"/>
          <w:vertAlign w:val="superscript"/>
        </w:rPr>
        <w:t>145</w:t>
      </w:r>
      <w:r>
        <w:rPr>
          <w:color w:val="000000"/>
        </w:rPr>
        <w:t>; Резолуција о родној равноправности на локалном и регионалном нивоу</w:t>
      </w:r>
      <w:r>
        <w:rPr>
          <w:color w:val="000000"/>
          <w:vertAlign w:val="superscript"/>
        </w:rPr>
        <w:t>146</w:t>
      </w:r>
      <w:r>
        <w:rPr>
          <w:color w:val="000000"/>
        </w:rPr>
        <w:t>; препоруке Одбора министара о: интегрисању родног аспекта у јавне политике</w:t>
      </w:r>
      <w:r>
        <w:rPr>
          <w:color w:val="000000"/>
          <w:vertAlign w:val="superscript"/>
        </w:rPr>
        <w:t>147</w:t>
      </w:r>
      <w:r>
        <w:rPr>
          <w:color w:val="000000"/>
        </w:rPr>
        <w:t>, стандард</w:t>
      </w:r>
      <w:r>
        <w:rPr>
          <w:color w:val="000000"/>
        </w:rPr>
        <w:t>има и механизмима за постизање родне равноправности.</w:t>
      </w:r>
      <w:r>
        <w:rPr>
          <w:color w:val="000000"/>
          <w:vertAlign w:val="superscript"/>
        </w:rPr>
        <w:t>148</w:t>
      </w:r>
    </w:p>
    <w:p w:rsidR="00BC3CE6" w:rsidRDefault="009A2DE5">
      <w:pPr>
        <w:spacing w:after="150"/>
      </w:pPr>
      <w:r>
        <w:rPr>
          <w:color w:val="000000"/>
        </w:rPr>
        <w:t>Међународни акти који се односе на особе које припадају рањивим групама а који су релевантни за сваку од области које су обухваћене Стратегијом су: Међународна конвенција о укидању свих облика расне д</w:t>
      </w:r>
      <w:r>
        <w:rPr>
          <w:color w:val="000000"/>
        </w:rPr>
        <w:t>искриминације (1967)</w:t>
      </w:r>
      <w:r>
        <w:rPr>
          <w:color w:val="000000"/>
          <w:vertAlign w:val="superscript"/>
        </w:rPr>
        <w:t>149</w:t>
      </w:r>
      <w:r>
        <w:rPr>
          <w:color w:val="000000"/>
        </w:rPr>
        <w:t>; Конвенција о правима детета (1989)</w:t>
      </w:r>
      <w:r>
        <w:rPr>
          <w:color w:val="000000"/>
          <w:vertAlign w:val="superscript"/>
        </w:rPr>
        <w:t>150</w:t>
      </w:r>
      <w:r>
        <w:rPr>
          <w:color w:val="000000"/>
        </w:rPr>
        <w:t>; Конвенција о правима особа са инвалидитетом (2006)</w:t>
      </w:r>
      <w:r>
        <w:rPr>
          <w:color w:val="000000"/>
          <w:vertAlign w:val="superscript"/>
        </w:rPr>
        <w:t>151</w:t>
      </w:r>
      <w:r>
        <w:rPr>
          <w:color w:val="000000"/>
        </w:rPr>
        <w:t>; Декларација УН о правима припадника националних, етничких, верских и језичких мањина (1992); Хашке препоруке о праву националних мањина н</w:t>
      </w:r>
      <w:r>
        <w:rPr>
          <w:color w:val="000000"/>
        </w:rPr>
        <w:t>а образовање (1996)</w:t>
      </w:r>
      <w:r>
        <w:rPr>
          <w:color w:val="000000"/>
          <w:vertAlign w:val="superscript"/>
        </w:rPr>
        <w:t>152</w:t>
      </w:r>
      <w:r>
        <w:rPr>
          <w:color w:val="000000"/>
        </w:rPr>
        <w:t>; Оквирна конвенција за заштиту националних мањина (1998)</w:t>
      </w:r>
      <w:r>
        <w:rPr>
          <w:color w:val="000000"/>
          <w:vertAlign w:val="superscript"/>
        </w:rPr>
        <w:t>153</w:t>
      </w:r>
      <w:r>
        <w:rPr>
          <w:color w:val="000000"/>
        </w:rPr>
        <w:t>; Препоруке из Лунда о делотворном учешћу националних мањина у јавном животу (1999)</w:t>
      </w:r>
      <w:r>
        <w:rPr>
          <w:color w:val="000000"/>
          <w:vertAlign w:val="superscript"/>
        </w:rPr>
        <w:t>154</w:t>
      </w:r>
      <w:r>
        <w:rPr>
          <w:color w:val="000000"/>
        </w:rPr>
        <w:t>; Препорука Европске комисије против расизма и нетрпељивости (ECRI) и борби против расиз</w:t>
      </w:r>
      <w:r>
        <w:rPr>
          <w:color w:val="000000"/>
        </w:rPr>
        <w:t>ма и нетрпељивости против Рома (1998); Европска конвенција о регионалним или језицима националних мањина</w:t>
      </w:r>
      <w:r>
        <w:rPr>
          <w:color w:val="000000"/>
          <w:vertAlign w:val="superscript"/>
        </w:rPr>
        <w:t>155</w:t>
      </w:r>
      <w:r>
        <w:rPr>
          <w:color w:val="000000"/>
        </w:rPr>
        <w:t>; Kонвенција о статусу избеглица</w:t>
      </w:r>
      <w:r>
        <w:rPr>
          <w:color w:val="000000"/>
          <w:vertAlign w:val="superscript"/>
        </w:rPr>
        <w:t>156</w:t>
      </w:r>
      <w:r>
        <w:rPr>
          <w:color w:val="000000"/>
        </w:rPr>
        <w:t>; Протокол о статусу избеглица</w:t>
      </w:r>
      <w:r>
        <w:rPr>
          <w:color w:val="000000"/>
          <w:vertAlign w:val="superscript"/>
        </w:rPr>
        <w:t>157</w:t>
      </w:r>
      <w:r>
        <w:rPr>
          <w:color w:val="000000"/>
        </w:rPr>
        <w:t>; Препорука Одбора министара и СЕ Rec (2000) 4 – начелне смернице о образовној по</w:t>
      </w:r>
      <w:r>
        <w:rPr>
          <w:color w:val="000000"/>
        </w:rPr>
        <w:t>литици према ромској деци Европи; Препорука Одбора министара СЕ Rec(2001) 17 – побољшање друштвеног положаја и запошљавања Рома и номада у Европи; Препорука о мерама за борбу против дискриминације на основу сексуалне оријентације или родног идентитета CM/R</w:t>
      </w:r>
      <w:r>
        <w:rPr>
          <w:color w:val="000000"/>
        </w:rPr>
        <w:t>ec(2010); Комитета Савета министара СЕ</w:t>
      </w:r>
      <w:r>
        <w:rPr>
          <w:color w:val="000000"/>
          <w:vertAlign w:val="superscript"/>
        </w:rPr>
        <w:t>158</w:t>
      </w:r>
      <w:r>
        <w:rPr>
          <w:color w:val="000000"/>
        </w:rPr>
        <w:t>; као и меморандум објашњења уз ову препоруку</w:t>
      </w:r>
      <w:r>
        <w:rPr>
          <w:color w:val="000000"/>
          <w:vertAlign w:val="superscript"/>
        </w:rPr>
        <w:t>159</w:t>
      </w:r>
      <w:r>
        <w:rPr>
          <w:color w:val="000000"/>
        </w:rPr>
        <w:t>; Џогџакарта принципи – примене Закона о међународним људским правима везаним за сексуалну оријентацију и родни идентитет</w:t>
      </w:r>
      <w:r>
        <w:rPr>
          <w:color w:val="000000"/>
          <w:vertAlign w:val="superscript"/>
        </w:rPr>
        <w:t>160</w:t>
      </w:r>
      <w:r>
        <w:rPr>
          <w:color w:val="000000"/>
        </w:rPr>
        <w:t xml:space="preserve"> и ревидирани Џогџакарта принципи.</w:t>
      </w:r>
      <w:r>
        <w:rPr>
          <w:color w:val="000000"/>
          <w:vertAlign w:val="superscript"/>
        </w:rPr>
        <w:t>161</w:t>
      </w:r>
    </w:p>
    <w:p w:rsidR="00BC3CE6" w:rsidRDefault="009A2DE5">
      <w:pPr>
        <w:spacing w:after="150"/>
        <w:jc w:val="both"/>
      </w:pPr>
      <w:r>
        <w:rPr>
          <w:i/>
          <w:color w:val="000000"/>
        </w:rPr>
        <w:t>–––––</w:t>
      </w:r>
      <w:r>
        <w:rPr>
          <w:i/>
          <w:color w:val="000000"/>
        </w:rPr>
        <w:t>–––</w:t>
      </w:r>
    </w:p>
    <w:p w:rsidR="00BC3CE6" w:rsidRDefault="009A2DE5">
      <w:pPr>
        <w:spacing w:after="150"/>
        <w:jc w:val="both"/>
      </w:pPr>
      <w:r>
        <w:rPr>
          <w:i/>
          <w:color w:val="000000"/>
        </w:rPr>
        <w:t>83 Међународни документи доступни и на: http://www.stop_vaw.org/Council_of_Europe4-html</w:t>
      </w:r>
    </w:p>
    <w:p w:rsidR="00BC3CE6" w:rsidRDefault="009A2DE5">
      <w:pPr>
        <w:spacing w:after="150"/>
        <w:jc w:val="both"/>
      </w:pPr>
      <w:r>
        <w:rPr>
          <w:i/>
          <w:color w:val="000000"/>
        </w:rPr>
        <w:t>84 Доступно на https://www.rodnaravnopravnost.rs/attachments/013_Milenijumska%20deklaracija%20UN.pdf</w:t>
      </w:r>
    </w:p>
    <w:p w:rsidR="00BC3CE6" w:rsidRDefault="009A2DE5">
      <w:pPr>
        <w:spacing w:after="150"/>
        <w:jc w:val="both"/>
      </w:pPr>
      <w:r>
        <w:rPr>
          <w:i/>
          <w:color w:val="000000"/>
        </w:rPr>
        <w:t>85</w:t>
      </w:r>
      <w:r>
        <w:rPr>
          <w:i/>
          <w:color w:val="000000"/>
        </w:rPr>
        <w:tab/>
        <w:t>Доступно на https://www.rs.undp.org/content/serbia/sr/home/s</w:t>
      </w:r>
      <w:r>
        <w:rPr>
          <w:i/>
          <w:color w:val="000000"/>
        </w:rPr>
        <w:t>ustainable-development-goals/goal-5-gender-equality.html</w:t>
      </w:r>
    </w:p>
    <w:p w:rsidR="00BC3CE6" w:rsidRDefault="009A2DE5">
      <w:pPr>
        <w:spacing w:after="150"/>
        <w:jc w:val="both"/>
      </w:pPr>
      <w:r>
        <w:rPr>
          <w:i/>
          <w:color w:val="000000"/>
        </w:rPr>
        <w:lastRenderedPageBreak/>
        <w:t>86 The International Conference on Population and Development (ICPD) Programme of Action, Kairo 1994 доступно на https://www.unfpa.org/sites/default/files/pub-pdf/programme_of_action_Web%20ENGLISH.pd</w:t>
      </w:r>
      <w:r>
        <w:rPr>
          <w:i/>
          <w:color w:val="000000"/>
        </w:rPr>
        <w:t>f, приступ: 24.12.2019.</w:t>
      </w:r>
    </w:p>
    <w:p w:rsidR="00BC3CE6" w:rsidRDefault="009A2DE5">
      <w:pPr>
        <w:spacing w:after="150"/>
        <w:jc w:val="both"/>
      </w:pPr>
      <w:r>
        <w:rPr>
          <w:i/>
          <w:color w:val="000000"/>
        </w:rPr>
        <w:t>87 Декларација и Платформа за акцију усвојене су 15. IX 1995. године на Четвртој светској конференцији о женама. Доступно на: http://www.e-jednakost.org.rs/kurs/kurs/download/pekinska_deklaracija.pdf</w:t>
      </w:r>
    </w:p>
    <w:p w:rsidR="00BC3CE6" w:rsidRDefault="009A2DE5">
      <w:pPr>
        <w:spacing w:after="150"/>
        <w:jc w:val="both"/>
      </w:pPr>
      <w:r>
        <w:rPr>
          <w:i/>
          <w:color w:val="000000"/>
        </w:rPr>
        <w:t>88</w:t>
      </w:r>
      <w:r>
        <w:rPr>
          <w:i/>
          <w:color w:val="000000"/>
        </w:rPr>
        <w:tab/>
        <w:t>Доступно на: https://www.wome</w:t>
      </w:r>
      <w:r>
        <w:rPr>
          <w:i/>
          <w:color w:val="000000"/>
        </w:rPr>
        <w:t>nngo.org.rs/vesti/vesti-arhiva-2006-2011/24-vesti-arhiva-tekstovi/133-peking-15-i-paralelne-aktivnosti-ngo-foruma, приступ: 24.12.2019.</w:t>
      </w:r>
    </w:p>
    <w:p w:rsidR="00BC3CE6" w:rsidRDefault="009A2DE5">
      <w:pPr>
        <w:spacing w:after="150"/>
        <w:jc w:val="both"/>
      </w:pPr>
      <w:r>
        <w:rPr>
          <w:i/>
          <w:color w:val="000000"/>
        </w:rPr>
        <w:t>89 Доступно на: https://www.rodnaravnopravnost.gov.rs/en/node/533, приступ: 24.12.2019.</w:t>
      </w:r>
    </w:p>
    <w:p w:rsidR="00BC3CE6" w:rsidRDefault="009A2DE5">
      <w:pPr>
        <w:spacing w:after="150"/>
        <w:jc w:val="both"/>
      </w:pPr>
      <w:r>
        <w:rPr>
          <w:i/>
          <w:color w:val="000000"/>
        </w:rPr>
        <w:t>90Convention against Discriminat</w:t>
      </w:r>
      <w:r>
        <w:rPr>
          <w:i/>
          <w:color w:val="000000"/>
        </w:rPr>
        <w:t>ion in Education,adopted by the General Conference of UNESCO at its eleventh session (Paris, 14. XII 1960.). Доступно на: http://portal.unesco.org/en/ev.php- URL_ID=12949&amp;URL_DO=DO_TOPIC&amp;URL_SECTION=201.html, приступ: 24.12.2019.</w:t>
      </w:r>
    </w:p>
    <w:p w:rsidR="00BC3CE6" w:rsidRDefault="009A2DE5">
      <w:pPr>
        <w:spacing w:after="150"/>
        <w:jc w:val="both"/>
      </w:pPr>
      <w:r>
        <w:rPr>
          <w:i/>
          <w:color w:val="000000"/>
        </w:rPr>
        <w:t> </w:t>
      </w:r>
    </w:p>
    <w:p w:rsidR="00BC3CE6" w:rsidRDefault="009A2DE5">
      <w:pPr>
        <w:spacing w:after="150"/>
        <w:jc w:val="both"/>
      </w:pPr>
      <w:r>
        <w:rPr>
          <w:i/>
          <w:color w:val="000000"/>
        </w:rPr>
        <w:t xml:space="preserve">91 World Declaration on </w:t>
      </w:r>
      <w:r>
        <w:rPr>
          <w:i/>
          <w:color w:val="000000"/>
        </w:rPr>
        <w:t>Higher Education for the Twenty-first Century, Vision and Action. UNESCO, Paris, 1998. стр. 9–12. Доступно на: http://www.unesco.org/education/educprog/wche/declaration_eng.htm или http://www.unesco.org, приступ: 24. 12. 2019.</w:t>
      </w:r>
    </w:p>
    <w:p w:rsidR="00BC3CE6" w:rsidRDefault="009A2DE5">
      <w:pPr>
        <w:spacing w:after="150"/>
        <w:jc w:val="both"/>
      </w:pPr>
      <w:r>
        <w:rPr>
          <w:i/>
          <w:color w:val="000000"/>
        </w:rPr>
        <w:t>92 Конференција је одржана од</w:t>
      </w:r>
      <w:r>
        <w:rPr>
          <w:i/>
          <w:color w:val="000000"/>
        </w:rPr>
        <w:t xml:space="preserve"> 5. до 8.7.2009. године у Паризу. Доступно на: Финални извештај УНЕСКА о активностима и мерама у области високог образовања https://ukznextendedlearning.com/wp-content/uploads/2018/08/unesco-2009.pdf, приступ: 24.12 2019.</w:t>
      </w:r>
    </w:p>
    <w:p w:rsidR="00BC3CE6" w:rsidRDefault="009A2DE5">
      <w:pPr>
        <w:spacing w:after="150"/>
        <w:jc w:val="both"/>
      </w:pPr>
      <w:r>
        <w:rPr>
          <w:i/>
          <w:color w:val="000000"/>
        </w:rPr>
        <w:t xml:space="preserve">93 Усвојена 20.5.1999. Исто, стр. </w:t>
      </w:r>
      <w:r>
        <w:rPr>
          <w:i/>
          <w:color w:val="000000"/>
        </w:rPr>
        <w:t>138–141.</w:t>
      </w:r>
    </w:p>
    <w:p w:rsidR="00BC3CE6" w:rsidRDefault="009A2DE5">
      <w:pPr>
        <w:spacing w:after="150"/>
        <w:jc w:val="both"/>
      </w:pPr>
      <w:r>
        <w:rPr>
          <w:i/>
          <w:color w:val="000000"/>
        </w:rPr>
        <w:t>94 Право на образовање – политике и стратегије Yves Daudet i Kishore Singh, UNESCO, Paris https://www.right-to-education.org/sites/right-to-education.org/files/resource.attachments/UNESCO_RTE_Analysis_of_UNESCO%27s_Standard_Setting_Instruments_200</w:t>
      </w:r>
      <w:r>
        <w:rPr>
          <w:i/>
          <w:color w:val="000000"/>
        </w:rPr>
        <w:t>1_En.pdf приступ 24.11.2019.</w:t>
      </w:r>
    </w:p>
    <w:p w:rsidR="00BC3CE6" w:rsidRDefault="009A2DE5">
      <w:pPr>
        <w:spacing w:after="150"/>
        <w:jc w:val="both"/>
      </w:pPr>
      <w:r>
        <w:rPr>
          <w:i/>
          <w:color w:val="000000"/>
        </w:rPr>
        <w:t xml:space="preserve">95 Стратешки документ усвојен 1.11.2019. године од стране сталне радна група Европског комитета за област истраживања и иновација, а у поводу 20 – те годишњице од усвајања првог документа Европске комисије о женама у науци. </w:t>
      </w:r>
      <w:r>
        <w:rPr>
          <w:i/>
          <w:color w:val="000000"/>
        </w:rPr>
        <w:t>https://ec.europa.eu/research/swafs/index.cfm?pg=policy&amp;lib=gender приступ 25.11.2019.</w:t>
      </w:r>
    </w:p>
    <w:p w:rsidR="00BC3CE6" w:rsidRDefault="009A2DE5">
      <w:pPr>
        <w:spacing w:after="150"/>
        <w:jc w:val="both"/>
      </w:pPr>
      <w:r>
        <w:rPr>
          <w:i/>
          <w:color w:val="000000"/>
        </w:rPr>
        <w:t xml:space="preserve">96 Усвојена 10.2.1975. године Позната као Директива о једнаким могућностима. Извор: Пајванчић, М. Петрушић, Н. и др. Коментар закона о родној равноправности, ФЕС, 2010. </w:t>
      </w:r>
      <w:r>
        <w:rPr>
          <w:i/>
          <w:color w:val="000000"/>
        </w:rPr>
        <w:t>стр. 40–43.</w:t>
      </w:r>
    </w:p>
    <w:p w:rsidR="00BC3CE6" w:rsidRDefault="009A2DE5">
      <w:pPr>
        <w:spacing w:after="150"/>
        <w:jc w:val="both"/>
      </w:pPr>
      <w:r>
        <w:rPr>
          <w:i/>
          <w:color w:val="000000"/>
        </w:rPr>
        <w:lastRenderedPageBreak/>
        <w:t>97 Усвојена 9.2.1976. Допуњује Директиву о једнаким могућностима. И ова Директива је допуњена и измењена Директивом 2002/73/ЕЗ ЕП и СЕ и примењује се на европском простору. Исто. стр. 43–48</w:t>
      </w:r>
    </w:p>
    <w:p w:rsidR="00BC3CE6" w:rsidRDefault="009A2DE5">
      <w:pPr>
        <w:spacing w:after="150"/>
        <w:jc w:val="both"/>
      </w:pPr>
      <w:r>
        <w:rPr>
          <w:i/>
          <w:color w:val="000000"/>
        </w:rPr>
        <w:t>98 Усвојена 27.11 1991. Исто, стр. 114–129.</w:t>
      </w:r>
    </w:p>
    <w:p w:rsidR="00BC3CE6" w:rsidRDefault="009A2DE5">
      <w:pPr>
        <w:spacing w:after="150"/>
        <w:jc w:val="both"/>
      </w:pPr>
      <w:r>
        <w:rPr>
          <w:i/>
          <w:color w:val="000000"/>
        </w:rPr>
        <w:t>99</w:t>
      </w:r>
      <w:r>
        <w:rPr>
          <w:i/>
          <w:color w:val="000000"/>
        </w:rPr>
        <w:tab/>
        <w:t>Доступно на: http://www.unhcr.rs/media/Opsta%20deklaracija%20o%20ljudskim%20pravima%20(1948).pdf приступ 6.6.2021.</w:t>
      </w:r>
    </w:p>
    <w:p w:rsidR="00BC3CE6" w:rsidRDefault="009A2DE5">
      <w:pPr>
        <w:spacing w:after="150"/>
        <w:jc w:val="both"/>
      </w:pPr>
      <w:r>
        <w:rPr>
          <w:i/>
          <w:color w:val="000000"/>
        </w:rPr>
        <w:t>100 „Службени лист СФРЈ – Међународни уговори”, број 7/71.</w:t>
      </w:r>
    </w:p>
    <w:p w:rsidR="00BC3CE6" w:rsidRDefault="009A2DE5">
      <w:pPr>
        <w:spacing w:after="150"/>
        <w:jc w:val="both"/>
      </w:pPr>
      <w:r>
        <w:rPr>
          <w:i/>
          <w:color w:val="000000"/>
        </w:rPr>
        <w:t>101 „Службени лист СФРЈ – Међународни уговори”, број 4/01.</w:t>
      </w:r>
    </w:p>
    <w:p w:rsidR="00BC3CE6" w:rsidRDefault="009A2DE5">
      <w:pPr>
        <w:spacing w:after="150"/>
        <w:jc w:val="both"/>
      </w:pPr>
      <w:r>
        <w:rPr>
          <w:i/>
          <w:color w:val="000000"/>
        </w:rPr>
        <w:t>102 „Службени лист С</w:t>
      </w:r>
      <w:r>
        <w:rPr>
          <w:i/>
          <w:color w:val="000000"/>
        </w:rPr>
        <w:t>ФРЈ – Међународни уговори”, број 4/01.</w:t>
      </w:r>
    </w:p>
    <w:p w:rsidR="00BC3CE6" w:rsidRDefault="009A2DE5">
      <w:pPr>
        <w:spacing w:after="150"/>
        <w:jc w:val="both"/>
      </w:pPr>
      <w:r>
        <w:rPr>
          <w:i/>
          <w:color w:val="000000"/>
        </w:rPr>
        <w:t>103 „Службени лист СРЈ – Mеђународни уговори”, број 7/71.</w:t>
      </w:r>
    </w:p>
    <w:p w:rsidR="00BC3CE6" w:rsidRDefault="009A2DE5">
      <w:pPr>
        <w:spacing w:after="150"/>
        <w:jc w:val="both"/>
      </w:pPr>
      <w:r>
        <w:rPr>
          <w:i/>
          <w:color w:val="000000"/>
        </w:rPr>
        <w:t>104 Report of the third United Nations Conference to Review Progress Made in the Implementation of the Programme of Action to Prevent, Combat and Eradicate the</w:t>
      </w:r>
      <w:r>
        <w:rPr>
          <w:i/>
          <w:color w:val="000000"/>
        </w:rPr>
        <w:t xml:space="preserve"> Illicit Trade in Small Arms and Light Weapons in All Its Aspects, УН, 2018. Доступно на http://www.mzprs.org, приступ: 6.6.2021.</w:t>
      </w:r>
    </w:p>
    <w:p w:rsidR="00BC3CE6" w:rsidRDefault="009A2DE5">
      <w:pPr>
        <w:spacing w:after="150"/>
        <w:jc w:val="both"/>
      </w:pPr>
      <w:r>
        <w:rPr>
          <w:i/>
          <w:color w:val="000000"/>
        </w:rPr>
        <w:t>105 United Nations Office For Disarmament Affairs Gender Mainstreaming Action Plan, https://www.un.org/disarmament/wp-content/</w:t>
      </w:r>
      <w:r>
        <w:rPr>
          <w:i/>
          <w:color w:val="000000"/>
        </w:rPr>
        <w:t>uploads/2016/06/update-gender-action-plan-2016.pdf, приступ: 6.6.2021.</w:t>
      </w:r>
    </w:p>
    <w:p w:rsidR="00BC3CE6" w:rsidRDefault="009A2DE5">
      <w:pPr>
        <w:spacing w:after="150"/>
        <w:jc w:val="both"/>
      </w:pPr>
      <w:r>
        <w:rPr>
          <w:i/>
          <w:color w:val="000000"/>
        </w:rPr>
        <w:t>106 Декларација и Платформа за акцију усвојене су 15. IX 1995. године на Четвртој светској конференцији о женама. Доступно на: http://www.e-jednakost.org.rs/kurs/kurs/download/pekinska_</w:t>
      </w:r>
      <w:r>
        <w:rPr>
          <w:i/>
          <w:color w:val="000000"/>
        </w:rPr>
        <w:t>deklaracija.pdf, приступ: 6.6.2021.</w:t>
      </w:r>
    </w:p>
    <w:p w:rsidR="00BC3CE6" w:rsidRDefault="009A2DE5">
      <w:pPr>
        <w:spacing w:after="150"/>
        <w:jc w:val="both"/>
      </w:pPr>
      <w:r>
        <w:rPr>
          <w:i/>
          <w:color w:val="000000"/>
        </w:rPr>
        <w:t>107 Доступно на: https://www.womenngo.org.rs/vesti/vesti-arhiva-2006-2011/24-vesti-arhiva-tekstovi/133-peking-15-i-paralelne-aktivnosti-ngo-foruma, приступ: 6.6.2021.</w:t>
      </w:r>
    </w:p>
    <w:p w:rsidR="00BC3CE6" w:rsidRDefault="009A2DE5">
      <w:pPr>
        <w:spacing w:after="150"/>
        <w:jc w:val="both"/>
      </w:pPr>
      <w:r>
        <w:rPr>
          <w:i/>
          <w:color w:val="000000"/>
        </w:rPr>
        <w:t>108 Доступно на: https://www.rodnaravnopravnost.gov.r</w:t>
      </w:r>
      <w:r>
        <w:rPr>
          <w:i/>
          <w:color w:val="000000"/>
        </w:rPr>
        <w:t>s/en/node/533, приступ: 6.6.2021.</w:t>
      </w:r>
    </w:p>
    <w:p w:rsidR="00BC3CE6" w:rsidRDefault="009A2DE5">
      <w:pPr>
        <w:spacing w:after="150"/>
        <w:jc w:val="both"/>
      </w:pPr>
      <w:r>
        <w:rPr>
          <w:i/>
          <w:color w:val="000000"/>
        </w:rPr>
        <w:t>109 „Службени лист СЦГ – Међународни уговори”, бр. 9/03, 5/05. и 7/05. – исправка и „Службени гласник РС”– Међународни уговори”, бр. 12/10 и 10/15.</w:t>
      </w:r>
    </w:p>
    <w:p w:rsidR="00BC3CE6" w:rsidRDefault="009A2DE5">
      <w:pPr>
        <w:spacing w:after="150"/>
        <w:jc w:val="both"/>
      </w:pPr>
      <w:r>
        <w:rPr>
          <w:i/>
          <w:color w:val="000000"/>
        </w:rPr>
        <w:t>110</w:t>
      </w:r>
      <w:r>
        <w:rPr>
          <w:i/>
          <w:color w:val="000000"/>
        </w:rPr>
        <w:tab/>
        <w:t>Доступно на https://eur-lex.europa.eu/legal-content/HR/TXT/?uri=CELEX%</w:t>
      </w:r>
      <w:r>
        <w:rPr>
          <w:i/>
          <w:color w:val="000000"/>
        </w:rPr>
        <w:t>3A12016P%2FTXT, приступ: 6.6.2021.</w:t>
      </w:r>
    </w:p>
    <w:p w:rsidR="00BC3CE6" w:rsidRDefault="009A2DE5">
      <w:pPr>
        <w:spacing w:after="150"/>
        <w:jc w:val="both"/>
      </w:pPr>
      <w:r>
        <w:rPr>
          <w:i/>
          <w:color w:val="000000"/>
        </w:rPr>
        <w:t>111 Усвојена у марту 2019. године, Доступно на: https://ljudskaprava.gov.rs/sr/node/156, приступ: 6.6.2021.</w:t>
      </w:r>
    </w:p>
    <w:p w:rsidR="00BC3CE6" w:rsidRDefault="009A2DE5">
      <w:pPr>
        <w:spacing w:after="150"/>
        <w:jc w:val="both"/>
      </w:pPr>
      <w:r>
        <w:rPr>
          <w:i/>
          <w:color w:val="000000"/>
        </w:rPr>
        <w:t>112 „Службени гласник РС”, број 12/13.</w:t>
      </w:r>
    </w:p>
    <w:p w:rsidR="00BC3CE6" w:rsidRDefault="009A2DE5">
      <w:pPr>
        <w:spacing w:after="150"/>
        <w:jc w:val="both"/>
      </w:pPr>
      <w:r>
        <w:rPr>
          <w:i/>
          <w:color w:val="000000"/>
        </w:rPr>
        <w:t>113 Усвојена на Четвртој европској конференцији министара о једнакости жен</w:t>
      </w:r>
      <w:r>
        <w:rPr>
          <w:i/>
          <w:color w:val="000000"/>
        </w:rPr>
        <w:t>а и мушкараца (1997). Исто. стр. 11–28.</w:t>
      </w:r>
    </w:p>
    <w:p w:rsidR="00BC3CE6" w:rsidRDefault="009A2DE5">
      <w:pPr>
        <w:spacing w:after="150"/>
        <w:jc w:val="both"/>
      </w:pPr>
      <w:r>
        <w:rPr>
          <w:i/>
          <w:color w:val="000000"/>
        </w:rPr>
        <w:lastRenderedPageBreak/>
        <w:t>114 „Службени гласник РС”– Међународни уговори”, број 12/13.</w:t>
      </w:r>
    </w:p>
    <w:p w:rsidR="00BC3CE6" w:rsidRDefault="009A2DE5">
      <w:pPr>
        <w:spacing w:after="150"/>
        <w:jc w:val="both"/>
      </w:pPr>
      <w:r>
        <w:rPr>
          <w:i/>
          <w:color w:val="000000"/>
        </w:rPr>
        <w:t>115 Уговор о оснивању Европске заједнице (измењен и допуњен Амстердамским уговором) – чл. 2, 3, 13, 136, 137, 141 и 251. Извор: Родна равноправност у међун</w:t>
      </w:r>
      <w:r>
        <w:rPr>
          <w:i/>
          <w:color w:val="000000"/>
        </w:rPr>
        <w:t>ародним документима – ЕУ, Канцеларија за равноправност полова Владе Црне Горе, 2005. стр. 7–14.</w:t>
      </w:r>
    </w:p>
    <w:p w:rsidR="00BC3CE6" w:rsidRDefault="009A2DE5">
      <w:pPr>
        <w:spacing w:after="150"/>
        <w:jc w:val="both"/>
      </w:pPr>
      <w:r>
        <w:rPr>
          <w:i/>
          <w:color w:val="000000"/>
        </w:rPr>
        <w:t>116 http://assembly.coe.int/Main.asp?link=/Documents/AdoptedText/ta04/ERES1366.htm, приступ: 6.6.2021.</w:t>
      </w:r>
    </w:p>
    <w:p w:rsidR="00BC3CE6" w:rsidRDefault="009A2DE5">
      <w:pPr>
        <w:spacing w:after="150"/>
        <w:jc w:val="both"/>
      </w:pPr>
      <w:r>
        <w:rPr>
          <w:i/>
          <w:color w:val="000000"/>
        </w:rPr>
        <w:t>117 Исто, стр. 147–151.</w:t>
      </w:r>
    </w:p>
    <w:p w:rsidR="00BC3CE6" w:rsidRDefault="009A2DE5">
      <w:pPr>
        <w:spacing w:after="150"/>
        <w:jc w:val="both"/>
      </w:pPr>
      <w:r>
        <w:rPr>
          <w:i/>
          <w:color w:val="000000"/>
        </w:rPr>
        <w:t>118 Усвојена 2006. http://www.fra</w:t>
      </w:r>
      <w:r>
        <w:rPr>
          <w:i/>
          <w:color w:val="000000"/>
        </w:rPr>
        <w:t>uensicherheitsrat.de/data/EP-WIIP-FINAL.pdf, приступ: 6.6.2021.</w:t>
      </w:r>
    </w:p>
    <w:p w:rsidR="00BC3CE6" w:rsidRDefault="009A2DE5">
      <w:pPr>
        <w:spacing w:after="150"/>
        <w:jc w:val="both"/>
      </w:pPr>
      <w:r>
        <w:rPr>
          <w:i/>
          <w:color w:val="000000"/>
        </w:rPr>
        <w:t>119 Усвојена 15. 12. 1997. Исто, стр. 92–98.</w:t>
      </w:r>
    </w:p>
    <w:p w:rsidR="00BC3CE6" w:rsidRDefault="009A2DE5">
      <w:pPr>
        <w:spacing w:after="150"/>
        <w:jc w:val="both"/>
      </w:pPr>
      <w:r>
        <w:rPr>
          <w:i/>
          <w:color w:val="000000"/>
        </w:rPr>
        <w:t>120</w:t>
      </w:r>
      <w:r>
        <w:rPr>
          <w:i/>
          <w:color w:val="000000"/>
        </w:rPr>
        <w:tab/>
        <w:t>Доступно на: https://eur-lex.europa.eu/legal-content/HR/TXT/?uri=celex%3A32011L0036, приступ: 6.6.2021</w:t>
      </w:r>
    </w:p>
    <w:p w:rsidR="00BC3CE6" w:rsidRDefault="009A2DE5">
      <w:pPr>
        <w:spacing w:after="150"/>
        <w:jc w:val="both"/>
      </w:pPr>
      <w:r>
        <w:rPr>
          <w:i/>
          <w:color w:val="000000"/>
        </w:rPr>
        <w:t>121</w:t>
      </w:r>
      <w:r>
        <w:rPr>
          <w:i/>
          <w:color w:val="000000"/>
        </w:rPr>
        <w:tab/>
        <w:t>Доступно на: https://www.podrskazrtv</w:t>
      </w:r>
      <w:r>
        <w:rPr>
          <w:i/>
          <w:color w:val="000000"/>
        </w:rPr>
        <w:t>ama.rs/en/media/medjunarodni/DIREKTIVA-2012-29-EU.pdf, приступ: 6.6.2021</w:t>
      </w:r>
    </w:p>
    <w:p w:rsidR="00BC3CE6" w:rsidRDefault="009A2DE5">
      <w:pPr>
        <w:spacing w:after="150"/>
        <w:jc w:val="both"/>
      </w:pPr>
      <w:r>
        <w:rPr>
          <w:i/>
          <w:color w:val="000000"/>
        </w:rPr>
        <w:t>122</w:t>
      </w:r>
      <w:r>
        <w:rPr>
          <w:i/>
          <w:color w:val="000000"/>
        </w:rPr>
        <w:tab/>
        <w:t>Доступно на: https://ec.europa.eu/international-partnerships/system/files/swd_2020_284_en_final.pdf, приступ: 6.6.2021.</w:t>
      </w:r>
    </w:p>
    <w:p w:rsidR="00BC3CE6" w:rsidRDefault="009A2DE5">
      <w:pPr>
        <w:spacing w:after="150"/>
        <w:jc w:val="both"/>
      </w:pPr>
      <w:r>
        <w:rPr>
          <w:i/>
          <w:color w:val="000000"/>
        </w:rPr>
        <w:t>123 Р (90) 4 усвојена 21. 2. 1990. Исто, стр. 51–53.</w:t>
      </w:r>
    </w:p>
    <w:p w:rsidR="00BC3CE6" w:rsidRDefault="009A2DE5">
      <w:pPr>
        <w:spacing w:after="150"/>
        <w:jc w:val="both"/>
      </w:pPr>
      <w:r>
        <w:rPr>
          <w:i/>
          <w:color w:val="000000"/>
        </w:rPr>
        <w:t xml:space="preserve">124 Р </w:t>
      </w:r>
      <w:r>
        <w:rPr>
          <w:i/>
          <w:color w:val="000000"/>
        </w:rPr>
        <w:t>(1229) 1994 доступно на: http://assembly.coe.int/Main.asp?link=/Documents/AdoptedText/ta94/EREC1229.htm приступ 6.6.2021.</w:t>
      </w:r>
    </w:p>
    <w:p w:rsidR="00BC3CE6" w:rsidRDefault="009A2DE5">
      <w:pPr>
        <w:spacing w:after="150"/>
        <w:jc w:val="both"/>
      </w:pPr>
      <w:r>
        <w:rPr>
          <w:i/>
          <w:color w:val="000000"/>
        </w:rPr>
        <w:t>125 Р (2003) 3. Исто стр. 96–104.</w:t>
      </w:r>
    </w:p>
    <w:p w:rsidR="00BC3CE6" w:rsidRDefault="009A2DE5">
      <w:pPr>
        <w:spacing w:after="150"/>
        <w:jc w:val="both"/>
      </w:pPr>
      <w:r>
        <w:rPr>
          <w:i/>
          <w:color w:val="000000"/>
        </w:rPr>
        <w:t xml:space="preserve">126 Р (2002) 1555 Доступно на: </w:t>
      </w:r>
      <w:r>
        <w:rPr>
          <w:i/>
          <w:color w:val="000000"/>
        </w:rPr>
        <w:t>http://assembly.coe.int/main.asp?Link=/documents/workingdocs/doc03/edoc9801.htm, приступ: 6.6.2021.</w:t>
      </w:r>
    </w:p>
    <w:p w:rsidR="00BC3CE6" w:rsidRDefault="009A2DE5">
      <w:pPr>
        <w:spacing w:after="150"/>
        <w:jc w:val="both"/>
      </w:pPr>
      <w:r>
        <w:rPr>
          <w:i/>
          <w:color w:val="000000"/>
        </w:rPr>
        <w:t>127 Р (2010) 1899 Доступно на: http://assembly.coe.int/Mainf.asp?link=/Documents/AdoptedText/ta10/EREC1899.htm, приступ: 6.6.2021.</w:t>
      </w:r>
    </w:p>
    <w:p w:rsidR="00BC3CE6" w:rsidRDefault="009A2DE5">
      <w:pPr>
        <w:spacing w:after="150"/>
        <w:jc w:val="both"/>
      </w:pPr>
      <w:r>
        <w:rPr>
          <w:i/>
          <w:color w:val="000000"/>
        </w:rPr>
        <w:t>128 Р (68)1999 Доступно н</w:t>
      </w:r>
      <w:r>
        <w:rPr>
          <w:i/>
          <w:color w:val="000000"/>
        </w:rPr>
        <w:t>а: https://wcd.coe.int/com.instranet.InstraServlet?Index=no&amp;command=com.instranet.CmdBlobGet&amp;InstranetImage=1457647&amp;SecMode=1&amp;DocId=833426&amp;Usage=2, приступ: 6.6.2021.</w:t>
      </w:r>
    </w:p>
    <w:p w:rsidR="00BC3CE6" w:rsidRDefault="009A2DE5">
      <w:pPr>
        <w:spacing w:after="150"/>
        <w:jc w:val="both"/>
      </w:pPr>
      <w:r>
        <w:rPr>
          <w:i/>
          <w:color w:val="000000"/>
        </w:rPr>
        <w:t>129 „Службени лист СРЈ – Mеђународни уговори”, број 7/71.</w:t>
      </w:r>
    </w:p>
    <w:p w:rsidR="00BC3CE6" w:rsidRDefault="009A2DE5">
      <w:pPr>
        <w:spacing w:after="150"/>
        <w:jc w:val="both"/>
      </w:pPr>
      <w:r>
        <w:rPr>
          <w:i/>
          <w:color w:val="000000"/>
        </w:rPr>
        <w:t>130 Доступно на: https://rm.coe</w:t>
      </w:r>
      <w:r>
        <w:rPr>
          <w:i/>
          <w:color w:val="000000"/>
        </w:rPr>
        <w:t>.int/rapport-srb-en/16809cfbe6, приступ: 6.6.2021.</w:t>
      </w:r>
    </w:p>
    <w:p w:rsidR="00BC3CE6" w:rsidRDefault="009A2DE5">
      <w:pPr>
        <w:spacing w:after="150"/>
        <w:jc w:val="both"/>
      </w:pPr>
      <w:r>
        <w:rPr>
          <w:i/>
          <w:color w:val="000000"/>
        </w:rPr>
        <w:lastRenderedPageBreak/>
        <w:t>131 Закон о потврђивању ревидиране Европске социјалне повеље „Службени гласник РС”, број 42/09.</w:t>
      </w:r>
    </w:p>
    <w:p w:rsidR="00BC3CE6" w:rsidRDefault="009A2DE5">
      <w:pPr>
        <w:spacing w:after="150"/>
        <w:jc w:val="both"/>
      </w:pPr>
      <w:r>
        <w:rPr>
          <w:i/>
          <w:color w:val="000000"/>
        </w:rPr>
        <w:t>132 Закон о потврђивању Конвенције о заштити људских права и достојанства људског бића у погледу примене биол</w:t>
      </w:r>
      <w:r>
        <w:rPr>
          <w:i/>
          <w:color w:val="000000"/>
        </w:rPr>
        <w:t>огије и медицине „Службени гласник РС” – Међународни уговори”, број 12/10.</w:t>
      </w:r>
    </w:p>
    <w:p w:rsidR="00BC3CE6" w:rsidRDefault="009A2DE5">
      <w:pPr>
        <w:spacing w:after="150"/>
        <w:jc w:val="both"/>
      </w:pPr>
      <w:r>
        <w:rPr>
          <w:i/>
          <w:color w:val="000000"/>
        </w:rPr>
        <w:t>133 Закон о потврђивању конвенције „Службени гласник РС– Међународни уговори”, број 2/19.</w:t>
      </w:r>
    </w:p>
    <w:p w:rsidR="00BC3CE6" w:rsidRDefault="009A2DE5">
      <w:pPr>
        <w:spacing w:after="150"/>
        <w:jc w:val="both"/>
      </w:pPr>
      <w:r>
        <w:rPr>
          <w:i/>
          <w:color w:val="000000"/>
        </w:rPr>
        <w:t>134 Усвојена 29.6.2000. Исто, стр. 141–147.</w:t>
      </w:r>
    </w:p>
    <w:p w:rsidR="00BC3CE6" w:rsidRDefault="009A2DE5">
      <w:pPr>
        <w:spacing w:after="150"/>
        <w:jc w:val="both"/>
      </w:pPr>
      <w:r>
        <w:rPr>
          <w:i/>
          <w:color w:val="000000"/>
        </w:rPr>
        <w:t>135 Усвојена 19.12.1978. Исто, стр. 48–53.</w:t>
      </w:r>
    </w:p>
    <w:p w:rsidR="00BC3CE6" w:rsidRDefault="009A2DE5">
      <w:pPr>
        <w:spacing w:after="150"/>
        <w:jc w:val="both"/>
      </w:pPr>
      <w:r>
        <w:rPr>
          <w:i/>
          <w:color w:val="000000"/>
        </w:rPr>
        <w:t xml:space="preserve">136 </w:t>
      </w:r>
      <w:r>
        <w:rPr>
          <w:i/>
          <w:color w:val="000000"/>
        </w:rPr>
        <w:t>Усвојена 11.7.1986. Исто, стр. 52–57.</w:t>
      </w:r>
    </w:p>
    <w:p w:rsidR="00BC3CE6" w:rsidRDefault="009A2DE5">
      <w:pPr>
        <w:spacing w:after="150"/>
        <w:jc w:val="both"/>
      </w:pPr>
      <w:r>
        <w:rPr>
          <w:i/>
          <w:color w:val="000000"/>
        </w:rPr>
        <w:t>137 Усвојена 5.7.2006. Доступно на: http://www.ured-ravnopravnost.hr/slike/File/Dokumenti/Dir_2006_54_EZ_EP_i_vijeca.pdf, приступ: 6.6.2021.</w:t>
      </w:r>
    </w:p>
    <w:p w:rsidR="00BC3CE6" w:rsidRDefault="009A2DE5">
      <w:pPr>
        <w:spacing w:after="150"/>
        <w:jc w:val="both"/>
      </w:pPr>
      <w:r>
        <w:rPr>
          <w:i/>
          <w:color w:val="000000"/>
        </w:rPr>
        <w:t>138 Усвојена 19.10.1992. Исто, стр. 57–70.</w:t>
      </w:r>
    </w:p>
    <w:p w:rsidR="00BC3CE6" w:rsidRDefault="009A2DE5">
      <w:pPr>
        <w:spacing w:after="150"/>
        <w:jc w:val="both"/>
      </w:pPr>
      <w:r>
        <w:rPr>
          <w:i/>
          <w:color w:val="000000"/>
        </w:rPr>
        <w:t xml:space="preserve">139 Усвојена 3.6.1996. Исто, стр. </w:t>
      </w:r>
      <w:r>
        <w:rPr>
          <w:i/>
          <w:color w:val="000000"/>
        </w:rPr>
        <w:t>70–80.</w:t>
      </w:r>
    </w:p>
    <w:p w:rsidR="00BC3CE6" w:rsidRDefault="009A2DE5">
      <w:pPr>
        <w:spacing w:after="150"/>
        <w:jc w:val="both"/>
      </w:pPr>
      <w:r>
        <w:rPr>
          <w:i/>
          <w:color w:val="000000"/>
        </w:rPr>
        <w:t>140 Усвојена 8.3.2010. Доступно на: http://eur-lex.europa.eu/LexUriServ/LexUriServ.do?uri=OJ:L:2010:068:0013:0020:EN:PDF, приступ: 6.6.2021.</w:t>
      </w:r>
    </w:p>
    <w:p w:rsidR="00BC3CE6" w:rsidRDefault="009A2DE5">
      <w:pPr>
        <w:spacing w:after="150"/>
        <w:jc w:val="both"/>
      </w:pPr>
      <w:r>
        <w:rPr>
          <w:i/>
          <w:color w:val="000000"/>
        </w:rPr>
        <w:t>––––––––</w:t>
      </w:r>
    </w:p>
    <w:p w:rsidR="00BC3CE6" w:rsidRDefault="009A2DE5">
      <w:pPr>
        <w:spacing w:after="150"/>
        <w:jc w:val="both"/>
      </w:pPr>
      <w:r>
        <w:rPr>
          <w:i/>
          <w:color w:val="000000"/>
        </w:rPr>
        <w:t>83 Међународни документи доступни и на: http://www.stop_vaw.org/Council_of_Europe4-html</w:t>
      </w:r>
    </w:p>
    <w:p w:rsidR="00BC3CE6" w:rsidRDefault="009A2DE5">
      <w:pPr>
        <w:spacing w:after="150"/>
        <w:jc w:val="both"/>
      </w:pPr>
      <w:r>
        <w:rPr>
          <w:i/>
          <w:color w:val="000000"/>
        </w:rPr>
        <w:t>84 Доступно</w:t>
      </w:r>
      <w:r>
        <w:rPr>
          <w:i/>
          <w:color w:val="000000"/>
        </w:rPr>
        <w:t xml:space="preserve"> на https://www.rodnaravnopravnost.rs/attachments/013_Milenijumska%20deklaracija%20UN.pdf</w:t>
      </w:r>
    </w:p>
    <w:p w:rsidR="00BC3CE6" w:rsidRDefault="009A2DE5">
      <w:pPr>
        <w:spacing w:after="150"/>
        <w:jc w:val="both"/>
      </w:pPr>
      <w:r>
        <w:rPr>
          <w:i/>
          <w:color w:val="000000"/>
        </w:rPr>
        <w:t>85</w:t>
      </w:r>
      <w:r>
        <w:rPr>
          <w:i/>
          <w:color w:val="000000"/>
        </w:rPr>
        <w:tab/>
        <w:t>Доступно на https://www.rs.undp.org/content/serbia/sr/home/sustainable-development-goals/goal-5-gender-equality.html</w:t>
      </w:r>
    </w:p>
    <w:p w:rsidR="00BC3CE6" w:rsidRDefault="009A2DE5">
      <w:pPr>
        <w:spacing w:after="150"/>
        <w:jc w:val="both"/>
      </w:pPr>
      <w:r>
        <w:rPr>
          <w:i/>
          <w:color w:val="000000"/>
        </w:rPr>
        <w:t xml:space="preserve">86 The International Conference on Population </w:t>
      </w:r>
      <w:r>
        <w:rPr>
          <w:i/>
          <w:color w:val="000000"/>
        </w:rPr>
        <w:t>and Development (ICPD) Programme of Action, Kairo 1994 доступно на https://www.unfpa.org/sites/default/files/pub-pdf/programme_of_action_Web%20ENGLISH.pdf, приступ: 24.12.2019.</w:t>
      </w:r>
    </w:p>
    <w:p w:rsidR="00BC3CE6" w:rsidRDefault="009A2DE5">
      <w:pPr>
        <w:spacing w:after="150"/>
        <w:jc w:val="both"/>
      </w:pPr>
      <w:r>
        <w:rPr>
          <w:i/>
          <w:color w:val="000000"/>
        </w:rPr>
        <w:t>87 Декларација и Платформа за акцију усвојене су 15. IX 1995. године на Четврто</w:t>
      </w:r>
      <w:r>
        <w:rPr>
          <w:i/>
          <w:color w:val="000000"/>
        </w:rPr>
        <w:t>ј светској конференцији о женама. Доступно на: http://www.e-jednakost.org.rs/kurs/kurs/download/pekinska_deklaracija.pdf</w:t>
      </w:r>
    </w:p>
    <w:p w:rsidR="00BC3CE6" w:rsidRDefault="009A2DE5">
      <w:pPr>
        <w:spacing w:after="150"/>
        <w:jc w:val="both"/>
      </w:pPr>
      <w:r>
        <w:rPr>
          <w:i/>
          <w:color w:val="000000"/>
        </w:rPr>
        <w:t>88</w:t>
      </w:r>
      <w:r>
        <w:rPr>
          <w:i/>
          <w:color w:val="000000"/>
        </w:rPr>
        <w:tab/>
        <w:t>Доступно на: https://www.womenngo.org.rs/vesti/vesti-arhiva-2006-2011/24-vesti-arhiva-tekstovi/133-peking-15-i-paralelne-aktivnosti-</w:t>
      </w:r>
      <w:r>
        <w:rPr>
          <w:i/>
          <w:color w:val="000000"/>
        </w:rPr>
        <w:t>ngo-foruma, приступ: 24.12.2019.</w:t>
      </w:r>
    </w:p>
    <w:p w:rsidR="00BC3CE6" w:rsidRDefault="009A2DE5">
      <w:pPr>
        <w:spacing w:after="150"/>
        <w:jc w:val="both"/>
      </w:pPr>
      <w:r>
        <w:rPr>
          <w:i/>
          <w:color w:val="000000"/>
        </w:rPr>
        <w:lastRenderedPageBreak/>
        <w:t>89 Доступно на: https://www.rodnaravnopravnost.gov.rs/en/node/533, приступ: 24.12.2019.</w:t>
      </w:r>
    </w:p>
    <w:p w:rsidR="00BC3CE6" w:rsidRDefault="009A2DE5">
      <w:pPr>
        <w:spacing w:after="150"/>
        <w:jc w:val="both"/>
      </w:pPr>
      <w:r>
        <w:rPr>
          <w:i/>
          <w:color w:val="000000"/>
        </w:rPr>
        <w:t>90Convention against Discrimination in Education,adopted by the General Conference of UNESCO at its eleventh session (Paris, 14. XII 19</w:t>
      </w:r>
      <w:r>
        <w:rPr>
          <w:i/>
          <w:color w:val="000000"/>
        </w:rPr>
        <w:t>60.). Доступно на: http://portal.unesco.org/en/ev.php- URL_ID=12949&amp;URL_DO=DO_TOPIC&amp;URL_SECTION=201.html, приступ: 24.12.2019.</w:t>
      </w:r>
    </w:p>
    <w:p w:rsidR="00BC3CE6" w:rsidRDefault="009A2DE5">
      <w:pPr>
        <w:spacing w:after="150"/>
        <w:jc w:val="both"/>
      </w:pPr>
      <w:r>
        <w:rPr>
          <w:i/>
          <w:color w:val="000000"/>
        </w:rPr>
        <w:t> </w:t>
      </w:r>
    </w:p>
    <w:p w:rsidR="00BC3CE6" w:rsidRDefault="009A2DE5">
      <w:pPr>
        <w:spacing w:after="150"/>
        <w:jc w:val="both"/>
      </w:pPr>
      <w:r>
        <w:rPr>
          <w:i/>
          <w:color w:val="000000"/>
        </w:rPr>
        <w:t>91 World Declaration on Higher Education for the Twenty-first Century, Vision and Action. UNESCO, Paris, 1998. стр. 9–12. Досту</w:t>
      </w:r>
      <w:r>
        <w:rPr>
          <w:i/>
          <w:color w:val="000000"/>
        </w:rPr>
        <w:t>пно на: http://www.unesco.org/education/educprog/wche/declaration_eng.htm или http://www.unesco.org, приступ: 24. 12. 2019.</w:t>
      </w:r>
    </w:p>
    <w:p w:rsidR="00BC3CE6" w:rsidRDefault="009A2DE5">
      <w:pPr>
        <w:spacing w:after="150"/>
        <w:jc w:val="both"/>
      </w:pPr>
      <w:r>
        <w:rPr>
          <w:i/>
          <w:color w:val="000000"/>
        </w:rPr>
        <w:t>92 Конференција је одржана од 5. до 8.7.2009. године у Паризу. Доступно на: Финални извештај УНЕСКА о активностима и мерама у област</w:t>
      </w:r>
      <w:r>
        <w:rPr>
          <w:i/>
          <w:color w:val="000000"/>
        </w:rPr>
        <w:t>и високог образовања https://ukznextendedlearning.com/wp-content/uploads/2018/08/unesco-2009.pdf, приступ: 24.12 2019.</w:t>
      </w:r>
    </w:p>
    <w:p w:rsidR="00BC3CE6" w:rsidRDefault="009A2DE5">
      <w:pPr>
        <w:spacing w:after="150"/>
        <w:jc w:val="both"/>
      </w:pPr>
      <w:r>
        <w:rPr>
          <w:i/>
          <w:color w:val="000000"/>
        </w:rPr>
        <w:t>93 Усвојена 20.5.1999. Исто, стр. 138–141.</w:t>
      </w:r>
    </w:p>
    <w:p w:rsidR="00BC3CE6" w:rsidRDefault="009A2DE5">
      <w:pPr>
        <w:spacing w:after="150"/>
        <w:jc w:val="both"/>
      </w:pPr>
      <w:r>
        <w:rPr>
          <w:i/>
          <w:color w:val="000000"/>
        </w:rPr>
        <w:t xml:space="preserve">94 Право на образовање – политике и стратегије Yves Daudet i Kishore Singh, UNESCO, Paris </w:t>
      </w:r>
      <w:r>
        <w:rPr>
          <w:i/>
          <w:color w:val="000000"/>
        </w:rPr>
        <w:t>https://www.right-to-education.org/sites/right-to-education.org/files/resource.attachments/UNESCO_RTE_Analysis_of_UNESCO%27s_Standard_Setting_Instruments_2001_En.pdf приступ 24.11.2019.</w:t>
      </w:r>
    </w:p>
    <w:p w:rsidR="00BC3CE6" w:rsidRDefault="009A2DE5">
      <w:pPr>
        <w:spacing w:after="150"/>
        <w:jc w:val="both"/>
      </w:pPr>
      <w:r>
        <w:rPr>
          <w:i/>
          <w:color w:val="000000"/>
        </w:rPr>
        <w:t>95 Стратешки документ усвојен 1.11.2019. године од стране сталне радна</w:t>
      </w:r>
      <w:r>
        <w:rPr>
          <w:i/>
          <w:color w:val="000000"/>
        </w:rPr>
        <w:t xml:space="preserve"> група Европског комитета за област истраживања и иновација, а у поводу 20 – те годишњице од усвајања првог документа Европске комисије о женама у науци. https://ec.europa.eu/research/swafs/index.cfm?pg=policy&amp;lib=gender приступ 25.11.2019.</w:t>
      </w:r>
    </w:p>
    <w:p w:rsidR="00BC3CE6" w:rsidRDefault="009A2DE5">
      <w:pPr>
        <w:spacing w:after="150"/>
        <w:jc w:val="both"/>
      </w:pPr>
      <w:r>
        <w:rPr>
          <w:i/>
          <w:color w:val="000000"/>
        </w:rPr>
        <w:t>96 Усвојена 10.</w:t>
      </w:r>
      <w:r>
        <w:rPr>
          <w:i/>
          <w:color w:val="000000"/>
        </w:rPr>
        <w:t>2.1975. године Позната као Директива о једнаким могућностима. Извор: Пајванчић, М. Петрушић, Н. и др. Коментар закона о родној равноправности, ФЕС, 2010. стр. 40–43.</w:t>
      </w:r>
    </w:p>
    <w:p w:rsidR="00BC3CE6" w:rsidRDefault="009A2DE5">
      <w:pPr>
        <w:spacing w:after="150"/>
        <w:jc w:val="both"/>
      </w:pPr>
      <w:r>
        <w:rPr>
          <w:i/>
          <w:color w:val="000000"/>
        </w:rPr>
        <w:t>97 Усвојена 9.2.1976. Допуњује Директиву о једнаким могућностима. И ова Директива је допуњ</w:t>
      </w:r>
      <w:r>
        <w:rPr>
          <w:i/>
          <w:color w:val="000000"/>
        </w:rPr>
        <w:t>ена и измењена Директивом 2002/73/ЕЗ ЕП и СЕ и примењује се на европском простору. Исто. стр. 43–48</w:t>
      </w:r>
    </w:p>
    <w:p w:rsidR="00BC3CE6" w:rsidRDefault="009A2DE5">
      <w:pPr>
        <w:spacing w:after="150"/>
        <w:jc w:val="both"/>
      </w:pPr>
      <w:r>
        <w:rPr>
          <w:i/>
          <w:color w:val="000000"/>
        </w:rPr>
        <w:t>98 Усвојена 27.11 1991. Исто, стр. 114–129.</w:t>
      </w:r>
    </w:p>
    <w:p w:rsidR="00BC3CE6" w:rsidRDefault="009A2DE5">
      <w:pPr>
        <w:spacing w:after="150"/>
        <w:jc w:val="both"/>
      </w:pPr>
      <w:r>
        <w:rPr>
          <w:i/>
          <w:color w:val="000000"/>
        </w:rPr>
        <w:t>99</w:t>
      </w:r>
      <w:r>
        <w:rPr>
          <w:i/>
          <w:color w:val="000000"/>
        </w:rPr>
        <w:tab/>
        <w:t>Доступно на: http://www.unhcr.rs/media/Opsta%20deklaracija%20o%20ljudskim%20pravima%20(1948).pdf приступ 6.6.</w:t>
      </w:r>
      <w:r>
        <w:rPr>
          <w:i/>
          <w:color w:val="000000"/>
        </w:rPr>
        <w:t>2021.</w:t>
      </w:r>
    </w:p>
    <w:p w:rsidR="00BC3CE6" w:rsidRDefault="009A2DE5">
      <w:pPr>
        <w:spacing w:after="150"/>
        <w:jc w:val="both"/>
      </w:pPr>
      <w:r>
        <w:rPr>
          <w:i/>
          <w:color w:val="000000"/>
        </w:rPr>
        <w:t>100 „Службени лист СФРЈ – Међународни уговори”, број 7/71.</w:t>
      </w:r>
    </w:p>
    <w:p w:rsidR="00BC3CE6" w:rsidRDefault="009A2DE5">
      <w:pPr>
        <w:spacing w:after="150"/>
        <w:jc w:val="both"/>
      </w:pPr>
      <w:r>
        <w:rPr>
          <w:i/>
          <w:color w:val="000000"/>
        </w:rPr>
        <w:t>101 „Службени лист СФРЈ – Међународни уговори”, број 4/01.</w:t>
      </w:r>
    </w:p>
    <w:p w:rsidR="00BC3CE6" w:rsidRDefault="009A2DE5">
      <w:pPr>
        <w:spacing w:after="150"/>
        <w:jc w:val="both"/>
      </w:pPr>
      <w:r>
        <w:rPr>
          <w:i/>
          <w:color w:val="000000"/>
        </w:rPr>
        <w:lastRenderedPageBreak/>
        <w:t>102 „Службени лист СФРЈ – Међународни уговори”, број 4/01.</w:t>
      </w:r>
    </w:p>
    <w:p w:rsidR="00BC3CE6" w:rsidRDefault="009A2DE5">
      <w:pPr>
        <w:spacing w:after="150"/>
        <w:jc w:val="both"/>
      </w:pPr>
      <w:r>
        <w:rPr>
          <w:i/>
          <w:color w:val="000000"/>
        </w:rPr>
        <w:t>103 „Службени лист СРЈ – Mеђународни уговори”, број 7/71.</w:t>
      </w:r>
    </w:p>
    <w:p w:rsidR="00BC3CE6" w:rsidRDefault="009A2DE5">
      <w:pPr>
        <w:spacing w:after="150"/>
        <w:jc w:val="both"/>
      </w:pPr>
      <w:r>
        <w:rPr>
          <w:i/>
          <w:color w:val="000000"/>
        </w:rPr>
        <w:t>104 Report of t</w:t>
      </w:r>
      <w:r>
        <w:rPr>
          <w:i/>
          <w:color w:val="000000"/>
        </w:rPr>
        <w:t>he third United Nations Conference to Review Progress Made in the Implementation of the Programme of Action to Prevent, Combat and Eradicate the Illicit Trade in Small Arms and Light Weapons in All Its Aspects, УН, 2018. Доступно на http://www.mzprs.org, п</w:t>
      </w:r>
      <w:r>
        <w:rPr>
          <w:i/>
          <w:color w:val="000000"/>
        </w:rPr>
        <w:t>риступ: 6.6.2021.</w:t>
      </w:r>
    </w:p>
    <w:p w:rsidR="00BC3CE6" w:rsidRDefault="009A2DE5">
      <w:pPr>
        <w:spacing w:after="150"/>
        <w:jc w:val="both"/>
      </w:pPr>
      <w:r>
        <w:rPr>
          <w:i/>
          <w:color w:val="000000"/>
        </w:rPr>
        <w:t>105 United Nations Office For Disarmament Affairs Gender Mainstreaming Action Plan, https://www.un.org/disarmament/wp-content/uploads/2016/06/update-gender-action-plan-2016.pdf, приступ: 6.6.2021.</w:t>
      </w:r>
    </w:p>
    <w:p w:rsidR="00BC3CE6" w:rsidRDefault="009A2DE5">
      <w:pPr>
        <w:spacing w:after="150"/>
        <w:jc w:val="both"/>
      </w:pPr>
      <w:r>
        <w:rPr>
          <w:i/>
          <w:color w:val="000000"/>
        </w:rPr>
        <w:t>106 Декларација и Платформа за акцију усв</w:t>
      </w:r>
      <w:r>
        <w:rPr>
          <w:i/>
          <w:color w:val="000000"/>
        </w:rPr>
        <w:t>ојене су 15. IX 1995. године на Четвртој светској конференцији о женама. Доступно на: http://www.e-jednakost.org.rs/kurs/kurs/download/pekinska_deklaracija.pdf, приступ: 6.6.2021.</w:t>
      </w:r>
    </w:p>
    <w:p w:rsidR="00BC3CE6" w:rsidRDefault="009A2DE5">
      <w:pPr>
        <w:spacing w:after="150"/>
        <w:jc w:val="both"/>
      </w:pPr>
      <w:r>
        <w:rPr>
          <w:i/>
          <w:color w:val="000000"/>
        </w:rPr>
        <w:t>107 Доступно на: https://www.womenngo.org.rs/vesti/vesti-arhiva-2006-2011/24</w:t>
      </w:r>
      <w:r>
        <w:rPr>
          <w:i/>
          <w:color w:val="000000"/>
        </w:rPr>
        <w:t>-vesti-arhiva-tekstovi/133-peking-15-i-paralelne-aktivnosti-ngo-foruma, приступ: 6.6.2021.</w:t>
      </w:r>
    </w:p>
    <w:p w:rsidR="00BC3CE6" w:rsidRDefault="009A2DE5">
      <w:pPr>
        <w:spacing w:after="150"/>
        <w:jc w:val="both"/>
      </w:pPr>
      <w:r>
        <w:rPr>
          <w:i/>
          <w:color w:val="000000"/>
        </w:rPr>
        <w:t>108 Доступно на: https://www.rodnaravnopravnost.gov.rs/en/node/533, приступ: 6.6.2021.</w:t>
      </w:r>
    </w:p>
    <w:p w:rsidR="00BC3CE6" w:rsidRDefault="009A2DE5">
      <w:pPr>
        <w:spacing w:after="150"/>
        <w:jc w:val="both"/>
      </w:pPr>
      <w:r>
        <w:rPr>
          <w:i/>
          <w:color w:val="000000"/>
        </w:rPr>
        <w:t>109 „Службени лист СЦГ – Међународни уговори”, бр. 9/03, 5/05. и 7/05. – испра</w:t>
      </w:r>
      <w:r>
        <w:rPr>
          <w:i/>
          <w:color w:val="000000"/>
        </w:rPr>
        <w:t>вка и „Службени гласник РС”– Међународни уговори”, бр. 12/10 и 10/15.</w:t>
      </w:r>
    </w:p>
    <w:p w:rsidR="00BC3CE6" w:rsidRDefault="009A2DE5">
      <w:pPr>
        <w:spacing w:after="150"/>
        <w:jc w:val="both"/>
      </w:pPr>
      <w:r>
        <w:rPr>
          <w:i/>
          <w:color w:val="000000"/>
        </w:rPr>
        <w:t>110</w:t>
      </w:r>
      <w:r>
        <w:rPr>
          <w:i/>
          <w:color w:val="000000"/>
        </w:rPr>
        <w:tab/>
        <w:t>Доступно на https://eur-lex.europa.eu/legal-content/HR/TXT/?uri=CELEX%3A12016P%2FTXT, приступ: 6.6.2021.</w:t>
      </w:r>
    </w:p>
    <w:p w:rsidR="00BC3CE6" w:rsidRDefault="009A2DE5">
      <w:pPr>
        <w:spacing w:after="150"/>
        <w:jc w:val="both"/>
      </w:pPr>
      <w:r>
        <w:rPr>
          <w:i/>
          <w:color w:val="000000"/>
        </w:rPr>
        <w:t>111 Усвојена у марту 2019. године, Доступно на: https://ljudskaprava.gov.rs/s</w:t>
      </w:r>
      <w:r>
        <w:rPr>
          <w:i/>
          <w:color w:val="000000"/>
        </w:rPr>
        <w:t>r/node/156, приступ: 6.6.2021.</w:t>
      </w:r>
    </w:p>
    <w:p w:rsidR="00BC3CE6" w:rsidRDefault="009A2DE5">
      <w:pPr>
        <w:spacing w:after="150"/>
        <w:jc w:val="both"/>
      </w:pPr>
      <w:r>
        <w:rPr>
          <w:i/>
          <w:color w:val="000000"/>
        </w:rPr>
        <w:t>112</w:t>
      </w:r>
      <w:r>
        <w:rPr>
          <w:i/>
          <w:color w:val="000000"/>
        </w:rPr>
        <w:tab/>
        <w:t>„Службени гласник РС”, број 12/13.</w:t>
      </w:r>
    </w:p>
    <w:p w:rsidR="00BC3CE6" w:rsidRDefault="009A2DE5">
      <w:pPr>
        <w:spacing w:after="150"/>
        <w:jc w:val="both"/>
      </w:pPr>
      <w:r>
        <w:rPr>
          <w:i/>
          <w:color w:val="000000"/>
        </w:rPr>
        <w:t>113 Усвојена на Четвртој европској конференцији министара о једнакости жена и мушкараца (1997). Исто. стр. 11–28.</w:t>
      </w:r>
    </w:p>
    <w:p w:rsidR="00BC3CE6" w:rsidRDefault="009A2DE5">
      <w:pPr>
        <w:spacing w:after="150"/>
        <w:jc w:val="both"/>
      </w:pPr>
      <w:r>
        <w:rPr>
          <w:i/>
          <w:color w:val="000000"/>
        </w:rPr>
        <w:t>114 „Службени гласник РС”– Међународни уговори”, број 12/13.</w:t>
      </w:r>
    </w:p>
    <w:p w:rsidR="00BC3CE6" w:rsidRDefault="009A2DE5">
      <w:pPr>
        <w:spacing w:after="150"/>
        <w:jc w:val="both"/>
      </w:pPr>
      <w:r>
        <w:rPr>
          <w:i/>
          <w:color w:val="000000"/>
        </w:rPr>
        <w:t xml:space="preserve">115 Уговор </w:t>
      </w:r>
      <w:r>
        <w:rPr>
          <w:i/>
          <w:color w:val="000000"/>
        </w:rPr>
        <w:t>о оснивању Европске заједнице (измењен и допуњен Амстердамским уговором) – чл. 2, 3, 13, 136, 137, 141 и 251. Извор: Родна равноправност у међународним документима – ЕУ, Канцеларија за равноправност полова Владе Црне Горе, 2005. стр. 7–14.</w:t>
      </w:r>
    </w:p>
    <w:p w:rsidR="00BC3CE6" w:rsidRDefault="009A2DE5">
      <w:pPr>
        <w:spacing w:after="150"/>
        <w:jc w:val="both"/>
      </w:pPr>
      <w:r>
        <w:rPr>
          <w:i/>
          <w:color w:val="000000"/>
        </w:rPr>
        <w:t>116 http://assem</w:t>
      </w:r>
      <w:r>
        <w:rPr>
          <w:i/>
          <w:color w:val="000000"/>
        </w:rPr>
        <w:t>bly.coe.int/Main.asp?link=/Documents/AdoptedText/ta04/ERES1366.htm, приступ: 6.6.2021.</w:t>
      </w:r>
    </w:p>
    <w:p w:rsidR="00BC3CE6" w:rsidRDefault="009A2DE5">
      <w:pPr>
        <w:spacing w:after="150"/>
        <w:jc w:val="both"/>
      </w:pPr>
      <w:r>
        <w:rPr>
          <w:i/>
          <w:color w:val="000000"/>
        </w:rPr>
        <w:t>117 Исто, стр. 147–151.</w:t>
      </w:r>
    </w:p>
    <w:p w:rsidR="00BC3CE6" w:rsidRDefault="009A2DE5">
      <w:pPr>
        <w:spacing w:after="150"/>
        <w:jc w:val="both"/>
      </w:pPr>
      <w:r>
        <w:rPr>
          <w:i/>
          <w:color w:val="000000"/>
        </w:rPr>
        <w:lastRenderedPageBreak/>
        <w:t>118 Усвојена 2006. http://www.frauensicherheitsrat.de/data/EP-WIIP-FINAL.pdf, приступ: 6.6.2021.</w:t>
      </w:r>
    </w:p>
    <w:p w:rsidR="00BC3CE6" w:rsidRDefault="009A2DE5">
      <w:pPr>
        <w:spacing w:after="150"/>
        <w:jc w:val="both"/>
      </w:pPr>
      <w:r>
        <w:rPr>
          <w:i/>
          <w:color w:val="000000"/>
        </w:rPr>
        <w:t>119 Усвојена 15. 12. 1997. Исто, стр. 92–98.</w:t>
      </w:r>
    </w:p>
    <w:p w:rsidR="00BC3CE6" w:rsidRDefault="009A2DE5">
      <w:pPr>
        <w:spacing w:after="150"/>
        <w:jc w:val="both"/>
      </w:pPr>
      <w:r>
        <w:rPr>
          <w:i/>
          <w:color w:val="000000"/>
        </w:rPr>
        <w:t>120</w:t>
      </w:r>
      <w:r>
        <w:rPr>
          <w:i/>
          <w:color w:val="000000"/>
        </w:rPr>
        <w:tab/>
        <w:t>Доступно на: https://eur-lex.europa.eu/legal-content/HR/TXT/?uri=celex%3A32011L0036, приступ: 6.6.2021</w:t>
      </w:r>
    </w:p>
    <w:p w:rsidR="00BC3CE6" w:rsidRDefault="009A2DE5">
      <w:pPr>
        <w:spacing w:after="150"/>
        <w:jc w:val="both"/>
      </w:pPr>
      <w:r>
        <w:rPr>
          <w:i/>
          <w:color w:val="000000"/>
        </w:rPr>
        <w:t>121</w:t>
      </w:r>
      <w:r>
        <w:rPr>
          <w:i/>
          <w:color w:val="000000"/>
        </w:rPr>
        <w:tab/>
        <w:t>Доступно на: https://www.podrskazrtvama.rs/en/media/medjunarodni/DIREKTIVA-2012-29-EU.pdf, приступ: 6.6.2021</w:t>
      </w:r>
    </w:p>
    <w:p w:rsidR="00BC3CE6" w:rsidRDefault="009A2DE5">
      <w:pPr>
        <w:spacing w:after="150"/>
        <w:jc w:val="both"/>
      </w:pPr>
      <w:r>
        <w:rPr>
          <w:i/>
          <w:color w:val="000000"/>
        </w:rPr>
        <w:t>122</w:t>
      </w:r>
      <w:r>
        <w:rPr>
          <w:i/>
          <w:color w:val="000000"/>
        </w:rPr>
        <w:tab/>
        <w:t xml:space="preserve">Доступно на: </w:t>
      </w:r>
      <w:r>
        <w:rPr>
          <w:i/>
          <w:color w:val="000000"/>
        </w:rPr>
        <w:t>https://ec.europa.eu/international-partnerships/system/files/swd_2020_284_en_final.pdf, приступ: 6.6.2021.</w:t>
      </w:r>
    </w:p>
    <w:p w:rsidR="00BC3CE6" w:rsidRDefault="009A2DE5">
      <w:pPr>
        <w:spacing w:after="150"/>
        <w:jc w:val="both"/>
      </w:pPr>
      <w:r>
        <w:rPr>
          <w:i/>
          <w:color w:val="000000"/>
        </w:rPr>
        <w:t>123 Р (90) 4 усвојена 21. 2. 1990. Исто, стр. 51–53.</w:t>
      </w:r>
    </w:p>
    <w:p w:rsidR="00BC3CE6" w:rsidRDefault="009A2DE5">
      <w:pPr>
        <w:spacing w:after="150"/>
        <w:jc w:val="both"/>
      </w:pPr>
      <w:r>
        <w:rPr>
          <w:i/>
          <w:color w:val="000000"/>
        </w:rPr>
        <w:t>124 Р (1229) 1994 доступно на: http://assembly.coe.int/Main.asp?link=/Documents/AdoptedText/ta94</w:t>
      </w:r>
      <w:r>
        <w:rPr>
          <w:i/>
          <w:color w:val="000000"/>
        </w:rPr>
        <w:t>/EREC1229.htm приступ 6.6.2021.</w:t>
      </w:r>
    </w:p>
    <w:p w:rsidR="00BC3CE6" w:rsidRDefault="009A2DE5">
      <w:pPr>
        <w:spacing w:after="150"/>
        <w:jc w:val="both"/>
      </w:pPr>
      <w:r>
        <w:rPr>
          <w:i/>
          <w:color w:val="000000"/>
        </w:rPr>
        <w:t>125 Р (2003) 3. Исто стр. 96–104.</w:t>
      </w:r>
    </w:p>
    <w:p w:rsidR="00BC3CE6" w:rsidRDefault="009A2DE5">
      <w:pPr>
        <w:spacing w:after="150"/>
        <w:jc w:val="both"/>
      </w:pPr>
      <w:r>
        <w:rPr>
          <w:i/>
          <w:color w:val="000000"/>
        </w:rPr>
        <w:t>126 Р (2002) 1555 Доступно на: http://assembly.coe.int/main.asp?Link=/documents/workingdocs/doc03/edoc9801.htm, приступ: 6.6.2021.</w:t>
      </w:r>
    </w:p>
    <w:p w:rsidR="00BC3CE6" w:rsidRDefault="009A2DE5">
      <w:pPr>
        <w:spacing w:after="150"/>
        <w:jc w:val="both"/>
      </w:pPr>
      <w:r>
        <w:rPr>
          <w:i/>
          <w:color w:val="000000"/>
        </w:rPr>
        <w:t>127 Р (2010) 1899 Доступно на: http://assembly.coe.int/Main</w:t>
      </w:r>
      <w:r>
        <w:rPr>
          <w:i/>
          <w:color w:val="000000"/>
        </w:rPr>
        <w:t>f.asp?link=/Documents/AdoptedText/ta10/EREC1899.htm, приступ: 6.6.2021.</w:t>
      </w:r>
    </w:p>
    <w:p w:rsidR="00BC3CE6" w:rsidRDefault="009A2DE5">
      <w:pPr>
        <w:spacing w:after="150"/>
        <w:jc w:val="both"/>
      </w:pPr>
      <w:r>
        <w:rPr>
          <w:i/>
          <w:color w:val="000000"/>
        </w:rPr>
        <w:t>128 Р (68)1999 Доступно на: https://wcd.coe.int/com.instranet.InstraServlet?Index=no&amp;command=com.instranet.CmdBlobGet&amp;InstranetImage=1457647&amp;SecMode=1&amp;DocId=833426&amp;Usage=2, приступ: 6.</w:t>
      </w:r>
      <w:r>
        <w:rPr>
          <w:i/>
          <w:color w:val="000000"/>
        </w:rPr>
        <w:t>6.2021.</w:t>
      </w:r>
    </w:p>
    <w:p w:rsidR="00BC3CE6" w:rsidRDefault="009A2DE5">
      <w:pPr>
        <w:spacing w:after="150"/>
        <w:jc w:val="both"/>
      </w:pPr>
      <w:r>
        <w:rPr>
          <w:i/>
          <w:color w:val="000000"/>
        </w:rPr>
        <w:t>129 „Службени лист СРЈ – Mеђународни уговори”, број 7/71.</w:t>
      </w:r>
    </w:p>
    <w:p w:rsidR="00BC3CE6" w:rsidRDefault="009A2DE5">
      <w:pPr>
        <w:spacing w:after="150"/>
        <w:jc w:val="both"/>
      </w:pPr>
      <w:r>
        <w:rPr>
          <w:i/>
          <w:color w:val="000000"/>
        </w:rPr>
        <w:t>130 Доступно на: https://rm.coe.int/rapport-srb-en/16809cfbe6, приступ: 6.6.2021.</w:t>
      </w:r>
    </w:p>
    <w:p w:rsidR="00BC3CE6" w:rsidRDefault="009A2DE5">
      <w:pPr>
        <w:spacing w:after="150"/>
        <w:jc w:val="both"/>
      </w:pPr>
      <w:r>
        <w:rPr>
          <w:i/>
          <w:color w:val="000000"/>
        </w:rPr>
        <w:t>131 Закон о потврђивању ревидиране Европске социјалне повеље „Службени гласник РС”, број 42/09.</w:t>
      </w:r>
    </w:p>
    <w:p w:rsidR="00BC3CE6" w:rsidRDefault="009A2DE5">
      <w:pPr>
        <w:spacing w:after="150"/>
        <w:jc w:val="both"/>
      </w:pPr>
      <w:r>
        <w:rPr>
          <w:i/>
          <w:color w:val="000000"/>
        </w:rPr>
        <w:t xml:space="preserve">132 Закон о </w:t>
      </w:r>
      <w:r>
        <w:rPr>
          <w:i/>
          <w:color w:val="000000"/>
        </w:rPr>
        <w:t>потврђивању Конвенције о заштити људских права и достојанства људског бића у погледу примене биологије и медицине „Службени гласник РС” – Међународни уговори”, број 12/10.</w:t>
      </w:r>
    </w:p>
    <w:p w:rsidR="00BC3CE6" w:rsidRDefault="009A2DE5">
      <w:pPr>
        <w:spacing w:after="150"/>
        <w:jc w:val="both"/>
      </w:pPr>
      <w:r>
        <w:rPr>
          <w:i/>
          <w:color w:val="000000"/>
        </w:rPr>
        <w:t xml:space="preserve">133 Закон о потврђивању конвенције „Службени гласник РС– Међународни уговори”, број </w:t>
      </w:r>
      <w:r>
        <w:rPr>
          <w:i/>
          <w:color w:val="000000"/>
        </w:rPr>
        <w:t>2/19.</w:t>
      </w:r>
    </w:p>
    <w:p w:rsidR="00BC3CE6" w:rsidRDefault="009A2DE5">
      <w:pPr>
        <w:spacing w:after="150"/>
        <w:jc w:val="both"/>
      </w:pPr>
      <w:r>
        <w:rPr>
          <w:i/>
          <w:color w:val="000000"/>
        </w:rPr>
        <w:t>134 Усвојена 29.6.2000. Исто, стр. 141–147.</w:t>
      </w:r>
    </w:p>
    <w:p w:rsidR="00BC3CE6" w:rsidRDefault="009A2DE5">
      <w:pPr>
        <w:spacing w:after="150"/>
        <w:jc w:val="both"/>
      </w:pPr>
      <w:r>
        <w:rPr>
          <w:i/>
          <w:color w:val="000000"/>
        </w:rPr>
        <w:t>135 Усвојена 19.12.1978. Исто, стр. 48–53.</w:t>
      </w:r>
    </w:p>
    <w:p w:rsidR="00BC3CE6" w:rsidRDefault="009A2DE5">
      <w:pPr>
        <w:spacing w:after="150"/>
        <w:jc w:val="both"/>
      </w:pPr>
      <w:r>
        <w:rPr>
          <w:i/>
          <w:color w:val="000000"/>
        </w:rPr>
        <w:lastRenderedPageBreak/>
        <w:t>136 Усвојена 11.7.1986. Исто, стр. 52–57.</w:t>
      </w:r>
    </w:p>
    <w:p w:rsidR="00BC3CE6" w:rsidRDefault="009A2DE5">
      <w:pPr>
        <w:spacing w:after="150"/>
        <w:jc w:val="both"/>
      </w:pPr>
      <w:r>
        <w:rPr>
          <w:i/>
          <w:color w:val="000000"/>
        </w:rPr>
        <w:t>137 Усвојена 5.7.2006. Доступно на: http://www.ured-ravnopravnost.hr/slike/File/Dokumenti/Dir_2006_54_EZ_EP_i_vijeca.pdf,</w:t>
      </w:r>
      <w:r>
        <w:rPr>
          <w:i/>
          <w:color w:val="000000"/>
        </w:rPr>
        <w:t xml:space="preserve"> приступ: 6.6.2021.</w:t>
      </w:r>
    </w:p>
    <w:p w:rsidR="00BC3CE6" w:rsidRDefault="009A2DE5">
      <w:pPr>
        <w:spacing w:after="150"/>
        <w:jc w:val="both"/>
      </w:pPr>
      <w:r>
        <w:rPr>
          <w:i/>
          <w:color w:val="000000"/>
        </w:rPr>
        <w:t>138 Усвојена 19.10.1992. Исто, стр. 57–70.</w:t>
      </w:r>
    </w:p>
    <w:p w:rsidR="00BC3CE6" w:rsidRDefault="009A2DE5">
      <w:pPr>
        <w:spacing w:after="150"/>
        <w:jc w:val="both"/>
      </w:pPr>
      <w:r>
        <w:rPr>
          <w:i/>
          <w:color w:val="000000"/>
        </w:rPr>
        <w:t>139 Усвојена 3.6.1996. Исто, стр. 70–80.</w:t>
      </w:r>
    </w:p>
    <w:p w:rsidR="00BC3CE6" w:rsidRDefault="009A2DE5">
      <w:pPr>
        <w:spacing w:after="150"/>
        <w:jc w:val="both"/>
      </w:pPr>
      <w:r>
        <w:rPr>
          <w:i/>
          <w:color w:val="000000"/>
        </w:rPr>
        <w:t>140 Усвојена 8.3.2010. Доступно на: http://eur-lex.europa.eu/LexUriServ/LexUriServ.do?uri=OJ:L:2010:068:0013:0020:EN:PDF, приступ: 6.6.2021.</w:t>
      </w:r>
    </w:p>
    <w:p w:rsidR="00BC3CE6" w:rsidRDefault="009A2DE5">
      <w:pPr>
        <w:spacing w:after="150"/>
        <w:jc w:val="both"/>
      </w:pPr>
      <w:r>
        <w:rPr>
          <w:i/>
          <w:color w:val="000000"/>
        </w:rPr>
        <w:t>141 Р (96)5</w:t>
      </w:r>
      <w:r>
        <w:rPr>
          <w:i/>
          <w:color w:val="000000"/>
        </w:rPr>
        <w:t xml:space="preserve"> усвојена 19. 6. 1996. Исто, стр. 60–68.</w:t>
      </w:r>
    </w:p>
    <w:p w:rsidR="00BC3CE6" w:rsidRDefault="009A2DE5">
      <w:pPr>
        <w:spacing w:after="150"/>
        <w:jc w:val="both"/>
      </w:pPr>
      <w:r>
        <w:rPr>
          <w:i/>
          <w:color w:val="000000"/>
        </w:rPr>
        <w:t>142 Р (2008)1 доступно на: https://wcd.coe.int/ViewDoc.jsp?id=1241743, приступ: 6.6.2021.</w:t>
      </w:r>
    </w:p>
    <w:p w:rsidR="00BC3CE6" w:rsidRDefault="009A2DE5">
      <w:pPr>
        <w:spacing w:after="150"/>
        <w:jc w:val="both"/>
      </w:pPr>
      <w:r>
        <w:rPr>
          <w:i/>
          <w:color w:val="000000"/>
        </w:rPr>
        <w:t>143 „Службени гласник РС – Међународни уговори”, број 70/07.</w:t>
      </w:r>
    </w:p>
    <w:p w:rsidR="00BC3CE6" w:rsidRDefault="009A2DE5">
      <w:pPr>
        <w:spacing w:after="150"/>
        <w:jc w:val="both"/>
      </w:pPr>
      <w:r>
        <w:rPr>
          <w:i/>
          <w:color w:val="000000"/>
        </w:rPr>
        <w:t>144 Усвојен у Утрехту 16. 11. 2009. доступно на: https://rm.coe.</w:t>
      </w:r>
      <w:r>
        <w:rPr>
          <w:i/>
          <w:color w:val="000000"/>
        </w:rPr>
        <w:t>int/the-congress-booklet-european-charter-of-local-self-government-serbian/168098bc1b, приступ: 16. 5. 2021.</w:t>
      </w:r>
    </w:p>
    <w:p w:rsidR="00BC3CE6" w:rsidRDefault="009A2DE5">
      <w:pPr>
        <w:spacing w:after="150"/>
        <w:jc w:val="both"/>
      </w:pPr>
      <w:r>
        <w:rPr>
          <w:i/>
          <w:color w:val="000000"/>
        </w:rPr>
        <w:t>145 Европска повеља оо родној равноправности на локалном нивоу, СКГО, 2009.</w:t>
      </w:r>
    </w:p>
    <w:p w:rsidR="00BC3CE6" w:rsidRDefault="009A2DE5">
      <w:pPr>
        <w:spacing w:after="150"/>
        <w:jc w:val="both"/>
      </w:pPr>
      <w:r>
        <w:rPr>
          <w:i/>
          <w:color w:val="000000"/>
        </w:rPr>
        <w:t>146</w:t>
      </w:r>
      <w:r>
        <w:rPr>
          <w:i/>
          <w:color w:val="000000"/>
        </w:rPr>
        <w:tab/>
        <w:t>Р 176 (2004) доступно на: 2004. https://wcd.coe.int/ViewDoc.jsp?id=</w:t>
      </w:r>
      <w:r>
        <w:rPr>
          <w:i/>
          <w:color w:val="000000"/>
        </w:rPr>
        <w:t>816579&amp;Site=COE, приступ: 6.6.2021.</w:t>
      </w:r>
    </w:p>
    <w:p w:rsidR="00BC3CE6" w:rsidRDefault="009A2DE5">
      <w:pPr>
        <w:spacing w:after="150"/>
        <w:jc w:val="both"/>
      </w:pPr>
      <w:r>
        <w:rPr>
          <w:i/>
          <w:color w:val="000000"/>
        </w:rPr>
        <w:t>147 Р (1998)14 Исто, стр. 68–69.</w:t>
      </w:r>
    </w:p>
    <w:p w:rsidR="00BC3CE6" w:rsidRDefault="009A2DE5">
      <w:pPr>
        <w:spacing w:after="150"/>
        <w:jc w:val="both"/>
      </w:pPr>
      <w:r>
        <w:rPr>
          <w:i/>
          <w:color w:val="000000"/>
        </w:rPr>
        <w:t>148 Р (2007)1 доступно на: https://wcd.coe.int/ViewDoc.jsp?id=1215219&amp;Site=CM приступ 6.6.2021.</w:t>
      </w:r>
    </w:p>
    <w:p w:rsidR="00BC3CE6" w:rsidRDefault="009A2DE5">
      <w:pPr>
        <w:spacing w:after="150"/>
        <w:jc w:val="both"/>
      </w:pPr>
      <w:r>
        <w:rPr>
          <w:i/>
          <w:color w:val="000000"/>
        </w:rPr>
        <w:t>149 „Службени лист СФРЈ – Mеђународни уговори”, број 6/67.</w:t>
      </w:r>
    </w:p>
    <w:p w:rsidR="00BC3CE6" w:rsidRDefault="009A2DE5">
      <w:pPr>
        <w:spacing w:after="150"/>
        <w:jc w:val="both"/>
      </w:pPr>
      <w:r>
        <w:rPr>
          <w:i/>
          <w:color w:val="000000"/>
        </w:rPr>
        <w:t xml:space="preserve">150 „Службени лист СРЈ – </w:t>
      </w:r>
      <w:r>
        <w:rPr>
          <w:i/>
          <w:color w:val="000000"/>
        </w:rPr>
        <w:t>Mеђународни уговори”, број 15/90 и „Службени лист СРЈ – Mеђународни уговори”, бр. 4/96 и 2/97.</w:t>
      </w:r>
    </w:p>
    <w:p w:rsidR="00BC3CE6" w:rsidRDefault="009A2DE5">
      <w:pPr>
        <w:spacing w:after="150"/>
        <w:jc w:val="both"/>
      </w:pPr>
      <w:r>
        <w:rPr>
          <w:i/>
          <w:color w:val="000000"/>
        </w:rPr>
        <w:t>151 „Службени гласник СРЈ – Међународни уговори”, број 6/98.</w:t>
      </w:r>
    </w:p>
    <w:p w:rsidR="00BC3CE6" w:rsidRDefault="009A2DE5">
      <w:pPr>
        <w:spacing w:after="150"/>
        <w:jc w:val="both"/>
      </w:pPr>
      <w:r>
        <w:rPr>
          <w:i/>
          <w:color w:val="000000"/>
        </w:rPr>
        <w:t>152 Доступно на: https://chris-network.org/wp-content/uploads/2012/07/haske_preporuke_o_pravu_nacion</w:t>
      </w:r>
      <w:r>
        <w:rPr>
          <w:i/>
          <w:color w:val="000000"/>
        </w:rPr>
        <w:t>alnih_manjina_na_obrazovanje_19961.pdf приступ 15.7.2021.</w:t>
      </w:r>
    </w:p>
    <w:p w:rsidR="00BC3CE6" w:rsidRDefault="009A2DE5">
      <w:pPr>
        <w:spacing w:after="150"/>
        <w:jc w:val="both"/>
      </w:pPr>
      <w:r>
        <w:rPr>
          <w:i/>
          <w:color w:val="000000"/>
        </w:rPr>
        <w:t>153 „Службени лист СРЈ – Међународни уговори”, број 6/98</w:t>
      </w:r>
    </w:p>
    <w:p w:rsidR="00BC3CE6" w:rsidRDefault="009A2DE5">
      <w:pPr>
        <w:spacing w:after="150"/>
        <w:jc w:val="both"/>
      </w:pPr>
      <w:r>
        <w:rPr>
          <w:i/>
          <w:color w:val="000000"/>
        </w:rPr>
        <w:t>154</w:t>
      </w:r>
      <w:r>
        <w:rPr>
          <w:i/>
          <w:color w:val="000000"/>
        </w:rPr>
        <w:tab/>
        <w:t>Доступно на: https://chris-network.org/wp-content/uploads/2012/07/preporuke_iz_Lunda_o_delotvornom_ucescu_nacionalnih_manjina_u_javnom_zi</w:t>
      </w:r>
      <w:r>
        <w:rPr>
          <w:i/>
          <w:color w:val="000000"/>
        </w:rPr>
        <w:t>votu_i_sa_objasnjenjima.pdf приступ 15.7.2021.</w:t>
      </w:r>
    </w:p>
    <w:p w:rsidR="00BC3CE6" w:rsidRDefault="009A2DE5">
      <w:pPr>
        <w:spacing w:after="150"/>
        <w:jc w:val="both"/>
      </w:pPr>
      <w:r>
        <w:rPr>
          <w:i/>
          <w:color w:val="000000"/>
        </w:rPr>
        <w:t>155 Закон о ратификацији европске повеље о регионалним или мањинским језицима, „Службени гласник СЦГ – Међународни уговори”, број 18/05.</w:t>
      </w:r>
    </w:p>
    <w:p w:rsidR="00BC3CE6" w:rsidRDefault="009A2DE5">
      <w:pPr>
        <w:spacing w:after="150"/>
        <w:jc w:val="both"/>
      </w:pPr>
      <w:r>
        <w:rPr>
          <w:i/>
          <w:color w:val="000000"/>
        </w:rPr>
        <w:lastRenderedPageBreak/>
        <w:t>156 „Службени лист СФРЈ”, број 7/60.</w:t>
      </w:r>
    </w:p>
    <w:p w:rsidR="00BC3CE6" w:rsidRDefault="009A2DE5">
      <w:pPr>
        <w:spacing w:after="150"/>
        <w:jc w:val="both"/>
      </w:pPr>
      <w:r>
        <w:rPr>
          <w:i/>
          <w:color w:val="000000"/>
        </w:rPr>
        <w:t>157 „Службени лист СФРЈ”, број 15/6</w:t>
      </w:r>
      <w:r>
        <w:rPr>
          <w:i/>
          <w:color w:val="000000"/>
        </w:rPr>
        <w:t>7.</w:t>
      </w:r>
    </w:p>
    <w:p w:rsidR="00BC3CE6" w:rsidRDefault="009A2DE5">
      <w:pPr>
        <w:spacing w:after="150"/>
        <w:jc w:val="both"/>
      </w:pPr>
      <w:r>
        <w:rPr>
          <w:i/>
          <w:color w:val="000000"/>
        </w:rPr>
        <w:t>158 Доступно на: http://www.ravnopravnost.gov.rs</w:t>
      </w:r>
    </w:p>
    <w:p w:rsidR="00BC3CE6" w:rsidRDefault="009A2DE5">
      <w:pPr>
        <w:spacing w:after="150"/>
        <w:jc w:val="both"/>
      </w:pPr>
      <w:r>
        <w:rPr>
          <w:i/>
          <w:color w:val="000000"/>
        </w:rPr>
        <w:t>159 Доступно на:https://www.google.com/search?q=Memorandum+i+objašnjenja+uz+Preporuka+CM%2FRec(2010)5 приступ 3.9.2021.</w:t>
      </w:r>
    </w:p>
    <w:p w:rsidR="00BC3CE6" w:rsidRDefault="009A2DE5">
      <w:pPr>
        <w:spacing w:after="150"/>
        <w:jc w:val="both"/>
      </w:pPr>
      <w:r>
        <w:rPr>
          <w:i/>
          <w:color w:val="000000"/>
        </w:rPr>
        <w:t>160 Доступно на: https://www.rodnaravnopravnost.rs приступ 3.9.2021.</w:t>
      </w:r>
    </w:p>
    <w:p w:rsidR="00BC3CE6" w:rsidRDefault="009A2DE5">
      <w:pPr>
        <w:spacing w:after="150"/>
        <w:jc w:val="both"/>
      </w:pPr>
      <w:r>
        <w:rPr>
          <w:i/>
          <w:color w:val="000000"/>
        </w:rPr>
        <w:t>161 Доступно на</w:t>
      </w:r>
      <w:r>
        <w:rPr>
          <w:i/>
          <w:color w:val="000000"/>
        </w:rPr>
        <w:t>: http://yogukartanciples.org/wp-content/uploads/2017/11/A5 yuogakartaWEB-2.pdf приступљено 3.9.2021.</w:t>
      </w:r>
    </w:p>
    <w:p w:rsidR="00BC3CE6" w:rsidRDefault="009A2DE5">
      <w:pPr>
        <w:spacing w:after="120"/>
        <w:jc w:val="center"/>
      </w:pPr>
      <w:r>
        <w:rPr>
          <w:b/>
          <w:color w:val="000000"/>
        </w:rPr>
        <w:t>1.3. Национално законодавство</w:t>
      </w:r>
    </w:p>
    <w:p w:rsidR="00BC3CE6" w:rsidRDefault="009A2DE5">
      <w:pPr>
        <w:spacing w:after="150"/>
      </w:pPr>
      <w:r>
        <w:rPr>
          <w:color w:val="000000"/>
        </w:rPr>
        <w:t>Национално законодавство обухвата Устав, законе и прописе за примену закона који регулишу области обухваћене Стратегијом.</w:t>
      </w:r>
    </w:p>
    <w:p w:rsidR="00BC3CE6" w:rsidRDefault="009A2DE5">
      <w:pPr>
        <w:spacing w:after="120"/>
        <w:jc w:val="center"/>
      </w:pPr>
      <w:r>
        <w:rPr>
          <w:i/>
          <w:color w:val="000000"/>
        </w:rPr>
        <w:t>1.</w:t>
      </w:r>
      <w:r>
        <w:rPr>
          <w:i/>
          <w:color w:val="000000"/>
        </w:rPr>
        <w:t>3.1. Устав</w:t>
      </w:r>
    </w:p>
    <w:p w:rsidR="00BC3CE6" w:rsidRDefault="009A2DE5">
      <w:pPr>
        <w:spacing w:after="150"/>
      </w:pPr>
      <w:r>
        <w:rPr>
          <w:color w:val="000000"/>
        </w:rPr>
        <w:t>Устав</w:t>
      </w:r>
      <w:r>
        <w:rPr>
          <w:color w:val="000000"/>
          <w:vertAlign w:val="superscript"/>
        </w:rPr>
        <w:t>162</w:t>
      </w:r>
      <w:r>
        <w:rPr>
          <w:color w:val="000000"/>
        </w:rPr>
        <w:t>, у основним одредбама гарантује равноправност жена и мушкараца и обавезује државу да води политику једнаких могућности (члан 15), забрањује непосредну и посредну дискриминацију по било ком основу или личном својству укључујући и пол (чл</w:t>
      </w:r>
      <w:r>
        <w:rPr>
          <w:color w:val="000000"/>
        </w:rPr>
        <w:t xml:space="preserve">ан 21. став 3), прописује могућност предузимања посебних мера ради постизања пуне равноправности лица или групе лица које су у неједнаком положају са осталим грађанима (члан 21. став 4), гарантује једнакост пред законом (члан 21. став 1), једнаку законску </w:t>
      </w:r>
      <w:r>
        <w:rPr>
          <w:color w:val="000000"/>
        </w:rPr>
        <w:t>заштиту (члан 21. став 2), заштиту пред судовима (члан 22. став 1), другим државним органима (члан 36. став 1) и међународним институцијама (члан 22. став 2), право на жалбу или друго правно средство против одлуке којом се одлучује о његовом праву или обав</w:t>
      </w:r>
      <w:r>
        <w:rPr>
          <w:color w:val="000000"/>
        </w:rPr>
        <w:t>ези (члан 36. став 2), право на правну помоћ (члан 67. став 1) од стране адвокатуре (члан 67. став 2) и службе правне помоћи у ЈЛС (члан 67. став 2), право на рехабилитацију и накнаду материјалне и нематеријалне штете проузроковане незаконитим или неправил</w:t>
      </w:r>
      <w:r>
        <w:rPr>
          <w:color w:val="000000"/>
        </w:rPr>
        <w:t>ним радом државног органа (члан 35. став 2), јемчи заштиту података о личности (члан 42), право азила (члан 57), слободу одлучивања о склапању брака, равноправност супружника, изједначава статус ванбрачне заједнице и брака (члан 62), гарантује равноправнос</w:t>
      </w:r>
      <w:r>
        <w:rPr>
          <w:color w:val="000000"/>
        </w:rPr>
        <w:t>т родитеља у издржавању, васпитању и образовању деце (члан 65), јемчи слободу одлучивања о рађању (члан 63) и посебну заштиту мајки, трудница, деце и самохраних родитеља (члан 66) као и посебну здравствену заштиту трудница, мајки и самохраних родитеља са д</w:t>
      </w:r>
      <w:r>
        <w:rPr>
          <w:color w:val="000000"/>
        </w:rPr>
        <w:t>ецом до седме године, која се финансира из јавних прихода (члан 68), социјалну заштиту породице и запослених (члан 69), равноправну заступљеност полова у Народној скупштини (члан 100).</w:t>
      </w:r>
    </w:p>
    <w:p w:rsidR="00BC3CE6" w:rsidRDefault="009A2DE5">
      <w:pPr>
        <w:spacing w:after="120"/>
        <w:jc w:val="center"/>
      </w:pPr>
      <w:r>
        <w:rPr>
          <w:i/>
          <w:color w:val="000000"/>
        </w:rPr>
        <w:t>1.3.2. Закони и подзаконски прописи</w:t>
      </w:r>
    </w:p>
    <w:p w:rsidR="00BC3CE6" w:rsidRDefault="009A2DE5">
      <w:pPr>
        <w:spacing w:after="150"/>
      </w:pPr>
      <w:r>
        <w:rPr>
          <w:color w:val="000000"/>
        </w:rPr>
        <w:lastRenderedPageBreak/>
        <w:t>Закони и подзаконски прописи који р</w:t>
      </w:r>
      <w:r>
        <w:rPr>
          <w:color w:val="000000"/>
        </w:rPr>
        <w:t>егулишу области значајне за родну равноправност могу се груписати у две групе.</w:t>
      </w:r>
    </w:p>
    <w:p w:rsidR="00BC3CE6" w:rsidRDefault="009A2DE5">
      <w:pPr>
        <w:spacing w:after="150"/>
      </w:pPr>
      <w:r>
        <w:rPr>
          <w:color w:val="000000"/>
        </w:rPr>
        <w:t xml:space="preserve">У првој групи су закони који се непосредно односе на родну равноправност, прописи који регулишу планирање и закони који регулишу надлежности институција везане за родну </w:t>
      </w:r>
      <w:r>
        <w:rPr>
          <w:color w:val="000000"/>
        </w:rPr>
        <w:t>равноправност на различитим нивоима власти. То су: Закон о забрани дискриминације</w:t>
      </w:r>
      <w:r>
        <w:rPr>
          <w:color w:val="000000"/>
          <w:vertAlign w:val="superscript"/>
        </w:rPr>
        <w:t>163</w:t>
      </w:r>
      <w:r>
        <w:rPr>
          <w:color w:val="000000"/>
        </w:rPr>
        <w:t>; Закон о родној равноправности</w:t>
      </w:r>
      <w:r>
        <w:rPr>
          <w:color w:val="000000"/>
          <w:vertAlign w:val="superscript"/>
        </w:rPr>
        <w:t>164</w:t>
      </w:r>
      <w:r>
        <w:rPr>
          <w:color w:val="000000"/>
        </w:rPr>
        <w:t>; Закон о ратификацији Конвенције о елиминисању свих облика дискриминације жена</w:t>
      </w:r>
      <w:r>
        <w:rPr>
          <w:color w:val="000000"/>
          <w:vertAlign w:val="superscript"/>
        </w:rPr>
        <w:t>165</w:t>
      </w:r>
      <w:r>
        <w:rPr>
          <w:color w:val="000000"/>
        </w:rPr>
        <w:t>; Закон о потврђивању Конвенције СЕ о спречавању и борби</w:t>
      </w:r>
      <w:r>
        <w:rPr>
          <w:color w:val="000000"/>
        </w:rPr>
        <w:t xml:space="preserve"> против насиља над женама и насиља у породици</w:t>
      </w:r>
      <w:r>
        <w:rPr>
          <w:color w:val="000000"/>
          <w:vertAlign w:val="superscript"/>
        </w:rPr>
        <w:t>166</w:t>
      </w:r>
      <w:r>
        <w:rPr>
          <w:color w:val="000000"/>
        </w:rPr>
        <w:t>; Закон о спречавању насиља у породици</w:t>
      </w:r>
      <w:r>
        <w:rPr>
          <w:color w:val="000000"/>
          <w:vertAlign w:val="superscript"/>
        </w:rPr>
        <w:t>167</w:t>
      </w:r>
      <w:r>
        <w:rPr>
          <w:color w:val="000000"/>
        </w:rPr>
        <w:t>; Закон о спречавању дискриминације особа са инвалидитетом</w:t>
      </w:r>
      <w:r>
        <w:rPr>
          <w:color w:val="000000"/>
          <w:vertAlign w:val="superscript"/>
        </w:rPr>
        <w:t>168</w:t>
      </w:r>
      <w:r>
        <w:rPr>
          <w:color w:val="000000"/>
        </w:rPr>
        <w:t>; Закон о планском систему Републике Србије</w:t>
      </w:r>
      <w:r>
        <w:rPr>
          <w:color w:val="000000"/>
          <w:vertAlign w:val="superscript"/>
        </w:rPr>
        <w:t>169</w:t>
      </w:r>
      <w:r>
        <w:rPr>
          <w:color w:val="000000"/>
        </w:rPr>
        <w:t>; Уредба о методологији управљања јавним политикама, анализи</w:t>
      </w:r>
      <w:r>
        <w:rPr>
          <w:color w:val="000000"/>
        </w:rPr>
        <w:t xml:space="preserve"> ефеката јавних политика и прописа и садржају појединачних докумената јавних политика</w:t>
      </w:r>
      <w:r>
        <w:rPr>
          <w:color w:val="000000"/>
          <w:vertAlign w:val="superscript"/>
        </w:rPr>
        <w:t>170</w:t>
      </w:r>
      <w:r>
        <w:rPr>
          <w:color w:val="000000"/>
        </w:rPr>
        <w:t>; Уредба о методологији за израду средњорочних планова</w:t>
      </w:r>
      <w:r>
        <w:rPr>
          <w:color w:val="000000"/>
          <w:vertAlign w:val="superscript"/>
        </w:rPr>
        <w:t>171</w:t>
      </w:r>
      <w:r>
        <w:rPr>
          <w:color w:val="000000"/>
        </w:rPr>
        <w:t>; Закон о Влади</w:t>
      </w:r>
      <w:r>
        <w:rPr>
          <w:color w:val="000000"/>
          <w:vertAlign w:val="superscript"/>
        </w:rPr>
        <w:t>172</w:t>
      </w:r>
      <w:r>
        <w:rPr>
          <w:color w:val="000000"/>
        </w:rPr>
        <w:t>; Закон о министарствима</w:t>
      </w:r>
      <w:r>
        <w:rPr>
          <w:color w:val="000000"/>
          <w:vertAlign w:val="superscript"/>
        </w:rPr>
        <w:t>173</w:t>
      </w:r>
      <w:r>
        <w:rPr>
          <w:color w:val="000000"/>
        </w:rPr>
        <w:t>; Закон о утврђивању надлежности АПВ</w:t>
      </w:r>
      <w:r>
        <w:rPr>
          <w:color w:val="000000"/>
          <w:vertAlign w:val="superscript"/>
        </w:rPr>
        <w:t>174</w:t>
      </w:r>
      <w:r>
        <w:rPr>
          <w:color w:val="000000"/>
        </w:rPr>
        <w:t xml:space="preserve"> и Закон о локалној самоупр</w:t>
      </w:r>
      <w:r>
        <w:rPr>
          <w:color w:val="000000"/>
        </w:rPr>
        <w:t>ави.</w:t>
      </w:r>
      <w:r>
        <w:rPr>
          <w:color w:val="000000"/>
          <w:vertAlign w:val="superscript"/>
        </w:rPr>
        <w:t>175</w:t>
      </w:r>
    </w:p>
    <w:p w:rsidR="00BC3CE6" w:rsidRDefault="009A2DE5">
      <w:pPr>
        <w:spacing w:after="150"/>
      </w:pPr>
      <w:r>
        <w:rPr>
          <w:color w:val="000000"/>
        </w:rPr>
        <w:t>Другу групу чине закони и прописи који регулишу области друштвеног живота релевантне за родну равноправност. Критеријуми за селекцију ових закона су Агенда 2030</w:t>
      </w:r>
      <w:r>
        <w:rPr>
          <w:color w:val="000000"/>
          <w:vertAlign w:val="superscript"/>
        </w:rPr>
        <w:t>176</w:t>
      </w:r>
      <w:r>
        <w:rPr>
          <w:color w:val="000000"/>
        </w:rPr>
        <w:t xml:space="preserve"> посебно циљ 5.</w:t>
      </w:r>
      <w:r>
        <w:rPr>
          <w:color w:val="000000"/>
          <w:vertAlign w:val="superscript"/>
        </w:rPr>
        <w:t>177</w:t>
      </w:r>
      <w:r>
        <w:rPr>
          <w:color w:val="000000"/>
        </w:rPr>
        <w:t>, који се односи на родну равноправност и оснаживање жена и девојчи</w:t>
      </w:r>
      <w:r>
        <w:rPr>
          <w:color w:val="000000"/>
        </w:rPr>
        <w:t>ца, али и други циљеви и потциљеви, као и области које CEDAW конвенција идентификује као области значајне за остваривање родне равноправности. Преглед закона наведен је по областима које су обухваћене овом стратегијом. У овој групи су:</w:t>
      </w:r>
    </w:p>
    <w:p w:rsidR="00BC3CE6" w:rsidRDefault="009A2DE5">
      <w:pPr>
        <w:spacing w:after="150"/>
      </w:pPr>
      <w:r>
        <w:rPr>
          <w:color w:val="000000"/>
        </w:rPr>
        <w:t>Закони и прописи кој</w:t>
      </w:r>
      <w:r>
        <w:rPr>
          <w:color w:val="000000"/>
        </w:rPr>
        <w:t>и се односе на економију, образовање и науку као факторе који подстичу развој. То су: Закон о заштити животне средине</w:t>
      </w:r>
      <w:r>
        <w:rPr>
          <w:color w:val="000000"/>
          <w:vertAlign w:val="superscript"/>
        </w:rPr>
        <w:t>178</w:t>
      </w:r>
      <w:r>
        <w:rPr>
          <w:color w:val="000000"/>
        </w:rPr>
        <w:t>; Закон о заштити природе</w:t>
      </w:r>
      <w:r>
        <w:rPr>
          <w:color w:val="000000"/>
          <w:vertAlign w:val="superscript"/>
        </w:rPr>
        <w:t>179</w:t>
      </w:r>
      <w:r>
        <w:rPr>
          <w:color w:val="000000"/>
        </w:rPr>
        <w:t>; Закон о водама</w:t>
      </w:r>
      <w:r>
        <w:rPr>
          <w:color w:val="000000"/>
          <w:vertAlign w:val="superscript"/>
        </w:rPr>
        <w:t>180</w:t>
      </w:r>
      <w:r>
        <w:rPr>
          <w:color w:val="000000"/>
        </w:rPr>
        <w:t>; Закон о пољопривредном земљишту</w:t>
      </w:r>
      <w:r>
        <w:rPr>
          <w:color w:val="000000"/>
          <w:vertAlign w:val="superscript"/>
        </w:rPr>
        <w:t>181</w:t>
      </w:r>
      <w:r>
        <w:rPr>
          <w:color w:val="000000"/>
        </w:rPr>
        <w:t>; Закон о шумама</w:t>
      </w:r>
      <w:r>
        <w:rPr>
          <w:color w:val="000000"/>
          <w:vertAlign w:val="superscript"/>
        </w:rPr>
        <w:t>182</w:t>
      </w:r>
      <w:r>
        <w:rPr>
          <w:color w:val="000000"/>
        </w:rPr>
        <w:t>; Закон о рударству и геолошким ис</w:t>
      </w:r>
      <w:r>
        <w:rPr>
          <w:color w:val="000000"/>
        </w:rPr>
        <w:t>траживањима</w:t>
      </w:r>
      <w:r>
        <w:rPr>
          <w:color w:val="000000"/>
          <w:vertAlign w:val="superscript"/>
        </w:rPr>
        <w:t>183</w:t>
      </w:r>
      <w:r>
        <w:rPr>
          <w:color w:val="000000"/>
        </w:rPr>
        <w:t>; Закон о заштити ваздуха</w:t>
      </w:r>
      <w:r>
        <w:rPr>
          <w:color w:val="000000"/>
          <w:vertAlign w:val="superscript"/>
        </w:rPr>
        <w:t>184</w:t>
      </w:r>
      <w:r>
        <w:rPr>
          <w:color w:val="000000"/>
        </w:rPr>
        <w:t>; Закон о управљању отпадом</w:t>
      </w:r>
      <w:r>
        <w:rPr>
          <w:color w:val="000000"/>
          <w:vertAlign w:val="superscript"/>
        </w:rPr>
        <w:t>185</w:t>
      </w:r>
      <w:r>
        <w:rPr>
          <w:color w:val="000000"/>
        </w:rPr>
        <w:t>; Закон о климатским променама</w:t>
      </w:r>
      <w:r>
        <w:rPr>
          <w:color w:val="000000"/>
          <w:vertAlign w:val="superscript"/>
        </w:rPr>
        <w:t>186</w:t>
      </w:r>
      <w:r>
        <w:rPr>
          <w:color w:val="000000"/>
        </w:rPr>
        <w:t>; Закон о интегрисаном спречавању и контроли и загађивању животне средине</w:t>
      </w:r>
      <w:r>
        <w:rPr>
          <w:color w:val="000000"/>
          <w:vertAlign w:val="superscript"/>
        </w:rPr>
        <w:t>187</w:t>
      </w:r>
      <w:r>
        <w:rPr>
          <w:color w:val="000000"/>
        </w:rPr>
        <w:t>; Закон о енергетској ефикасности и рационалној употреби енергије</w:t>
      </w:r>
      <w:r>
        <w:rPr>
          <w:color w:val="000000"/>
          <w:vertAlign w:val="superscript"/>
        </w:rPr>
        <w:t>188</w:t>
      </w:r>
      <w:r>
        <w:rPr>
          <w:color w:val="000000"/>
        </w:rPr>
        <w:t>; Закон</w:t>
      </w:r>
      <w:r>
        <w:rPr>
          <w:color w:val="000000"/>
        </w:rPr>
        <w:t xml:space="preserve"> о процени утицаја на животну средину</w:t>
      </w:r>
      <w:r>
        <w:rPr>
          <w:color w:val="000000"/>
          <w:vertAlign w:val="superscript"/>
        </w:rPr>
        <w:t>189</w:t>
      </w:r>
      <w:r>
        <w:rPr>
          <w:color w:val="000000"/>
        </w:rPr>
        <w:t>; Закон о стратешкој процени утицаја на животну средину</w:t>
      </w:r>
      <w:r>
        <w:rPr>
          <w:color w:val="000000"/>
          <w:vertAlign w:val="superscript"/>
        </w:rPr>
        <w:t>190</w:t>
      </w:r>
      <w:r>
        <w:rPr>
          <w:color w:val="000000"/>
        </w:rPr>
        <w:t>; Закон о хемикалијама</w:t>
      </w:r>
      <w:r>
        <w:rPr>
          <w:color w:val="000000"/>
          <w:vertAlign w:val="superscript"/>
        </w:rPr>
        <w:t>191</w:t>
      </w:r>
      <w:r>
        <w:rPr>
          <w:color w:val="000000"/>
        </w:rPr>
        <w:t>; Закон о биоцидним производима</w:t>
      </w:r>
      <w:r>
        <w:rPr>
          <w:color w:val="000000"/>
          <w:vertAlign w:val="superscript"/>
        </w:rPr>
        <w:t>192</w:t>
      </w:r>
      <w:r>
        <w:rPr>
          <w:color w:val="000000"/>
        </w:rPr>
        <w:t>; Закон о планирању и изградњи</w:t>
      </w:r>
      <w:r>
        <w:rPr>
          <w:color w:val="000000"/>
          <w:vertAlign w:val="superscript"/>
        </w:rPr>
        <w:t>193</w:t>
      </w:r>
      <w:r>
        <w:rPr>
          <w:color w:val="000000"/>
        </w:rPr>
        <w:t>; Закон о пољопривреди и руралном развоју</w:t>
      </w:r>
      <w:r>
        <w:rPr>
          <w:color w:val="000000"/>
          <w:vertAlign w:val="superscript"/>
        </w:rPr>
        <w:t>194</w:t>
      </w:r>
      <w:r>
        <w:rPr>
          <w:color w:val="000000"/>
        </w:rPr>
        <w:t>; Закон о подстицајима</w:t>
      </w:r>
      <w:r>
        <w:rPr>
          <w:color w:val="000000"/>
        </w:rPr>
        <w:t xml:space="preserve"> пољопривреди и руралном развоју</w:t>
      </w:r>
      <w:r>
        <w:rPr>
          <w:color w:val="000000"/>
          <w:vertAlign w:val="superscript"/>
        </w:rPr>
        <w:t>195</w:t>
      </w:r>
      <w:r>
        <w:rPr>
          <w:color w:val="000000"/>
        </w:rPr>
        <w:t>; Закон о патентима</w:t>
      </w:r>
      <w:r>
        <w:rPr>
          <w:color w:val="000000"/>
          <w:vertAlign w:val="superscript"/>
        </w:rPr>
        <w:t>196</w:t>
      </w:r>
      <w:r>
        <w:rPr>
          <w:color w:val="000000"/>
        </w:rPr>
        <w:t>; Закон о раду</w:t>
      </w:r>
      <w:r>
        <w:rPr>
          <w:color w:val="000000"/>
          <w:vertAlign w:val="superscript"/>
        </w:rPr>
        <w:t>197</w:t>
      </w:r>
      <w:r>
        <w:rPr>
          <w:color w:val="000000"/>
        </w:rPr>
        <w:t>; Закон о поједностављеном радном ангажовању на сезонским пословима у одређеним делатностима</w:t>
      </w:r>
      <w:r>
        <w:rPr>
          <w:color w:val="000000"/>
          <w:vertAlign w:val="superscript"/>
        </w:rPr>
        <w:t>198</w:t>
      </w:r>
      <w:r>
        <w:rPr>
          <w:color w:val="000000"/>
        </w:rPr>
        <w:t>; Закон о агенцијском запошљавању</w:t>
      </w:r>
      <w:r>
        <w:rPr>
          <w:color w:val="000000"/>
          <w:vertAlign w:val="superscript"/>
        </w:rPr>
        <w:t>199</w:t>
      </w:r>
      <w:r>
        <w:rPr>
          <w:color w:val="000000"/>
        </w:rPr>
        <w:t>; Закон о Националном оквиру квалификација РС</w:t>
      </w:r>
      <w:r>
        <w:rPr>
          <w:color w:val="000000"/>
          <w:vertAlign w:val="superscript"/>
        </w:rPr>
        <w:t>200</w:t>
      </w:r>
      <w:r>
        <w:rPr>
          <w:color w:val="000000"/>
        </w:rPr>
        <w:t>; З</w:t>
      </w:r>
      <w:r>
        <w:rPr>
          <w:color w:val="000000"/>
        </w:rPr>
        <w:t>акон о професионалној рехабилитацији и запошљавању особа са инвалидитетом</w:t>
      </w:r>
      <w:r>
        <w:rPr>
          <w:color w:val="000000"/>
          <w:vertAlign w:val="superscript"/>
        </w:rPr>
        <w:t>201</w:t>
      </w:r>
      <w:r>
        <w:rPr>
          <w:color w:val="000000"/>
        </w:rPr>
        <w:t>; Закон о запошљавању странаца</w:t>
      </w:r>
      <w:r>
        <w:rPr>
          <w:color w:val="000000"/>
          <w:vertAlign w:val="superscript"/>
        </w:rPr>
        <w:t>202</w:t>
      </w:r>
      <w:r>
        <w:rPr>
          <w:color w:val="000000"/>
        </w:rPr>
        <w:t>; Закон о енергетици</w:t>
      </w:r>
      <w:r>
        <w:rPr>
          <w:color w:val="000000"/>
          <w:vertAlign w:val="superscript"/>
        </w:rPr>
        <w:t>203</w:t>
      </w:r>
      <w:r>
        <w:rPr>
          <w:color w:val="000000"/>
        </w:rPr>
        <w:t>; Закон о коришћењу обновљивих извора енергије</w:t>
      </w:r>
      <w:r>
        <w:rPr>
          <w:color w:val="000000"/>
          <w:vertAlign w:val="superscript"/>
        </w:rPr>
        <w:t>204</w:t>
      </w:r>
      <w:r>
        <w:rPr>
          <w:color w:val="000000"/>
        </w:rPr>
        <w:t>; Закон о основама система васпитања и образовања</w:t>
      </w:r>
      <w:r>
        <w:rPr>
          <w:color w:val="000000"/>
          <w:vertAlign w:val="superscript"/>
        </w:rPr>
        <w:t>205</w:t>
      </w:r>
      <w:r>
        <w:rPr>
          <w:color w:val="000000"/>
        </w:rPr>
        <w:t xml:space="preserve">; Закон о предшколском </w:t>
      </w:r>
      <w:r>
        <w:rPr>
          <w:color w:val="000000"/>
        </w:rPr>
        <w:t>васпитању и образовању</w:t>
      </w:r>
      <w:r>
        <w:rPr>
          <w:color w:val="000000"/>
          <w:vertAlign w:val="superscript"/>
        </w:rPr>
        <w:t>206</w:t>
      </w:r>
      <w:r>
        <w:rPr>
          <w:color w:val="000000"/>
        </w:rPr>
        <w:t>; Закон о основном образовању и васпитању</w:t>
      </w:r>
      <w:r>
        <w:rPr>
          <w:color w:val="000000"/>
          <w:vertAlign w:val="superscript"/>
        </w:rPr>
        <w:t>207</w:t>
      </w:r>
      <w:r>
        <w:rPr>
          <w:color w:val="000000"/>
        </w:rPr>
        <w:t>; Закон о средњем образовању и васпитању</w:t>
      </w:r>
      <w:r>
        <w:rPr>
          <w:color w:val="000000"/>
          <w:vertAlign w:val="superscript"/>
        </w:rPr>
        <w:t>208</w:t>
      </w:r>
      <w:r>
        <w:rPr>
          <w:color w:val="000000"/>
        </w:rPr>
        <w:t xml:space="preserve">; Закон о дуалном </w:t>
      </w:r>
      <w:r>
        <w:rPr>
          <w:color w:val="000000"/>
        </w:rPr>
        <w:lastRenderedPageBreak/>
        <w:t>образовању</w:t>
      </w:r>
      <w:r>
        <w:rPr>
          <w:color w:val="000000"/>
          <w:vertAlign w:val="superscript"/>
        </w:rPr>
        <w:t>209</w:t>
      </w:r>
      <w:r>
        <w:rPr>
          <w:color w:val="000000"/>
        </w:rPr>
        <w:t>; Закон о високом образовању</w:t>
      </w:r>
      <w:r>
        <w:rPr>
          <w:color w:val="000000"/>
          <w:vertAlign w:val="superscript"/>
        </w:rPr>
        <w:t>210</w:t>
      </w:r>
      <w:r>
        <w:rPr>
          <w:color w:val="000000"/>
        </w:rPr>
        <w:t>; Закон о образовању одраслих</w:t>
      </w:r>
      <w:r>
        <w:rPr>
          <w:color w:val="000000"/>
          <w:vertAlign w:val="superscript"/>
        </w:rPr>
        <w:t>211</w:t>
      </w:r>
      <w:r>
        <w:rPr>
          <w:color w:val="000000"/>
        </w:rPr>
        <w:t>; Закон о науци и истраживањима</w:t>
      </w:r>
      <w:r>
        <w:rPr>
          <w:color w:val="000000"/>
          <w:vertAlign w:val="superscript"/>
        </w:rPr>
        <w:t>212</w:t>
      </w:r>
      <w:r>
        <w:rPr>
          <w:color w:val="000000"/>
        </w:rPr>
        <w:t>; Правилник о ст</w:t>
      </w:r>
      <w:r>
        <w:rPr>
          <w:color w:val="000000"/>
        </w:rPr>
        <w:t>алном стручном усавршавању наставника, васпитача и стручних сарадника</w:t>
      </w:r>
      <w:r>
        <w:rPr>
          <w:color w:val="000000"/>
          <w:vertAlign w:val="superscript"/>
        </w:rPr>
        <w:t>213</w:t>
      </w:r>
      <w:r>
        <w:rPr>
          <w:color w:val="000000"/>
        </w:rPr>
        <w:t>; Правилник о ближим критеријумима за препознавање облика дискриминације од стране запосленог, детета, ученика или трећег лица у установи образовања и васпитања</w:t>
      </w:r>
      <w:r>
        <w:rPr>
          <w:color w:val="000000"/>
          <w:vertAlign w:val="superscript"/>
        </w:rPr>
        <w:t>214</w:t>
      </w:r>
      <w:r>
        <w:rPr>
          <w:color w:val="000000"/>
        </w:rPr>
        <w:t>; Правилник о додатно</w:t>
      </w:r>
      <w:r>
        <w:rPr>
          <w:color w:val="000000"/>
        </w:rPr>
        <w:t>ј образовној, здравственој и социјалној подршци детету, ученику и одраслом</w:t>
      </w:r>
      <w:r>
        <w:rPr>
          <w:color w:val="000000"/>
          <w:vertAlign w:val="superscript"/>
        </w:rPr>
        <w:t>215</w:t>
      </w:r>
      <w:r>
        <w:rPr>
          <w:color w:val="000000"/>
        </w:rPr>
        <w:t>; Правилник о критеријумима и стандардима пружања додатне подршке у образовању деце, ученика и одраслих са сметњама у развоју и инвалидитетом у васпитној групи, односно другој шко</w:t>
      </w:r>
      <w:r>
        <w:rPr>
          <w:color w:val="000000"/>
        </w:rPr>
        <w:t>ли и породици</w:t>
      </w:r>
      <w:r>
        <w:rPr>
          <w:color w:val="000000"/>
          <w:vertAlign w:val="superscript"/>
        </w:rPr>
        <w:t>216</w:t>
      </w:r>
      <w:r>
        <w:rPr>
          <w:color w:val="000000"/>
        </w:rPr>
        <w:t>; Правилник о педагошком и андрагошком асистенту</w:t>
      </w:r>
      <w:r>
        <w:rPr>
          <w:color w:val="000000"/>
          <w:vertAlign w:val="superscript"/>
        </w:rPr>
        <w:t>217</w:t>
      </w:r>
      <w:r>
        <w:rPr>
          <w:color w:val="000000"/>
        </w:rPr>
        <w:t xml:space="preserve"> и Правилник о ученичким и студентским кредитима и стипендијама.</w:t>
      </w:r>
      <w:r>
        <w:rPr>
          <w:color w:val="000000"/>
          <w:vertAlign w:val="superscript"/>
        </w:rPr>
        <w:t>218</w:t>
      </w:r>
    </w:p>
    <w:p w:rsidR="00BC3CE6" w:rsidRDefault="009A2DE5">
      <w:pPr>
        <w:spacing w:after="150"/>
      </w:pPr>
      <w:r>
        <w:rPr>
          <w:color w:val="000000"/>
        </w:rPr>
        <w:t>Закони и прописи који се односе на родне аспекте људских права, безбедности и насиља према женама и политичког живота су:</w:t>
      </w:r>
      <w:r>
        <w:rPr>
          <w:color w:val="000000"/>
        </w:rPr>
        <w:t xml:space="preserve"> Закон о заштити података о личности</w:t>
      </w:r>
      <w:r>
        <w:rPr>
          <w:color w:val="000000"/>
          <w:vertAlign w:val="superscript"/>
        </w:rPr>
        <w:t>219</w:t>
      </w:r>
      <w:r>
        <w:rPr>
          <w:color w:val="000000"/>
        </w:rPr>
        <w:t>; Закон о јавном информисању и медијима</w:t>
      </w:r>
      <w:r>
        <w:rPr>
          <w:color w:val="000000"/>
          <w:vertAlign w:val="superscript"/>
        </w:rPr>
        <w:t>220</w:t>
      </w:r>
      <w:r>
        <w:rPr>
          <w:color w:val="000000"/>
        </w:rPr>
        <w:t>; Породични закон</w:t>
      </w:r>
      <w:r>
        <w:rPr>
          <w:color w:val="000000"/>
          <w:vertAlign w:val="superscript"/>
        </w:rPr>
        <w:t>221</w:t>
      </w:r>
      <w:r>
        <w:rPr>
          <w:color w:val="000000"/>
        </w:rPr>
        <w:t>; Закон о парничном поступку</w:t>
      </w:r>
      <w:r>
        <w:rPr>
          <w:color w:val="000000"/>
          <w:vertAlign w:val="superscript"/>
        </w:rPr>
        <w:t>222</w:t>
      </w:r>
      <w:r>
        <w:rPr>
          <w:color w:val="000000"/>
        </w:rPr>
        <w:t>; Кривични законик</w:t>
      </w:r>
      <w:r>
        <w:rPr>
          <w:color w:val="000000"/>
          <w:vertAlign w:val="superscript"/>
        </w:rPr>
        <w:t>223</w:t>
      </w:r>
      <w:r>
        <w:rPr>
          <w:color w:val="000000"/>
        </w:rPr>
        <w:t>; Законик о кривичном поступку</w:t>
      </w:r>
      <w:r>
        <w:rPr>
          <w:color w:val="000000"/>
          <w:vertAlign w:val="superscript"/>
        </w:rPr>
        <w:t>224</w:t>
      </w:r>
      <w:r>
        <w:rPr>
          <w:color w:val="000000"/>
        </w:rPr>
        <w:t>; Закон о полицији</w:t>
      </w:r>
      <w:r>
        <w:rPr>
          <w:color w:val="000000"/>
          <w:vertAlign w:val="superscript"/>
        </w:rPr>
        <w:t>225</w:t>
      </w:r>
      <w:r>
        <w:rPr>
          <w:color w:val="000000"/>
        </w:rPr>
        <w:t>; Закон о оружју и муницији</w:t>
      </w:r>
      <w:r>
        <w:rPr>
          <w:color w:val="000000"/>
          <w:vertAlign w:val="superscript"/>
        </w:rPr>
        <w:t>226</w:t>
      </w:r>
      <w:r>
        <w:rPr>
          <w:color w:val="000000"/>
        </w:rPr>
        <w:t>; Закон о јавном ре</w:t>
      </w:r>
      <w:r>
        <w:rPr>
          <w:color w:val="000000"/>
        </w:rPr>
        <w:t>ду и миру</w:t>
      </w:r>
      <w:r>
        <w:rPr>
          <w:color w:val="000000"/>
          <w:vertAlign w:val="superscript"/>
        </w:rPr>
        <w:t>227</w:t>
      </w:r>
      <w:r>
        <w:rPr>
          <w:color w:val="000000"/>
        </w:rPr>
        <w:t>; Закон о извршењу кривичних санкција</w:t>
      </w:r>
      <w:r>
        <w:rPr>
          <w:color w:val="000000"/>
          <w:vertAlign w:val="superscript"/>
        </w:rPr>
        <w:t>228</w:t>
      </w:r>
      <w:r>
        <w:rPr>
          <w:color w:val="000000"/>
        </w:rPr>
        <w:t>; Закон о међународној правној помоћи у кривичним стварима</w:t>
      </w:r>
      <w:r>
        <w:rPr>
          <w:color w:val="000000"/>
          <w:vertAlign w:val="superscript"/>
        </w:rPr>
        <w:t>229</w:t>
      </w:r>
      <w:r>
        <w:rPr>
          <w:color w:val="000000"/>
        </w:rPr>
        <w:t>; Закон о странцима</w:t>
      </w:r>
      <w:r>
        <w:rPr>
          <w:color w:val="000000"/>
          <w:vertAlign w:val="superscript"/>
        </w:rPr>
        <w:t>230</w:t>
      </w:r>
      <w:r>
        <w:rPr>
          <w:color w:val="000000"/>
        </w:rPr>
        <w:t>; Закон о малолетним учиниоцима кривичних дела и кривичноправној заштити малолетних лица</w:t>
      </w:r>
      <w:r>
        <w:rPr>
          <w:color w:val="000000"/>
          <w:vertAlign w:val="superscript"/>
        </w:rPr>
        <w:t>231</w:t>
      </w:r>
      <w:r>
        <w:rPr>
          <w:color w:val="000000"/>
        </w:rPr>
        <w:t>; Закон о програму заштите уче</w:t>
      </w:r>
      <w:r>
        <w:rPr>
          <w:color w:val="000000"/>
        </w:rPr>
        <w:t>сника у кривичном поступку</w:t>
      </w:r>
      <w:r>
        <w:rPr>
          <w:color w:val="000000"/>
          <w:vertAlign w:val="superscript"/>
        </w:rPr>
        <w:t>232</w:t>
      </w:r>
      <w:r>
        <w:rPr>
          <w:color w:val="000000"/>
        </w:rPr>
        <w:t>; Правилник о полицијским овлашћењима</w:t>
      </w:r>
      <w:r>
        <w:rPr>
          <w:color w:val="000000"/>
          <w:vertAlign w:val="superscript"/>
        </w:rPr>
        <w:t>233</w:t>
      </w:r>
      <w:r>
        <w:rPr>
          <w:color w:val="000000"/>
        </w:rPr>
        <w:t>; Правилник о ближим условима за одобрење привременог боравка, изгледу захтева за одобрење привременог боравка, изгледу и начину уношења налепнице привременог боравка у страну путну испра</w:t>
      </w:r>
      <w:r>
        <w:rPr>
          <w:color w:val="000000"/>
        </w:rPr>
        <w:t>ву</w:t>
      </w:r>
      <w:r>
        <w:rPr>
          <w:color w:val="000000"/>
          <w:vertAlign w:val="superscript"/>
        </w:rPr>
        <w:t>234</w:t>
      </w:r>
      <w:r>
        <w:rPr>
          <w:color w:val="000000"/>
        </w:rPr>
        <w:t>; Закон о критичној инфраструктури</w:t>
      </w:r>
      <w:r>
        <w:rPr>
          <w:color w:val="000000"/>
          <w:vertAlign w:val="superscript"/>
        </w:rPr>
        <w:t>235</w:t>
      </w:r>
      <w:r>
        <w:rPr>
          <w:color w:val="000000"/>
        </w:rPr>
        <w:t>; Општи протокол о поступању и сарадњи установа, органа и организација у ситуацијама насиља над женама у породици и у партнерским односима</w:t>
      </w:r>
      <w:r>
        <w:rPr>
          <w:color w:val="000000"/>
          <w:vertAlign w:val="superscript"/>
        </w:rPr>
        <w:t>236</w:t>
      </w:r>
      <w:r>
        <w:rPr>
          <w:color w:val="000000"/>
        </w:rPr>
        <w:t>; Посебни протокол о поступању полицијских службеника у случајевима насиљ</w:t>
      </w:r>
      <w:r>
        <w:rPr>
          <w:color w:val="000000"/>
        </w:rPr>
        <w:t>а над женама у породици и у партнерским односима</w:t>
      </w:r>
      <w:r>
        <w:rPr>
          <w:color w:val="000000"/>
          <w:vertAlign w:val="superscript"/>
        </w:rPr>
        <w:t>237</w:t>
      </w:r>
      <w:r>
        <w:rPr>
          <w:color w:val="000000"/>
        </w:rPr>
        <w:t>; Закон о бесплатној правној помоћи</w:t>
      </w:r>
      <w:r>
        <w:rPr>
          <w:color w:val="000000"/>
          <w:vertAlign w:val="superscript"/>
        </w:rPr>
        <w:t>238</w:t>
      </w:r>
      <w:r>
        <w:rPr>
          <w:color w:val="000000"/>
        </w:rPr>
        <w:t>; Закон о адвокатури</w:t>
      </w:r>
      <w:r>
        <w:rPr>
          <w:color w:val="000000"/>
          <w:vertAlign w:val="superscript"/>
        </w:rPr>
        <w:t>239</w:t>
      </w:r>
      <w:r>
        <w:rPr>
          <w:color w:val="000000"/>
        </w:rPr>
        <w:t>; Закон о јавном тужилаштву</w:t>
      </w:r>
      <w:r>
        <w:rPr>
          <w:color w:val="000000"/>
          <w:vertAlign w:val="superscript"/>
        </w:rPr>
        <w:t>240</w:t>
      </w:r>
      <w:r>
        <w:rPr>
          <w:color w:val="000000"/>
        </w:rPr>
        <w:t>; Закон о уређењу судова</w:t>
      </w:r>
      <w:r>
        <w:rPr>
          <w:color w:val="000000"/>
          <w:vertAlign w:val="superscript"/>
        </w:rPr>
        <w:t>241</w:t>
      </w:r>
      <w:r>
        <w:rPr>
          <w:color w:val="000000"/>
        </w:rPr>
        <w:t>; Закон о заштитнику грађана</w:t>
      </w:r>
      <w:r>
        <w:rPr>
          <w:color w:val="000000"/>
          <w:vertAlign w:val="superscript"/>
        </w:rPr>
        <w:t>242</w:t>
      </w:r>
      <w:r>
        <w:rPr>
          <w:color w:val="000000"/>
        </w:rPr>
        <w:t>; Закон о седиштима и подручјима судова и јавних тужилаш</w:t>
      </w:r>
      <w:r>
        <w:rPr>
          <w:color w:val="000000"/>
        </w:rPr>
        <w:t>тава</w:t>
      </w:r>
      <w:r>
        <w:rPr>
          <w:color w:val="000000"/>
          <w:vertAlign w:val="superscript"/>
        </w:rPr>
        <w:t>243</w:t>
      </w:r>
      <w:r>
        <w:rPr>
          <w:color w:val="000000"/>
        </w:rPr>
        <w:t>; Закон о Уставном суду</w:t>
      </w:r>
      <w:r>
        <w:rPr>
          <w:color w:val="000000"/>
          <w:vertAlign w:val="superscript"/>
        </w:rPr>
        <w:t>244</w:t>
      </w:r>
      <w:r>
        <w:rPr>
          <w:color w:val="000000"/>
        </w:rPr>
        <w:t>; Закон о избору народних посланика</w:t>
      </w:r>
      <w:r>
        <w:rPr>
          <w:color w:val="000000"/>
          <w:vertAlign w:val="superscript"/>
        </w:rPr>
        <w:t>245</w:t>
      </w:r>
      <w:r>
        <w:rPr>
          <w:color w:val="000000"/>
        </w:rPr>
        <w:t>; Закон о локалним изборима</w:t>
      </w:r>
      <w:r>
        <w:rPr>
          <w:color w:val="000000"/>
          <w:vertAlign w:val="superscript"/>
        </w:rPr>
        <w:t>246</w:t>
      </w:r>
      <w:r>
        <w:rPr>
          <w:color w:val="000000"/>
        </w:rPr>
        <w:t>; Закон о политичким странкама</w:t>
      </w:r>
      <w:r>
        <w:rPr>
          <w:color w:val="000000"/>
          <w:vertAlign w:val="superscript"/>
        </w:rPr>
        <w:t>247</w:t>
      </w:r>
      <w:r>
        <w:rPr>
          <w:color w:val="000000"/>
        </w:rPr>
        <w:t>; Закон о смањењу ризика од катастрофа и управљању ванредним ситуацијама</w:t>
      </w:r>
      <w:r>
        <w:rPr>
          <w:color w:val="000000"/>
          <w:vertAlign w:val="superscript"/>
        </w:rPr>
        <w:t>248</w:t>
      </w:r>
      <w:r>
        <w:rPr>
          <w:color w:val="000000"/>
        </w:rPr>
        <w:t xml:space="preserve"> и Закон о радијационој и нуклеарној сигурности</w:t>
      </w:r>
      <w:r>
        <w:rPr>
          <w:color w:val="000000"/>
        </w:rPr>
        <w:t xml:space="preserve"> и безбедности.</w:t>
      </w:r>
      <w:r>
        <w:rPr>
          <w:color w:val="000000"/>
          <w:vertAlign w:val="superscript"/>
        </w:rPr>
        <w:t>249</w:t>
      </w:r>
    </w:p>
    <w:p w:rsidR="00BC3CE6" w:rsidRDefault="009A2DE5">
      <w:pPr>
        <w:spacing w:after="150"/>
      </w:pPr>
      <w:r>
        <w:rPr>
          <w:color w:val="000000"/>
        </w:rPr>
        <w:t>Закони и прописи који се односе на родне аспекте у областима здравствене заштите и социјалне сигурности су: Закон о социјалној заштити</w:t>
      </w:r>
      <w:r>
        <w:rPr>
          <w:color w:val="000000"/>
          <w:vertAlign w:val="superscript"/>
        </w:rPr>
        <w:t>250</w:t>
      </w:r>
      <w:r>
        <w:rPr>
          <w:color w:val="000000"/>
        </w:rPr>
        <w:t>; Закон о здравственој заштити</w:t>
      </w:r>
      <w:r>
        <w:rPr>
          <w:color w:val="000000"/>
          <w:vertAlign w:val="superscript"/>
        </w:rPr>
        <w:t>251</w:t>
      </w:r>
      <w:r>
        <w:rPr>
          <w:color w:val="000000"/>
        </w:rPr>
        <w:t>; Закон о јавном здрављу</w:t>
      </w:r>
      <w:r>
        <w:rPr>
          <w:color w:val="000000"/>
          <w:vertAlign w:val="superscript"/>
        </w:rPr>
        <w:t>252</w:t>
      </w:r>
      <w:r>
        <w:rPr>
          <w:color w:val="000000"/>
        </w:rPr>
        <w:t>; Закон о здравственом осигурању</w:t>
      </w:r>
      <w:r>
        <w:rPr>
          <w:color w:val="000000"/>
          <w:vertAlign w:val="superscript"/>
        </w:rPr>
        <w:t>253</w:t>
      </w:r>
      <w:r>
        <w:rPr>
          <w:color w:val="000000"/>
        </w:rPr>
        <w:t xml:space="preserve">; </w:t>
      </w:r>
      <w:r>
        <w:rPr>
          <w:color w:val="000000"/>
        </w:rPr>
        <w:t>Закон о правима пацијената</w:t>
      </w:r>
      <w:r>
        <w:rPr>
          <w:color w:val="000000"/>
          <w:vertAlign w:val="superscript"/>
        </w:rPr>
        <w:t>254</w:t>
      </w:r>
      <w:r>
        <w:rPr>
          <w:color w:val="000000"/>
        </w:rPr>
        <w:t>; Закон о поступку прекида трудноће у здравственим установама</w:t>
      </w:r>
      <w:r>
        <w:rPr>
          <w:color w:val="000000"/>
          <w:vertAlign w:val="superscript"/>
        </w:rPr>
        <w:t>255</w:t>
      </w:r>
      <w:r>
        <w:rPr>
          <w:color w:val="000000"/>
        </w:rPr>
        <w:t>; Закон о здравственој документацији и евиденцијама у области здравства</w:t>
      </w:r>
      <w:r>
        <w:rPr>
          <w:color w:val="000000"/>
          <w:vertAlign w:val="superscript"/>
        </w:rPr>
        <w:t>256</w:t>
      </w:r>
      <w:r>
        <w:rPr>
          <w:color w:val="000000"/>
        </w:rPr>
        <w:t>; Закон о финансијској подршци породици с децом</w:t>
      </w:r>
      <w:r>
        <w:rPr>
          <w:color w:val="000000"/>
          <w:vertAlign w:val="superscript"/>
        </w:rPr>
        <w:t>257</w:t>
      </w:r>
      <w:r>
        <w:rPr>
          <w:color w:val="000000"/>
        </w:rPr>
        <w:t>; Закон о пензијском и инвалидском осиг</w:t>
      </w:r>
      <w:r>
        <w:rPr>
          <w:color w:val="000000"/>
        </w:rPr>
        <w:t>урању</w:t>
      </w:r>
      <w:r>
        <w:rPr>
          <w:color w:val="000000"/>
          <w:vertAlign w:val="superscript"/>
        </w:rPr>
        <w:t>258</w:t>
      </w:r>
      <w:r>
        <w:rPr>
          <w:color w:val="000000"/>
        </w:rPr>
        <w:t xml:space="preserve">; Закон </w:t>
      </w:r>
      <w:r>
        <w:rPr>
          <w:color w:val="000000"/>
        </w:rPr>
        <w:lastRenderedPageBreak/>
        <w:t>о становању и одржавању зграда</w:t>
      </w:r>
      <w:r>
        <w:rPr>
          <w:color w:val="000000"/>
          <w:vertAlign w:val="superscript"/>
        </w:rPr>
        <w:t>259</w:t>
      </w:r>
      <w:r>
        <w:rPr>
          <w:color w:val="000000"/>
        </w:rPr>
        <w:t>; Закон о заштити ваздуха</w:t>
      </w:r>
      <w:r>
        <w:rPr>
          <w:color w:val="000000"/>
          <w:vertAlign w:val="superscript"/>
        </w:rPr>
        <w:t>260</w:t>
      </w:r>
      <w:r>
        <w:rPr>
          <w:color w:val="000000"/>
        </w:rPr>
        <w:t>; Закон о заштити становништва од изложености дуванском диму</w:t>
      </w:r>
      <w:r>
        <w:rPr>
          <w:color w:val="000000"/>
          <w:vertAlign w:val="superscript"/>
        </w:rPr>
        <w:t>261</w:t>
      </w:r>
      <w:r>
        <w:rPr>
          <w:color w:val="000000"/>
        </w:rPr>
        <w:t>; Закон о друштвеној бризи о деци</w:t>
      </w:r>
      <w:r>
        <w:rPr>
          <w:color w:val="000000"/>
          <w:vertAlign w:val="superscript"/>
        </w:rPr>
        <w:t>262</w:t>
      </w:r>
      <w:r>
        <w:rPr>
          <w:color w:val="000000"/>
        </w:rPr>
        <w:t>; Правилник о ближим условима и стандардима за пружање услуга социјалне заштите</w:t>
      </w:r>
      <w:r>
        <w:rPr>
          <w:color w:val="000000"/>
          <w:vertAlign w:val="superscript"/>
        </w:rPr>
        <w:t>2</w:t>
      </w:r>
      <w:r>
        <w:rPr>
          <w:color w:val="000000"/>
          <w:vertAlign w:val="superscript"/>
        </w:rPr>
        <w:t>63</w:t>
      </w:r>
      <w:r>
        <w:rPr>
          <w:color w:val="000000"/>
        </w:rPr>
        <w:t>; Општи протокол о поступању и сарадњи установа, органа и организација у ситуацијама насиља над женама у породици и у партнерским односима</w:t>
      </w:r>
      <w:r>
        <w:rPr>
          <w:color w:val="000000"/>
          <w:vertAlign w:val="superscript"/>
        </w:rPr>
        <w:t>264</w:t>
      </w:r>
      <w:r>
        <w:rPr>
          <w:color w:val="000000"/>
        </w:rPr>
        <w:t>; Посебан протокол Министарства здравља за заштиту и поступање са женама које су изложене насиљу</w:t>
      </w:r>
      <w:r>
        <w:rPr>
          <w:color w:val="000000"/>
          <w:vertAlign w:val="superscript"/>
        </w:rPr>
        <w:t>265</w:t>
      </w:r>
      <w:r>
        <w:rPr>
          <w:color w:val="000000"/>
        </w:rPr>
        <w:t>; Посебан прот</w:t>
      </w:r>
      <w:r>
        <w:rPr>
          <w:color w:val="000000"/>
        </w:rPr>
        <w:t>окол о поступању центара за социјални рад, органа старатељства у случајевима насиља у породици и женама у партнерским односима</w:t>
      </w:r>
      <w:r>
        <w:rPr>
          <w:color w:val="000000"/>
          <w:vertAlign w:val="superscript"/>
        </w:rPr>
        <w:t>266</w:t>
      </w:r>
      <w:r>
        <w:rPr>
          <w:color w:val="000000"/>
        </w:rPr>
        <w:t xml:space="preserve"> и Правилник о протоколу поступања у установи у одговору на насиље, злостављање и занемаривање.</w:t>
      </w:r>
      <w:r>
        <w:rPr>
          <w:color w:val="000000"/>
          <w:vertAlign w:val="superscript"/>
        </w:rPr>
        <w:t>267</w:t>
      </w:r>
    </w:p>
    <w:p w:rsidR="00BC3CE6" w:rsidRDefault="009A2DE5">
      <w:pPr>
        <w:spacing w:after="150"/>
      </w:pPr>
      <w:r>
        <w:rPr>
          <w:color w:val="000000"/>
        </w:rPr>
        <w:t>Закони и прописи који се одн</w:t>
      </w:r>
      <w:r>
        <w:rPr>
          <w:color w:val="000000"/>
        </w:rPr>
        <w:t>осе на институционални оквир и креирање родно одговорних јавних политика и буџета су: Закон о званичној статистици</w:t>
      </w:r>
      <w:r>
        <w:rPr>
          <w:color w:val="000000"/>
          <w:vertAlign w:val="superscript"/>
        </w:rPr>
        <w:t>268</w:t>
      </w:r>
      <w:r>
        <w:rPr>
          <w:color w:val="000000"/>
        </w:rPr>
        <w:t>; Закон о евиденцијама и обради података у области унутрашњих послова</w:t>
      </w:r>
      <w:r>
        <w:rPr>
          <w:color w:val="000000"/>
          <w:vertAlign w:val="superscript"/>
        </w:rPr>
        <w:t>269</w:t>
      </w:r>
      <w:r>
        <w:rPr>
          <w:color w:val="000000"/>
        </w:rPr>
        <w:t>; Закон о здравственој документацији и евиденцијама у области здрав</w:t>
      </w:r>
      <w:r>
        <w:rPr>
          <w:color w:val="000000"/>
        </w:rPr>
        <w:t>ства</w:t>
      </w:r>
      <w:r>
        <w:rPr>
          <w:color w:val="000000"/>
          <w:vertAlign w:val="superscript"/>
        </w:rPr>
        <w:t>270</w:t>
      </w:r>
      <w:r>
        <w:rPr>
          <w:color w:val="000000"/>
        </w:rPr>
        <w:t>; Закон о буџетском систему</w:t>
      </w:r>
      <w:r>
        <w:rPr>
          <w:color w:val="000000"/>
          <w:vertAlign w:val="superscript"/>
        </w:rPr>
        <w:t>271</w:t>
      </w:r>
      <w:r>
        <w:rPr>
          <w:color w:val="000000"/>
        </w:rPr>
        <w:t>; Закон о буџету РС за 2021. годину</w:t>
      </w:r>
      <w:r>
        <w:rPr>
          <w:color w:val="000000"/>
          <w:vertAlign w:val="superscript"/>
        </w:rPr>
        <w:t>272</w:t>
      </w:r>
      <w:r>
        <w:rPr>
          <w:color w:val="000000"/>
        </w:rPr>
        <w:t>; Закон о Влади</w:t>
      </w:r>
      <w:r>
        <w:rPr>
          <w:color w:val="000000"/>
          <w:vertAlign w:val="superscript"/>
        </w:rPr>
        <w:t>273</w:t>
      </w:r>
      <w:r>
        <w:rPr>
          <w:color w:val="000000"/>
        </w:rPr>
        <w:t>; Закон о министарствима</w:t>
      </w:r>
      <w:r>
        <w:rPr>
          <w:color w:val="000000"/>
          <w:vertAlign w:val="superscript"/>
        </w:rPr>
        <w:t>274</w:t>
      </w:r>
      <w:r>
        <w:rPr>
          <w:color w:val="000000"/>
        </w:rPr>
        <w:t>; Закон о утврђивању надлежности АПВ</w:t>
      </w:r>
      <w:r>
        <w:rPr>
          <w:color w:val="000000"/>
          <w:vertAlign w:val="superscript"/>
        </w:rPr>
        <w:t>275</w:t>
      </w:r>
      <w:r>
        <w:rPr>
          <w:color w:val="000000"/>
        </w:rPr>
        <w:t>; Закон о локалној самоуправи</w:t>
      </w:r>
      <w:r>
        <w:rPr>
          <w:color w:val="000000"/>
          <w:vertAlign w:val="superscript"/>
        </w:rPr>
        <w:t>276</w:t>
      </w:r>
      <w:r>
        <w:rPr>
          <w:color w:val="000000"/>
        </w:rPr>
        <w:t xml:space="preserve"> и Одлука о оснивању Координационог тела за родну равноправност.</w:t>
      </w:r>
      <w:r>
        <w:rPr>
          <w:color w:val="000000"/>
          <w:vertAlign w:val="superscript"/>
        </w:rPr>
        <w:t>2</w:t>
      </w:r>
      <w:r>
        <w:rPr>
          <w:color w:val="000000"/>
          <w:vertAlign w:val="superscript"/>
        </w:rPr>
        <w:t>77</w:t>
      </w:r>
    </w:p>
    <w:p w:rsidR="00BC3CE6" w:rsidRDefault="009A2DE5">
      <w:pPr>
        <w:spacing w:after="150"/>
      </w:pPr>
      <w:r>
        <w:rPr>
          <w:color w:val="000000"/>
        </w:rPr>
        <w:t>Закони и прописи који се односе на рањиве групе, а који су релевантни за све области обухваћене овом стратегијом су: Закон о младима</w:t>
      </w:r>
      <w:r>
        <w:rPr>
          <w:color w:val="000000"/>
          <w:vertAlign w:val="superscript"/>
        </w:rPr>
        <w:t>278</w:t>
      </w:r>
      <w:r>
        <w:rPr>
          <w:color w:val="000000"/>
        </w:rPr>
        <w:t>; Закон о заштити права и слобода националних мањина</w:t>
      </w:r>
      <w:r>
        <w:rPr>
          <w:color w:val="000000"/>
          <w:vertAlign w:val="superscript"/>
        </w:rPr>
        <w:t>279</w:t>
      </w:r>
      <w:r>
        <w:rPr>
          <w:color w:val="000000"/>
        </w:rPr>
        <w:t>; Закон о националним саветима националних мањина</w:t>
      </w:r>
      <w:r>
        <w:rPr>
          <w:color w:val="000000"/>
          <w:vertAlign w:val="superscript"/>
        </w:rPr>
        <w:t>280</w:t>
      </w:r>
      <w:r>
        <w:rPr>
          <w:color w:val="000000"/>
        </w:rPr>
        <w:t>; Закон о с</w:t>
      </w:r>
      <w:r>
        <w:rPr>
          <w:color w:val="000000"/>
        </w:rPr>
        <w:t>пречавању дискриминације особа са инвалидитетом</w:t>
      </w:r>
      <w:r>
        <w:rPr>
          <w:color w:val="000000"/>
          <w:vertAlign w:val="superscript"/>
        </w:rPr>
        <w:t>281</w:t>
      </w:r>
      <w:r>
        <w:rPr>
          <w:color w:val="000000"/>
        </w:rPr>
        <w:t>; Закон о професионалној рехабилитацији и запошљавању особа са инвалидитетом</w:t>
      </w:r>
      <w:r>
        <w:rPr>
          <w:color w:val="000000"/>
          <w:vertAlign w:val="superscript"/>
        </w:rPr>
        <w:t>282</w:t>
      </w:r>
      <w:r>
        <w:rPr>
          <w:color w:val="000000"/>
        </w:rPr>
        <w:t>; Закон о посебним мерама за спречавање вршења кривичних дела против полне слободе према малолетним лицима</w:t>
      </w:r>
      <w:r>
        <w:rPr>
          <w:color w:val="000000"/>
          <w:vertAlign w:val="superscript"/>
        </w:rPr>
        <w:t>283</w:t>
      </w:r>
      <w:r>
        <w:rPr>
          <w:color w:val="000000"/>
        </w:rPr>
        <w:t xml:space="preserve">; Закон о азилу и </w:t>
      </w:r>
      <w:r>
        <w:rPr>
          <w:color w:val="000000"/>
        </w:rPr>
        <w:t>привременој заштити</w:t>
      </w:r>
      <w:r>
        <w:rPr>
          <w:color w:val="000000"/>
          <w:vertAlign w:val="superscript"/>
        </w:rPr>
        <w:t>284</w:t>
      </w:r>
      <w:r>
        <w:rPr>
          <w:color w:val="000000"/>
        </w:rPr>
        <w:t>; Закон о употреби знаковног језика</w:t>
      </w:r>
      <w:r>
        <w:rPr>
          <w:color w:val="000000"/>
          <w:vertAlign w:val="superscript"/>
        </w:rPr>
        <w:t>285</w:t>
      </w:r>
      <w:r>
        <w:rPr>
          <w:color w:val="000000"/>
        </w:rPr>
        <w:t>; Одлука РИК о процени приступачности бирачких места у РС (2019)</w:t>
      </w:r>
      <w:r>
        <w:rPr>
          <w:color w:val="000000"/>
          <w:vertAlign w:val="superscript"/>
        </w:rPr>
        <w:t>286</w:t>
      </w:r>
      <w:r>
        <w:rPr>
          <w:color w:val="000000"/>
        </w:rPr>
        <w:t>; Препорука Савета РЕМ о већој доступности садржаја особама са инвалидитетом (2019)</w:t>
      </w:r>
      <w:r>
        <w:rPr>
          <w:color w:val="000000"/>
          <w:vertAlign w:val="superscript"/>
        </w:rPr>
        <w:t>287</w:t>
      </w:r>
      <w:r>
        <w:rPr>
          <w:color w:val="000000"/>
        </w:rPr>
        <w:t xml:space="preserve"> и Препорука Савета РЕМ о начину коришћења </w:t>
      </w:r>
      <w:r>
        <w:rPr>
          <w:color w:val="000000"/>
        </w:rPr>
        <w:t>титлова и знаковног језика.</w:t>
      </w:r>
      <w:r>
        <w:rPr>
          <w:color w:val="000000"/>
          <w:vertAlign w:val="superscript"/>
        </w:rPr>
        <w:t>288</w:t>
      </w:r>
    </w:p>
    <w:p w:rsidR="00BC3CE6" w:rsidRDefault="009A2DE5">
      <w:pPr>
        <w:spacing w:after="150"/>
        <w:jc w:val="both"/>
      </w:pPr>
      <w:r>
        <w:rPr>
          <w:i/>
          <w:color w:val="000000"/>
        </w:rPr>
        <w:t>––––––––</w:t>
      </w:r>
    </w:p>
    <w:p w:rsidR="00BC3CE6" w:rsidRDefault="009A2DE5">
      <w:pPr>
        <w:spacing w:after="150"/>
        <w:jc w:val="both"/>
      </w:pPr>
      <w:r>
        <w:rPr>
          <w:i/>
          <w:color w:val="000000"/>
        </w:rPr>
        <w:t>162 „Службени гласник РС”, број 98/06.</w:t>
      </w:r>
    </w:p>
    <w:p w:rsidR="00BC3CE6" w:rsidRDefault="009A2DE5">
      <w:pPr>
        <w:spacing w:after="150"/>
        <w:jc w:val="both"/>
      </w:pPr>
      <w:r>
        <w:rPr>
          <w:i/>
          <w:color w:val="000000"/>
        </w:rPr>
        <w:t>163 „Службени гласник РС”, бр. 22/09 и 52/21.</w:t>
      </w:r>
    </w:p>
    <w:p w:rsidR="00BC3CE6" w:rsidRDefault="009A2DE5">
      <w:pPr>
        <w:spacing w:after="150"/>
        <w:jc w:val="both"/>
      </w:pPr>
      <w:r>
        <w:rPr>
          <w:i/>
          <w:color w:val="000000"/>
        </w:rPr>
        <w:t>164 „Службени гласник РС”, број 52/21.</w:t>
      </w:r>
    </w:p>
    <w:p w:rsidR="00BC3CE6" w:rsidRDefault="009A2DE5">
      <w:pPr>
        <w:spacing w:after="150"/>
        <w:jc w:val="both"/>
      </w:pPr>
      <w:r>
        <w:rPr>
          <w:i/>
          <w:color w:val="000000"/>
        </w:rPr>
        <w:t>165 „Службени гласник СФРЈ – Међународни уговори”, бр. 11/81 и 5/14.</w:t>
      </w:r>
    </w:p>
    <w:p w:rsidR="00BC3CE6" w:rsidRDefault="009A2DE5">
      <w:pPr>
        <w:spacing w:after="150"/>
        <w:jc w:val="both"/>
      </w:pPr>
      <w:r>
        <w:rPr>
          <w:i/>
          <w:color w:val="000000"/>
        </w:rPr>
        <w:t xml:space="preserve">166 „Службени гласник </w:t>
      </w:r>
      <w:r>
        <w:rPr>
          <w:i/>
          <w:color w:val="000000"/>
        </w:rPr>
        <w:t>РС”– Међународни уговори”, бр. 12/13 и 4/14.</w:t>
      </w:r>
    </w:p>
    <w:p w:rsidR="00BC3CE6" w:rsidRDefault="009A2DE5">
      <w:pPr>
        <w:spacing w:after="150"/>
        <w:jc w:val="both"/>
      </w:pPr>
      <w:r>
        <w:rPr>
          <w:i/>
          <w:color w:val="000000"/>
        </w:rPr>
        <w:t>167 „Службени гласник РС”, број 94/16.</w:t>
      </w:r>
    </w:p>
    <w:p w:rsidR="00BC3CE6" w:rsidRDefault="009A2DE5">
      <w:pPr>
        <w:spacing w:after="150"/>
        <w:jc w:val="both"/>
      </w:pPr>
      <w:r>
        <w:rPr>
          <w:i/>
          <w:color w:val="000000"/>
        </w:rPr>
        <w:t>168 „Службени гласник РС”, бр. 33/06 и 13/16.</w:t>
      </w:r>
    </w:p>
    <w:p w:rsidR="00BC3CE6" w:rsidRDefault="009A2DE5">
      <w:pPr>
        <w:spacing w:after="150"/>
        <w:jc w:val="both"/>
      </w:pPr>
      <w:r>
        <w:rPr>
          <w:i/>
          <w:color w:val="000000"/>
        </w:rPr>
        <w:t>169 „Службени гласник РС”, број 30/18.</w:t>
      </w:r>
    </w:p>
    <w:p w:rsidR="00BC3CE6" w:rsidRDefault="009A2DE5">
      <w:pPr>
        <w:spacing w:after="150"/>
        <w:jc w:val="both"/>
      </w:pPr>
      <w:r>
        <w:rPr>
          <w:i/>
          <w:color w:val="000000"/>
        </w:rPr>
        <w:lastRenderedPageBreak/>
        <w:t>170 „Службени гласник РС”, број 8/19.</w:t>
      </w:r>
    </w:p>
    <w:p w:rsidR="00BC3CE6" w:rsidRDefault="009A2DE5">
      <w:pPr>
        <w:spacing w:after="150"/>
        <w:jc w:val="both"/>
      </w:pPr>
      <w:r>
        <w:rPr>
          <w:i/>
          <w:color w:val="000000"/>
        </w:rPr>
        <w:t>171 „Службени гласник РС”, број 8/19.</w:t>
      </w:r>
    </w:p>
    <w:p w:rsidR="00BC3CE6" w:rsidRDefault="009A2DE5">
      <w:pPr>
        <w:spacing w:after="150"/>
        <w:jc w:val="both"/>
      </w:pPr>
      <w:r>
        <w:rPr>
          <w:i/>
          <w:color w:val="000000"/>
        </w:rPr>
        <w:t>172 „Службе</w:t>
      </w:r>
      <w:r>
        <w:rPr>
          <w:i/>
          <w:color w:val="000000"/>
        </w:rPr>
        <w:t>ни гласник РС”, бр. 55/05, 71/05 – исправка, 101/07, 65/08, 16/11, 68/12 – УС, 72/12, 7/14 – УС, 44/14 и 30/18 – др. закон.</w:t>
      </w:r>
    </w:p>
    <w:p w:rsidR="00BC3CE6" w:rsidRDefault="009A2DE5">
      <w:pPr>
        <w:spacing w:after="150"/>
        <w:jc w:val="both"/>
      </w:pPr>
      <w:r>
        <w:rPr>
          <w:i/>
          <w:color w:val="000000"/>
        </w:rPr>
        <w:t>173 „Службени гласник РС”, број 128/20.</w:t>
      </w:r>
    </w:p>
    <w:p w:rsidR="00BC3CE6" w:rsidRDefault="009A2DE5">
      <w:pPr>
        <w:spacing w:after="150"/>
        <w:jc w:val="both"/>
      </w:pPr>
      <w:r>
        <w:rPr>
          <w:i/>
          <w:color w:val="000000"/>
        </w:rPr>
        <w:t>174 „Службени гласник РС”, бр. 99/09, 67/12 – УС и 18/20.</w:t>
      </w:r>
    </w:p>
    <w:p w:rsidR="00BC3CE6" w:rsidRDefault="009A2DE5">
      <w:pPr>
        <w:spacing w:after="150"/>
        <w:jc w:val="both"/>
      </w:pPr>
      <w:r>
        <w:rPr>
          <w:i/>
          <w:color w:val="000000"/>
        </w:rPr>
        <w:t>175 „Службени гласник РС”, бр. 129</w:t>
      </w:r>
      <w:r>
        <w:rPr>
          <w:i/>
          <w:color w:val="000000"/>
        </w:rPr>
        <w:t>/07, 83/14 – др. закон, 101/2016 – др. закон и 47/18.</w:t>
      </w:r>
    </w:p>
    <w:p w:rsidR="00BC3CE6" w:rsidRDefault="009A2DE5">
      <w:pPr>
        <w:spacing w:after="150"/>
        <w:jc w:val="both"/>
      </w:pPr>
      <w:r>
        <w:rPr>
          <w:i/>
          <w:color w:val="000000"/>
        </w:rPr>
        <w:t>176 Доступно на: https://rsjp.gov.rs/wp-content/uploads/Agenda-UN-2030.pdf приступ 10.5.2021.</w:t>
      </w:r>
    </w:p>
    <w:p w:rsidR="00BC3CE6" w:rsidRDefault="009A2DE5">
      <w:pPr>
        <w:spacing w:after="150"/>
        <w:jc w:val="both"/>
      </w:pPr>
      <w:r>
        <w:rPr>
          <w:i/>
          <w:color w:val="000000"/>
        </w:rPr>
        <w:t>177</w:t>
      </w:r>
      <w:r>
        <w:rPr>
          <w:i/>
          <w:color w:val="000000"/>
        </w:rPr>
        <w:tab/>
        <w:t>Доступно на https://www.rs.undp.org/content/serbia/sr/home/sustainable-development-goals/goal-5-gender-e</w:t>
      </w:r>
      <w:r>
        <w:rPr>
          <w:i/>
          <w:color w:val="000000"/>
        </w:rPr>
        <w:t>quality.html приступ 10. 5. 2021.</w:t>
      </w:r>
    </w:p>
    <w:p w:rsidR="00BC3CE6" w:rsidRDefault="009A2DE5">
      <w:pPr>
        <w:spacing w:after="150"/>
        <w:jc w:val="both"/>
      </w:pPr>
      <w:r>
        <w:rPr>
          <w:i/>
          <w:color w:val="000000"/>
        </w:rPr>
        <w:t>178 „Службени гласник РС”, бр. 135/04, 36/09, 36/09 – др. закон, 72/09 – др. закон, 43/11 – УС, 14/16, 76/18, 95/18 – др. закон и 95/18 – др. закон.</w:t>
      </w:r>
    </w:p>
    <w:p w:rsidR="00BC3CE6" w:rsidRDefault="009A2DE5">
      <w:pPr>
        <w:spacing w:after="150"/>
        <w:jc w:val="both"/>
      </w:pPr>
      <w:r>
        <w:rPr>
          <w:i/>
          <w:color w:val="000000"/>
        </w:rPr>
        <w:t>179 „Службени гласник РС”, бр. 36/09, 88/10, 91/10 – исправка, 14/16, 95/</w:t>
      </w:r>
      <w:r>
        <w:rPr>
          <w:i/>
          <w:color w:val="000000"/>
        </w:rPr>
        <w:t>18 – др. закон и 71/21.</w:t>
      </w:r>
    </w:p>
    <w:p w:rsidR="00BC3CE6" w:rsidRDefault="009A2DE5">
      <w:pPr>
        <w:spacing w:after="150"/>
        <w:jc w:val="both"/>
      </w:pPr>
      <w:r>
        <w:rPr>
          <w:i/>
          <w:color w:val="000000"/>
        </w:rPr>
        <w:t>180 „Службени гласник РС”, бр. 30/10, 93/12, 101/16 и 95/18 – др. закон.</w:t>
      </w:r>
    </w:p>
    <w:p w:rsidR="00BC3CE6" w:rsidRDefault="009A2DE5">
      <w:pPr>
        <w:spacing w:after="150"/>
        <w:jc w:val="both"/>
      </w:pPr>
      <w:r>
        <w:rPr>
          <w:i/>
          <w:color w:val="000000"/>
        </w:rPr>
        <w:t>181 „Службени гласник РС”, бр. 62/06, 65/08 – др. закон, 41/09, 112/15, 80/17 и 95/18 – др. закон.</w:t>
      </w:r>
    </w:p>
    <w:p w:rsidR="00BC3CE6" w:rsidRDefault="009A2DE5">
      <w:pPr>
        <w:spacing w:after="150"/>
        <w:jc w:val="both"/>
      </w:pPr>
      <w:r>
        <w:rPr>
          <w:i/>
          <w:color w:val="000000"/>
        </w:rPr>
        <w:t>182 „Службени гласник РС”, бр. 30/10, 93/12, 89/15 и 95/18 –</w:t>
      </w:r>
      <w:r>
        <w:rPr>
          <w:i/>
          <w:color w:val="000000"/>
        </w:rPr>
        <w:t xml:space="preserve"> др. закон.</w:t>
      </w:r>
    </w:p>
    <w:p w:rsidR="00BC3CE6" w:rsidRDefault="009A2DE5">
      <w:pPr>
        <w:spacing w:after="150"/>
        <w:jc w:val="both"/>
      </w:pPr>
      <w:r>
        <w:rPr>
          <w:i/>
          <w:color w:val="000000"/>
        </w:rPr>
        <w:t>183 „Службени гласник РС”, бр. 101/15, 95/18 – др. закон и 40/21.</w:t>
      </w:r>
    </w:p>
    <w:p w:rsidR="00BC3CE6" w:rsidRDefault="009A2DE5">
      <w:pPr>
        <w:spacing w:after="150"/>
        <w:jc w:val="both"/>
      </w:pPr>
      <w:r>
        <w:rPr>
          <w:i/>
          <w:color w:val="000000"/>
        </w:rPr>
        <w:t>184 „Службени гласник РС”, бр. 36/09, 10/13 и 26/21 – др. закон.</w:t>
      </w:r>
    </w:p>
    <w:p w:rsidR="00BC3CE6" w:rsidRDefault="009A2DE5">
      <w:pPr>
        <w:spacing w:after="150"/>
        <w:jc w:val="both"/>
      </w:pPr>
      <w:r>
        <w:rPr>
          <w:i/>
          <w:color w:val="000000"/>
        </w:rPr>
        <w:t>185 „Службени гласник РС”, бр. 36/09, 88/10, 14/16 и 95/18 – др. закон.</w:t>
      </w:r>
    </w:p>
    <w:p w:rsidR="00BC3CE6" w:rsidRDefault="009A2DE5">
      <w:pPr>
        <w:spacing w:after="150"/>
        <w:jc w:val="both"/>
      </w:pPr>
      <w:r>
        <w:rPr>
          <w:i/>
          <w:color w:val="000000"/>
        </w:rPr>
        <w:t>186 „Службени гласник РС”, број 26/21.</w:t>
      </w:r>
    </w:p>
    <w:p w:rsidR="00BC3CE6" w:rsidRDefault="009A2DE5">
      <w:pPr>
        <w:spacing w:after="150"/>
        <w:jc w:val="both"/>
      </w:pPr>
      <w:r>
        <w:rPr>
          <w:i/>
          <w:color w:val="000000"/>
        </w:rPr>
        <w:t>18</w:t>
      </w:r>
      <w:r>
        <w:rPr>
          <w:i/>
          <w:color w:val="000000"/>
        </w:rPr>
        <w:t>7 „Службени гласник РС”, бр. 135/04 и 25/15.</w:t>
      </w:r>
    </w:p>
    <w:p w:rsidR="00BC3CE6" w:rsidRDefault="009A2DE5">
      <w:pPr>
        <w:spacing w:after="150"/>
        <w:jc w:val="both"/>
      </w:pPr>
      <w:r>
        <w:rPr>
          <w:i/>
          <w:color w:val="000000"/>
        </w:rPr>
        <w:t>188 „Службени гласник РС”, бр. 25/13 и 40/21.</w:t>
      </w:r>
    </w:p>
    <w:p w:rsidR="00BC3CE6" w:rsidRDefault="009A2DE5">
      <w:pPr>
        <w:spacing w:after="150"/>
        <w:jc w:val="both"/>
      </w:pPr>
      <w:r>
        <w:rPr>
          <w:i/>
          <w:color w:val="000000"/>
        </w:rPr>
        <w:t>189 „Службени гласник РС”, бр. 135/04 и 36/09.</w:t>
      </w:r>
    </w:p>
    <w:p w:rsidR="00BC3CE6" w:rsidRDefault="009A2DE5">
      <w:pPr>
        <w:spacing w:after="150"/>
        <w:jc w:val="both"/>
      </w:pPr>
      <w:r>
        <w:rPr>
          <w:i/>
          <w:color w:val="000000"/>
        </w:rPr>
        <w:t>190 „Службени гласник РС”, бр. 135/04 и 88/10.</w:t>
      </w:r>
    </w:p>
    <w:p w:rsidR="00BC3CE6" w:rsidRDefault="009A2DE5">
      <w:pPr>
        <w:spacing w:after="150"/>
        <w:jc w:val="both"/>
      </w:pPr>
      <w:r>
        <w:rPr>
          <w:i/>
          <w:color w:val="000000"/>
        </w:rPr>
        <w:t>191 „Службени гласник РС”, бр. 36/09, 88/10, 92/11, 93/12 и 25/15.</w:t>
      </w:r>
    </w:p>
    <w:p w:rsidR="00BC3CE6" w:rsidRDefault="009A2DE5">
      <w:pPr>
        <w:spacing w:after="150"/>
        <w:jc w:val="both"/>
      </w:pPr>
      <w:r>
        <w:rPr>
          <w:i/>
          <w:color w:val="000000"/>
        </w:rPr>
        <w:t xml:space="preserve">192 </w:t>
      </w:r>
      <w:r>
        <w:rPr>
          <w:i/>
          <w:color w:val="000000"/>
        </w:rPr>
        <w:t>„Службени гласник РС”, бр. 36/09, 88/10, 92/11 и 25/15.</w:t>
      </w:r>
    </w:p>
    <w:p w:rsidR="00BC3CE6" w:rsidRDefault="009A2DE5">
      <w:pPr>
        <w:spacing w:after="150"/>
        <w:jc w:val="both"/>
      </w:pPr>
      <w:r>
        <w:rPr>
          <w:i/>
          <w:color w:val="000000"/>
        </w:rPr>
        <w:t>193 „Службени гласник РС”, бр. 72/09, 81/09 – исправка, 64/10 – УС, 24/11, 121/12, 42/13 – УС, 50/13 – УС, 98/13 – УС, 132/14, 145/14, 83/18, 31/19, 37/19 – др. закон и 9/20.</w:t>
      </w:r>
    </w:p>
    <w:p w:rsidR="00BC3CE6" w:rsidRDefault="009A2DE5">
      <w:pPr>
        <w:spacing w:after="150"/>
        <w:jc w:val="both"/>
      </w:pPr>
      <w:r>
        <w:rPr>
          <w:i/>
          <w:color w:val="000000"/>
        </w:rPr>
        <w:lastRenderedPageBreak/>
        <w:t>194 „Службени гласник РС”</w:t>
      </w:r>
      <w:r>
        <w:rPr>
          <w:i/>
          <w:color w:val="000000"/>
        </w:rPr>
        <w:t>, бр. 41/09, 10/13 – др. закон и 101/16.</w:t>
      </w:r>
    </w:p>
    <w:p w:rsidR="00BC3CE6" w:rsidRDefault="009A2DE5">
      <w:pPr>
        <w:spacing w:after="150"/>
        <w:jc w:val="both"/>
      </w:pPr>
      <w:r>
        <w:rPr>
          <w:i/>
          <w:color w:val="000000"/>
        </w:rPr>
        <w:t>195 „Службени гласник РС”, бр. 10/13, 142/14, 103/15 и 101/16.</w:t>
      </w:r>
    </w:p>
    <w:p w:rsidR="00BC3CE6" w:rsidRDefault="009A2DE5">
      <w:pPr>
        <w:spacing w:after="150"/>
        <w:jc w:val="both"/>
      </w:pPr>
      <w:r>
        <w:rPr>
          <w:i/>
          <w:color w:val="000000"/>
        </w:rPr>
        <w:t>196 „Службени гласник РС”, бр. 99/11, 113/17 – др. закон, 95/18 и 66/19.</w:t>
      </w:r>
    </w:p>
    <w:p w:rsidR="00BC3CE6" w:rsidRDefault="009A2DE5">
      <w:pPr>
        <w:spacing w:after="150"/>
        <w:jc w:val="both"/>
      </w:pPr>
      <w:r>
        <w:rPr>
          <w:i/>
          <w:color w:val="000000"/>
        </w:rPr>
        <w:t>197 „Службени гласник РС”, бр. 24/05, 61/05, 54/09, 32/13, 75/14, 13/17 – УС, 1</w:t>
      </w:r>
      <w:r>
        <w:rPr>
          <w:i/>
          <w:color w:val="000000"/>
        </w:rPr>
        <w:t>13/17, 95/2018 – аутентично тумачење.</w:t>
      </w:r>
    </w:p>
    <w:p w:rsidR="00BC3CE6" w:rsidRDefault="009A2DE5">
      <w:pPr>
        <w:spacing w:after="150"/>
        <w:jc w:val="both"/>
      </w:pPr>
      <w:r>
        <w:rPr>
          <w:i/>
          <w:color w:val="000000"/>
        </w:rPr>
        <w:t>198 „Службени гласник РС”, број 50/18.</w:t>
      </w:r>
    </w:p>
    <w:p w:rsidR="00BC3CE6" w:rsidRDefault="009A2DE5">
      <w:pPr>
        <w:spacing w:after="150"/>
        <w:jc w:val="both"/>
      </w:pPr>
      <w:r>
        <w:rPr>
          <w:i/>
          <w:color w:val="000000"/>
        </w:rPr>
        <w:t>199 „Службени гласник РС”, број 86/19.</w:t>
      </w:r>
    </w:p>
    <w:p w:rsidR="00BC3CE6" w:rsidRDefault="009A2DE5">
      <w:pPr>
        <w:spacing w:after="150"/>
        <w:jc w:val="both"/>
      </w:pPr>
      <w:r>
        <w:rPr>
          <w:i/>
          <w:color w:val="000000"/>
        </w:rPr>
        <w:t>200 „Службени гласник РС”, бр. 27/18 и 6/20.</w:t>
      </w:r>
    </w:p>
    <w:p w:rsidR="00BC3CE6" w:rsidRDefault="009A2DE5">
      <w:pPr>
        <w:spacing w:after="150"/>
        <w:jc w:val="both"/>
      </w:pPr>
      <w:r>
        <w:rPr>
          <w:i/>
          <w:color w:val="000000"/>
        </w:rPr>
        <w:t>201 „Службени гласник РС”, бр. 36/09 и 32/13.</w:t>
      </w:r>
    </w:p>
    <w:p w:rsidR="00BC3CE6" w:rsidRDefault="009A2DE5">
      <w:pPr>
        <w:spacing w:after="150"/>
        <w:jc w:val="both"/>
      </w:pPr>
      <w:r>
        <w:rPr>
          <w:i/>
          <w:color w:val="000000"/>
        </w:rPr>
        <w:t>202 „Службени гласник РС”, бр. 128/14, 113/17, 50</w:t>
      </w:r>
      <w:r>
        <w:rPr>
          <w:i/>
          <w:color w:val="000000"/>
        </w:rPr>
        <w:t>/18 и 31/19.</w:t>
      </w:r>
    </w:p>
    <w:p w:rsidR="00BC3CE6" w:rsidRDefault="009A2DE5">
      <w:pPr>
        <w:spacing w:after="150"/>
        <w:jc w:val="both"/>
      </w:pPr>
      <w:r>
        <w:rPr>
          <w:i/>
          <w:color w:val="000000"/>
        </w:rPr>
        <w:t>203 „Службени гласник РС”, бр. 145/14, 95/18 – др. закони и 40/21.</w:t>
      </w:r>
    </w:p>
    <w:p w:rsidR="00BC3CE6" w:rsidRDefault="009A2DE5">
      <w:pPr>
        <w:spacing w:after="150"/>
        <w:jc w:val="both"/>
      </w:pPr>
      <w:r>
        <w:rPr>
          <w:i/>
          <w:color w:val="000000"/>
        </w:rPr>
        <w:t>204 „Службени гласник РС”, број 40/21</w:t>
      </w:r>
    </w:p>
    <w:p w:rsidR="00BC3CE6" w:rsidRDefault="009A2DE5">
      <w:pPr>
        <w:spacing w:after="150"/>
        <w:jc w:val="both"/>
      </w:pPr>
      <w:r>
        <w:rPr>
          <w:i/>
          <w:color w:val="000000"/>
        </w:rPr>
        <w:t>205 „Службени гласник РС”, бр. 88/17, 27/18 – др. закон, 10/19, 27/18 – др. закон и 6/20.</w:t>
      </w:r>
    </w:p>
    <w:p w:rsidR="00BC3CE6" w:rsidRDefault="009A2DE5">
      <w:pPr>
        <w:spacing w:after="150"/>
        <w:jc w:val="both"/>
      </w:pPr>
      <w:r>
        <w:rPr>
          <w:i/>
          <w:color w:val="000000"/>
        </w:rPr>
        <w:t>206 „Службени гласник РС”, бр. 18/10, 101/17, 11</w:t>
      </w:r>
      <w:r>
        <w:rPr>
          <w:i/>
          <w:color w:val="000000"/>
        </w:rPr>
        <w:t>3/17 – др. закон, 95/18 – др. закон, 10/19, 86/19, 157/20.</w:t>
      </w:r>
    </w:p>
    <w:p w:rsidR="00BC3CE6" w:rsidRDefault="009A2DE5">
      <w:pPr>
        <w:spacing w:after="150"/>
        <w:jc w:val="both"/>
      </w:pPr>
      <w:r>
        <w:rPr>
          <w:i/>
          <w:color w:val="000000"/>
        </w:rPr>
        <w:t>207 „Службени гласник РС”, бр. 55/13, 101/17, 10/19 и 27/18 – др. закон.</w:t>
      </w:r>
    </w:p>
    <w:p w:rsidR="00BC3CE6" w:rsidRDefault="009A2DE5">
      <w:pPr>
        <w:spacing w:after="150"/>
        <w:jc w:val="both"/>
      </w:pPr>
      <w:r>
        <w:rPr>
          <w:i/>
          <w:color w:val="000000"/>
        </w:rPr>
        <w:t>208 „Службени гласник РС”, бр. 55/13, 101/17, 27/18 – др. закон и 6/20.</w:t>
      </w:r>
    </w:p>
    <w:p w:rsidR="00BC3CE6" w:rsidRDefault="009A2DE5">
      <w:pPr>
        <w:spacing w:after="150"/>
        <w:jc w:val="both"/>
      </w:pPr>
      <w:r>
        <w:rPr>
          <w:i/>
          <w:color w:val="000000"/>
        </w:rPr>
        <w:t>209 „Службени гласник РС”, бр. 101/2017, 6/2020.</w:t>
      </w:r>
    </w:p>
    <w:p w:rsidR="00BC3CE6" w:rsidRDefault="009A2DE5">
      <w:pPr>
        <w:spacing w:after="150"/>
        <w:jc w:val="both"/>
      </w:pPr>
      <w:r>
        <w:rPr>
          <w:i/>
          <w:color w:val="000000"/>
        </w:rPr>
        <w:t>210</w:t>
      </w:r>
      <w:r>
        <w:rPr>
          <w:i/>
          <w:color w:val="000000"/>
        </w:rPr>
        <w:t xml:space="preserve"> „Службени гласник РС”, бр. 88/17, 73/18, 27/18 – др. закон, 67/19 и 6/20 – др. закон.</w:t>
      </w:r>
    </w:p>
    <w:p w:rsidR="00BC3CE6" w:rsidRDefault="009A2DE5">
      <w:pPr>
        <w:spacing w:after="150"/>
        <w:jc w:val="both"/>
      </w:pPr>
      <w:r>
        <w:rPr>
          <w:i/>
          <w:color w:val="000000"/>
        </w:rPr>
        <w:t>211 „Службени гласник РС”, бр. 55/13, 88/17 – др. закон, 27/18 – др. закон и 6/20 – др. закон</w:t>
      </w:r>
    </w:p>
    <w:p w:rsidR="00BC3CE6" w:rsidRDefault="009A2DE5">
      <w:pPr>
        <w:spacing w:after="150"/>
        <w:jc w:val="both"/>
      </w:pPr>
      <w:r>
        <w:rPr>
          <w:i/>
          <w:color w:val="000000"/>
        </w:rPr>
        <w:t>212 „Службени гласник РС”, број 49/19.</w:t>
      </w:r>
    </w:p>
    <w:p w:rsidR="00BC3CE6" w:rsidRDefault="009A2DE5">
      <w:pPr>
        <w:spacing w:after="150"/>
        <w:jc w:val="both"/>
      </w:pPr>
      <w:r>
        <w:rPr>
          <w:i/>
          <w:color w:val="000000"/>
        </w:rPr>
        <w:t>213 „Службени гласник РС”, број 81/1</w:t>
      </w:r>
      <w:r>
        <w:rPr>
          <w:i/>
          <w:color w:val="000000"/>
        </w:rPr>
        <w:t>7.</w:t>
      </w:r>
    </w:p>
    <w:p w:rsidR="00BC3CE6" w:rsidRDefault="009A2DE5">
      <w:pPr>
        <w:spacing w:after="150"/>
        <w:jc w:val="both"/>
      </w:pPr>
      <w:r>
        <w:rPr>
          <w:i/>
          <w:color w:val="000000"/>
        </w:rPr>
        <w:t>214 „Службени гласник РС”, број 22/16.</w:t>
      </w:r>
    </w:p>
    <w:p w:rsidR="00BC3CE6" w:rsidRDefault="009A2DE5">
      <w:pPr>
        <w:spacing w:after="150"/>
        <w:jc w:val="both"/>
      </w:pPr>
      <w:r>
        <w:rPr>
          <w:i/>
          <w:color w:val="000000"/>
        </w:rPr>
        <w:t>215 „Службени гласник РС”, број 80/18. Доступно на: https://www.paragraf.rs/propisi/pravilnik-dodatnoj-obrazovnoj-zdravstvenoj-socijalnoj-podrsci.html</w:t>
      </w:r>
    </w:p>
    <w:p w:rsidR="00BC3CE6" w:rsidRDefault="009A2DE5">
      <w:pPr>
        <w:spacing w:after="150"/>
        <w:jc w:val="both"/>
      </w:pPr>
      <w:r>
        <w:rPr>
          <w:i/>
          <w:color w:val="000000"/>
        </w:rPr>
        <w:t>216 „Службени гласник РС”, број 70/18. Доступно на: https://www</w:t>
      </w:r>
      <w:r>
        <w:rPr>
          <w:i/>
          <w:color w:val="000000"/>
        </w:rPr>
        <w:t>.pravno-informacioni-sistem.rs/SlGlasnikPortal/eli/rep/sgrs/ministarstva/pravilnik/2018/70/1/reg</w:t>
      </w:r>
    </w:p>
    <w:p w:rsidR="00BC3CE6" w:rsidRDefault="009A2DE5">
      <w:pPr>
        <w:spacing w:after="150"/>
        <w:jc w:val="both"/>
      </w:pPr>
      <w:r>
        <w:rPr>
          <w:i/>
          <w:color w:val="000000"/>
        </w:rPr>
        <w:lastRenderedPageBreak/>
        <w:t>217</w:t>
      </w:r>
      <w:r>
        <w:rPr>
          <w:i/>
          <w:color w:val="000000"/>
        </w:rPr>
        <w:tab/>
        <w:t>„Службени гласник РС”, број 87/19. Доступно на: https://www.pravno-informacioni-sistem.rs/SlGlasnikPortal/eli/rep/sgrs/ministarstva/pravilnik/2019/87/14/re</w:t>
      </w:r>
      <w:r>
        <w:rPr>
          <w:i/>
          <w:color w:val="000000"/>
        </w:rPr>
        <w:t>g</w:t>
      </w:r>
    </w:p>
    <w:p w:rsidR="00BC3CE6" w:rsidRDefault="009A2DE5">
      <w:pPr>
        <w:spacing w:after="150"/>
        <w:jc w:val="both"/>
      </w:pPr>
      <w:r>
        <w:rPr>
          <w:i/>
          <w:color w:val="000000"/>
        </w:rPr>
        <w:t>218</w:t>
      </w:r>
      <w:r>
        <w:rPr>
          <w:i/>
          <w:color w:val="000000"/>
        </w:rPr>
        <w:tab/>
        <w:t>„Службени гласник РС”, број 36/19. Доступно на: http://www.pravno-informacioni-sistem.rs/SlGlasnikPortal/eli/rep/sgrs/ministarstva/pravilnik/2019/36/2/reg</w:t>
      </w:r>
    </w:p>
    <w:p w:rsidR="00BC3CE6" w:rsidRDefault="009A2DE5">
      <w:pPr>
        <w:spacing w:after="150"/>
        <w:jc w:val="both"/>
      </w:pPr>
      <w:r>
        <w:rPr>
          <w:i/>
          <w:color w:val="000000"/>
        </w:rPr>
        <w:t>219 „Службени гласник РС”, број 87/18.</w:t>
      </w:r>
    </w:p>
    <w:p w:rsidR="00BC3CE6" w:rsidRDefault="009A2DE5">
      <w:pPr>
        <w:spacing w:after="150"/>
        <w:jc w:val="both"/>
      </w:pPr>
      <w:r>
        <w:rPr>
          <w:i/>
          <w:color w:val="000000"/>
        </w:rPr>
        <w:t xml:space="preserve">220 „Службени гласник РС”, бр. 83/14, 58/15, и 12/16 – </w:t>
      </w:r>
      <w:r>
        <w:rPr>
          <w:i/>
          <w:color w:val="000000"/>
        </w:rPr>
        <w:t>аутентично тумачење.</w:t>
      </w:r>
    </w:p>
    <w:p w:rsidR="00BC3CE6" w:rsidRDefault="009A2DE5">
      <w:pPr>
        <w:spacing w:after="150"/>
        <w:jc w:val="both"/>
      </w:pPr>
      <w:r>
        <w:rPr>
          <w:i/>
          <w:color w:val="000000"/>
        </w:rPr>
        <w:t>221 „Службени гласник РС”, бр. 18/05, 72/11 – др. закон и 6/15.</w:t>
      </w:r>
    </w:p>
    <w:p w:rsidR="00BC3CE6" w:rsidRDefault="009A2DE5">
      <w:pPr>
        <w:spacing w:after="150"/>
        <w:jc w:val="both"/>
      </w:pPr>
      <w:r>
        <w:rPr>
          <w:i/>
          <w:color w:val="000000"/>
        </w:rPr>
        <w:t>222 „Службени гласник РС”, бр. 72/11, 49/13 – УС, 74/13 – УС, 55/14, 87/18, 18/20, 27/21 и 62/21.</w:t>
      </w:r>
    </w:p>
    <w:p w:rsidR="00BC3CE6" w:rsidRDefault="009A2DE5">
      <w:pPr>
        <w:spacing w:after="150"/>
        <w:jc w:val="both"/>
      </w:pPr>
      <w:r>
        <w:rPr>
          <w:i/>
          <w:color w:val="000000"/>
        </w:rPr>
        <w:t>223 „Службени гласник РС”, бр. 85/05, 88/05 – исправка, 107/05 – исправка</w:t>
      </w:r>
      <w:r>
        <w:rPr>
          <w:i/>
          <w:color w:val="000000"/>
        </w:rPr>
        <w:t xml:space="preserve"> 72/09, 111/09, 121/12, 104/13, 108/14 и 94/16.</w:t>
      </w:r>
    </w:p>
    <w:p w:rsidR="00BC3CE6" w:rsidRDefault="009A2DE5">
      <w:pPr>
        <w:spacing w:after="150"/>
        <w:jc w:val="both"/>
      </w:pPr>
      <w:r>
        <w:rPr>
          <w:i/>
          <w:color w:val="000000"/>
        </w:rPr>
        <w:t>224 „Службени гласник РС”, бр. 72/11, 101/11, 121/12, 32/13, 45/13, 55/14 и 35/19.</w:t>
      </w:r>
    </w:p>
    <w:p w:rsidR="00BC3CE6" w:rsidRDefault="009A2DE5">
      <w:pPr>
        <w:spacing w:after="150"/>
        <w:jc w:val="both"/>
      </w:pPr>
      <w:r>
        <w:rPr>
          <w:i/>
          <w:color w:val="000000"/>
        </w:rPr>
        <w:t>225 „Службени гласник РС”, бр. 6/16, 24/18 и 87/18.</w:t>
      </w:r>
    </w:p>
    <w:p w:rsidR="00BC3CE6" w:rsidRDefault="009A2DE5">
      <w:pPr>
        <w:spacing w:after="150"/>
        <w:jc w:val="both"/>
      </w:pPr>
      <w:r>
        <w:rPr>
          <w:i/>
          <w:color w:val="000000"/>
        </w:rPr>
        <w:t>226 „Службени гласник РС”, бр. 20/15, 10/19 и 20/20.</w:t>
      </w:r>
    </w:p>
    <w:p w:rsidR="00BC3CE6" w:rsidRDefault="009A2DE5">
      <w:pPr>
        <w:spacing w:after="150"/>
        <w:jc w:val="both"/>
      </w:pPr>
      <w:r>
        <w:rPr>
          <w:i/>
          <w:color w:val="000000"/>
        </w:rPr>
        <w:t>227 „Службени гласни</w:t>
      </w:r>
      <w:r>
        <w:rPr>
          <w:i/>
          <w:color w:val="000000"/>
        </w:rPr>
        <w:t>к РС”, бр. 6/16 и 24/18.</w:t>
      </w:r>
    </w:p>
    <w:p w:rsidR="00BC3CE6" w:rsidRDefault="009A2DE5">
      <w:pPr>
        <w:spacing w:after="150"/>
        <w:jc w:val="both"/>
      </w:pPr>
      <w:r>
        <w:rPr>
          <w:i/>
          <w:color w:val="000000"/>
        </w:rPr>
        <w:t>228 „Службени гласник РС”, бр. 55/14 и 35/19.</w:t>
      </w:r>
    </w:p>
    <w:p w:rsidR="00BC3CE6" w:rsidRDefault="009A2DE5">
      <w:pPr>
        <w:spacing w:after="150"/>
        <w:jc w:val="both"/>
      </w:pPr>
      <w:r>
        <w:rPr>
          <w:i/>
          <w:color w:val="000000"/>
        </w:rPr>
        <w:t>229 „Службени гласник РС”, број 20/09.</w:t>
      </w:r>
    </w:p>
    <w:p w:rsidR="00BC3CE6" w:rsidRDefault="009A2DE5">
      <w:pPr>
        <w:spacing w:after="150"/>
        <w:jc w:val="both"/>
      </w:pPr>
      <w:r>
        <w:rPr>
          <w:i/>
          <w:color w:val="000000"/>
        </w:rPr>
        <w:t>230 „Службени гласник РС”, бр. 24/18 и 31/19.</w:t>
      </w:r>
    </w:p>
    <w:p w:rsidR="00BC3CE6" w:rsidRDefault="009A2DE5">
      <w:pPr>
        <w:spacing w:after="150"/>
        <w:jc w:val="both"/>
      </w:pPr>
      <w:r>
        <w:rPr>
          <w:i/>
          <w:color w:val="000000"/>
        </w:rPr>
        <w:t>231 „Службени гласник РС”, број 25/05.</w:t>
      </w:r>
    </w:p>
    <w:p w:rsidR="00BC3CE6" w:rsidRDefault="009A2DE5">
      <w:pPr>
        <w:spacing w:after="150"/>
        <w:jc w:val="both"/>
      </w:pPr>
      <w:r>
        <w:rPr>
          <w:i/>
          <w:color w:val="000000"/>
        </w:rPr>
        <w:t>232 „Службени гласник РС”, број 85/05.</w:t>
      </w:r>
    </w:p>
    <w:p w:rsidR="00BC3CE6" w:rsidRDefault="009A2DE5">
      <w:pPr>
        <w:spacing w:after="150"/>
        <w:jc w:val="both"/>
      </w:pPr>
      <w:r>
        <w:rPr>
          <w:i/>
          <w:color w:val="000000"/>
        </w:rPr>
        <w:t xml:space="preserve">233 „Службени гласник </w:t>
      </w:r>
      <w:r>
        <w:rPr>
          <w:i/>
          <w:color w:val="000000"/>
        </w:rPr>
        <w:t>РС”, број 41/19.</w:t>
      </w:r>
    </w:p>
    <w:p w:rsidR="00BC3CE6" w:rsidRDefault="009A2DE5">
      <w:pPr>
        <w:spacing w:after="150"/>
        <w:jc w:val="both"/>
      </w:pPr>
      <w:r>
        <w:rPr>
          <w:i/>
          <w:color w:val="000000"/>
        </w:rPr>
        <w:t>234 „Службени гласник РС”, број 62/18.</w:t>
      </w:r>
    </w:p>
    <w:p w:rsidR="00BC3CE6" w:rsidRDefault="009A2DE5">
      <w:pPr>
        <w:spacing w:after="150"/>
        <w:jc w:val="both"/>
      </w:pPr>
      <w:r>
        <w:rPr>
          <w:i/>
          <w:color w:val="000000"/>
        </w:rPr>
        <w:t>235 „Службени гласник РС”, број 87/18.</w:t>
      </w:r>
    </w:p>
    <w:p w:rsidR="00BC3CE6" w:rsidRDefault="009A2DE5">
      <w:pPr>
        <w:spacing w:after="150"/>
        <w:jc w:val="both"/>
      </w:pPr>
      <w:r>
        <w:rPr>
          <w:i/>
          <w:color w:val="000000"/>
        </w:rPr>
        <w:t>236</w:t>
      </w:r>
      <w:r>
        <w:rPr>
          <w:i/>
          <w:color w:val="000000"/>
        </w:rPr>
        <w:tab/>
        <w:t>Доступно на: https://www.minrzs.gov.rs/sites/default/files/2018-11/Opsti%20protokol%20nasilje%20u%20porodici.pdf приступ 10. 5 2021.</w:t>
      </w:r>
    </w:p>
    <w:p w:rsidR="00BC3CE6" w:rsidRDefault="009A2DE5">
      <w:pPr>
        <w:spacing w:after="150"/>
        <w:jc w:val="both"/>
      </w:pPr>
      <w:r>
        <w:rPr>
          <w:i/>
          <w:color w:val="000000"/>
        </w:rPr>
        <w:t>237</w:t>
      </w:r>
      <w:r>
        <w:rPr>
          <w:i/>
          <w:color w:val="000000"/>
        </w:rPr>
        <w:tab/>
        <w:t>Доступно на: https:/</w:t>
      </w:r>
      <w:r>
        <w:rPr>
          <w:i/>
          <w:color w:val="000000"/>
        </w:rPr>
        <w:t>/www.paragraf.rs/propisi/posebni_protokol_o_postupanju_ policijskih_sluzbenika_ u_ zastiti maloletnih_lica_od_zlostavljanja_i_zanemarivanja.html приступ 10. 5 2021.</w:t>
      </w:r>
    </w:p>
    <w:p w:rsidR="00BC3CE6" w:rsidRDefault="009A2DE5">
      <w:pPr>
        <w:spacing w:after="150"/>
        <w:jc w:val="both"/>
      </w:pPr>
      <w:r>
        <w:rPr>
          <w:i/>
          <w:color w:val="000000"/>
        </w:rPr>
        <w:t>238 „Службени гласник РС”, број 87/18.</w:t>
      </w:r>
    </w:p>
    <w:p w:rsidR="00BC3CE6" w:rsidRDefault="009A2DE5">
      <w:pPr>
        <w:spacing w:after="150"/>
        <w:jc w:val="both"/>
      </w:pPr>
      <w:r>
        <w:rPr>
          <w:i/>
          <w:color w:val="000000"/>
        </w:rPr>
        <w:lastRenderedPageBreak/>
        <w:t>239 „Службени гласник РС”, бр. 31/11 и 24/12 – УС.</w:t>
      </w:r>
    </w:p>
    <w:p w:rsidR="00BC3CE6" w:rsidRDefault="009A2DE5">
      <w:pPr>
        <w:spacing w:after="150"/>
        <w:jc w:val="both"/>
      </w:pPr>
      <w:r>
        <w:rPr>
          <w:i/>
          <w:color w:val="000000"/>
        </w:rPr>
        <w:t>2</w:t>
      </w:r>
      <w:r>
        <w:rPr>
          <w:i/>
          <w:color w:val="000000"/>
        </w:rPr>
        <w:t>40 „Службени гласник РС”, бр. 116/08, 104/09, 101/10, 78/11 – др. закон 01/11, 38/12 – УС, 121/12, 101/13, 111/14 – УС, 117/14, 106/15 и 63/16 – УС.</w:t>
      </w:r>
    </w:p>
    <w:p w:rsidR="00BC3CE6" w:rsidRDefault="009A2DE5">
      <w:pPr>
        <w:spacing w:after="150"/>
        <w:jc w:val="both"/>
      </w:pPr>
      <w:r>
        <w:rPr>
          <w:i/>
          <w:color w:val="000000"/>
        </w:rPr>
        <w:t>241 „Службени гласник РС”, бр. 116/08, 104/09, 101/10, 31/11 – др. закон, 78/11 – др. закон 101/11, 101/13,</w:t>
      </w:r>
      <w:r>
        <w:rPr>
          <w:i/>
          <w:color w:val="000000"/>
        </w:rPr>
        <w:t xml:space="preserve"> 10/15, 106/15, 13/16, 108/16, 113/17, 65/18, 87/18 и 88/18.</w:t>
      </w:r>
    </w:p>
    <w:p w:rsidR="00BC3CE6" w:rsidRDefault="009A2DE5">
      <w:pPr>
        <w:spacing w:after="150"/>
        <w:jc w:val="both"/>
      </w:pPr>
      <w:r>
        <w:rPr>
          <w:i/>
          <w:color w:val="000000"/>
        </w:rPr>
        <w:t>242 „Службени гласник РС”, бр. 79/05 и 54/07.</w:t>
      </w:r>
    </w:p>
    <w:p w:rsidR="00BC3CE6" w:rsidRDefault="009A2DE5">
      <w:pPr>
        <w:spacing w:after="150"/>
        <w:jc w:val="both"/>
      </w:pPr>
      <w:r>
        <w:rPr>
          <w:i/>
          <w:color w:val="000000"/>
        </w:rPr>
        <w:t>243 „Службени гласник РС”, број 101/213.</w:t>
      </w:r>
    </w:p>
    <w:p w:rsidR="00BC3CE6" w:rsidRDefault="009A2DE5">
      <w:pPr>
        <w:spacing w:after="150"/>
        <w:jc w:val="both"/>
      </w:pPr>
      <w:r>
        <w:rPr>
          <w:i/>
          <w:color w:val="000000"/>
        </w:rPr>
        <w:t>244 „Службени гласник РС”, бр. 109/07, 99/11, 18/13 – Одлука УС, 40/15 и 103/15.</w:t>
      </w:r>
    </w:p>
    <w:p w:rsidR="00BC3CE6" w:rsidRDefault="009A2DE5">
      <w:pPr>
        <w:spacing w:after="150"/>
        <w:jc w:val="both"/>
      </w:pPr>
      <w:r>
        <w:rPr>
          <w:i/>
          <w:color w:val="000000"/>
        </w:rPr>
        <w:t xml:space="preserve">245 „Службени гласник РС”, </w:t>
      </w:r>
      <w:r>
        <w:rPr>
          <w:i/>
          <w:color w:val="000000"/>
        </w:rPr>
        <w:t>бр. 35/00, 57/03 – УС, 72/03 – др. закон, 18/04, 101/05 – др. закон, 69/07, 28/11 – УС, 36/11, 12/20 и 68/20.</w:t>
      </w:r>
    </w:p>
    <w:p w:rsidR="00BC3CE6" w:rsidRDefault="009A2DE5">
      <w:pPr>
        <w:spacing w:after="150"/>
        <w:jc w:val="both"/>
      </w:pPr>
      <w:r>
        <w:rPr>
          <w:i/>
          <w:color w:val="000000"/>
        </w:rPr>
        <w:t>246 „Службени гласник РС”, бр. 129/07, 34/10 – УС, 54/11, 12/20, 16/20 – аутентично тумачење и 68/20).</w:t>
      </w:r>
    </w:p>
    <w:p w:rsidR="00BC3CE6" w:rsidRDefault="009A2DE5">
      <w:pPr>
        <w:spacing w:after="150"/>
        <w:jc w:val="both"/>
      </w:pPr>
      <w:r>
        <w:rPr>
          <w:i/>
          <w:color w:val="000000"/>
        </w:rPr>
        <w:t xml:space="preserve">247 „Службени гласник РС”, бр. 36/09 и </w:t>
      </w:r>
      <w:r>
        <w:rPr>
          <w:i/>
          <w:color w:val="000000"/>
        </w:rPr>
        <w:t>61/15 – УС.</w:t>
      </w:r>
    </w:p>
    <w:p w:rsidR="00BC3CE6" w:rsidRDefault="009A2DE5">
      <w:pPr>
        <w:spacing w:after="150"/>
        <w:jc w:val="both"/>
      </w:pPr>
      <w:r>
        <w:rPr>
          <w:i/>
          <w:color w:val="000000"/>
        </w:rPr>
        <w:t>248 „Службени гласник РС”, број 87/18.</w:t>
      </w:r>
    </w:p>
    <w:p w:rsidR="00BC3CE6" w:rsidRDefault="009A2DE5">
      <w:pPr>
        <w:spacing w:after="150"/>
        <w:jc w:val="both"/>
      </w:pPr>
      <w:r>
        <w:rPr>
          <w:i/>
          <w:color w:val="000000"/>
        </w:rPr>
        <w:t>249 „Службени гласник РС”, бр. 95/18 и 10/19.</w:t>
      </w:r>
    </w:p>
    <w:p w:rsidR="00BC3CE6" w:rsidRDefault="009A2DE5">
      <w:pPr>
        <w:spacing w:after="150"/>
        <w:jc w:val="both"/>
      </w:pPr>
      <w:r>
        <w:rPr>
          <w:i/>
          <w:color w:val="000000"/>
        </w:rPr>
        <w:t>250 „Службени гласник РС”, број 24/11.</w:t>
      </w:r>
    </w:p>
    <w:p w:rsidR="00BC3CE6" w:rsidRDefault="009A2DE5">
      <w:pPr>
        <w:spacing w:after="150"/>
        <w:jc w:val="both"/>
      </w:pPr>
      <w:r>
        <w:rPr>
          <w:i/>
          <w:color w:val="000000"/>
        </w:rPr>
        <w:t>251 „ Службени гласник РС, број 25/19.</w:t>
      </w:r>
    </w:p>
    <w:p w:rsidR="00BC3CE6" w:rsidRDefault="009A2DE5">
      <w:pPr>
        <w:spacing w:after="150"/>
        <w:jc w:val="both"/>
      </w:pPr>
      <w:r>
        <w:rPr>
          <w:i/>
          <w:color w:val="000000"/>
        </w:rPr>
        <w:t>252 „Службени гласник РС”, број 15/16.</w:t>
      </w:r>
    </w:p>
    <w:p w:rsidR="00BC3CE6" w:rsidRDefault="009A2DE5">
      <w:pPr>
        <w:spacing w:after="150"/>
        <w:jc w:val="both"/>
      </w:pPr>
      <w:r>
        <w:rPr>
          <w:i/>
          <w:color w:val="000000"/>
        </w:rPr>
        <w:t>253 „Службени гласник РС”, број 25/19.</w:t>
      </w:r>
    </w:p>
    <w:p w:rsidR="00BC3CE6" w:rsidRDefault="009A2DE5">
      <w:pPr>
        <w:spacing w:after="150"/>
        <w:jc w:val="both"/>
      </w:pPr>
      <w:r>
        <w:rPr>
          <w:i/>
          <w:color w:val="000000"/>
        </w:rPr>
        <w:t>254</w:t>
      </w:r>
      <w:r>
        <w:rPr>
          <w:i/>
          <w:color w:val="000000"/>
        </w:rPr>
        <w:t xml:space="preserve"> „Службени гласник РС”, бр. 45/13, 105/17 – др. закон и 25/19 – др. закон.</w:t>
      </w:r>
    </w:p>
    <w:p w:rsidR="00BC3CE6" w:rsidRDefault="009A2DE5">
      <w:pPr>
        <w:spacing w:after="150"/>
        <w:jc w:val="both"/>
      </w:pPr>
      <w:r>
        <w:rPr>
          <w:i/>
          <w:color w:val="000000"/>
        </w:rPr>
        <w:t>255 „Службени гласник РС”, бр. 16/95 и 101/05 – др. закон.</w:t>
      </w:r>
    </w:p>
    <w:p w:rsidR="00BC3CE6" w:rsidRDefault="009A2DE5">
      <w:pPr>
        <w:spacing w:after="150"/>
        <w:jc w:val="both"/>
      </w:pPr>
      <w:r>
        <w:rPr>
          <w:i/>
          <w:color w:val="000000"/>
        </w:rPr>
        <w:t>256 „Службени гласник РС”, бр. 123/14, 106/15, 105/17 и 25/19 – др. закон.</w:t>
      </w:r>
    </w:p>
    <w:p w:rsidR="00BC3CE6" w:rsidRDefault="009A2DE5">
      <w:pPr>
        <w:spacing w:after="150"/>
        <w:jc w:val="both"/>
      </w:pPr>
      <w:r>
        <w:rPr>
          <w:i/>
          <w:color w:val="000000"/>
        </w:rPr>
        <w:t xml:space="preserve">257 „Службени гласник РС”, бр. 113/17, 50/18, </w:t>
      </w:r>
      <w:r>
        <w:rPr>
          <w:i/>
          <w:color w:val="000000"/>
        </w:rPr>
        <w:t>46/21 – УС, 51/21 – УС, 53/21 – УС и 66/21.</w:t>
      </w:r>
    </w:p>
    <w:p w:rsidR="00BC3CE6" w:rsidRDefault="009A2DE5">
      <w:pPr>
        <w:spacing w:after="150"/>
        <w:jc w:val="both"/>
      </w:pPr>
      <w:r>
        <w:rPr>
          <w:i/>
          <w:color w:val="000000"/>
        </w:rPr>
        <w:t>258 „Службени гласник РС”, бр. 34/03, 64/04 – УСРС, 84/04 – др. закон, 85/05, 101/05 – др. закон, 63/06 – УС, 5/09, 107/09, 101/10, 93/12, 62/13, 108/13, 75/14, 142/14, 73/18, 46/19 – УС, 86/19 и 62/21.</w:t>
      </w:r>
    </w:p>
    <w:p w:rsidR="00BC3CE6" w:rsidRDefault="009A2DE5">
      <w:pPr>
        <w:spacing w:after="150"/>
        <w:jc w:val="both"/>
      </w:pPr>
      <w:r>
        <w:rPr>
          <w:i/>
          <w:color w:val="000000"/>
        </w:rPr>
        <w:t>259 „Служ</w:t>
      </w:r>
      <w:r>
        <w:rPr>
          <w:i/>
          <w:color w:val="000000"/>
        </w:rPr>
        <w:t>бени гласник РС”, бр. 104/16 и 9/20.</w:t>
      </w:r>
    </w:p>
    <w:p w:rsidR="00BC3CE6" w:rsidRDefault="009A2DE5">
      <w:pPr>
        <w:spacing w:after="150"/>
        <w:jc w:val="both"/>
      </w:pPr>
      <w:r>
        <w:rPr>
          <w:i/>
          <w:color w:val="000000"/>
        </w:rPr>
        <w:t>260 „Службени гласник РС”, бр. 36/09, 10/13 и 26/21 – др. закон</w:t>
      </w:r>
    </w:p>
    <w:p w:rsidR="00BC3CE6" w:rsidRDefault="009A2DE5">
      <w:pPr>
        <w:spacing w:after="150"/>
        <w:jc w:val="both"/>
      </w:pPr>
      <w:r>
        <w:rPr>
          <w:i/>
          <w:color w:val="000000"/>
        </w:rPr>
        <w:t>261 „Службени гласник РС”, број 30/10</w:t>
      </w:r>
    </w:p>
    <w:p w:rsidR="00BC3CE6" w:rsidRDefault="009A2DE5">
      <w:pPr>
        <w:spacing w:after="150"/>
        <w:jc w:val="both"/>
      </w:pPr>
      <w:r>
        <w:rPr>
          <w:i/>
          <w:color w:val="000000"/>
        </w:rPr>
        <w:lastRenderedPageBreak/>
        <w:t>262 „Службени гласник РС”, бр. 49/92, 29/93, 53/93, 67/93, 28/94, 47/94, 48/94, 25/96, 29/01, 16/02 – др. закон, 62/0</w:t>
      </w:r>
      <w:r>
        <w:rPr>
          <w:i/>
          <w:color w:val="000000"/>
        </w:rPr>
        <w:t>3 – др. закон, 101/05 – др. закон, 18/10 – др. закон и 113 /17 – др. закон</w:t>
      </w:r>
    </w:p>
    <w:p w:rsidR="00BC3CE6" w:rsidRDefault="009A2DE5">
      <w:pPr>
        <w:spacing w:after="150"/>
        <w:jc w:val="both"/>
      </w:pPr>
      <w:r>
        <w:rPr>
          <w:i/>
          <w:color w:val="000000"/>
        </w:rPr>
        <w:t>263 „Службени гласник РС”, бр. 42/13, 89/18 и 73/19.</w:t>
      </w:r>
    </w:p>
    <w:p w:rsidR="00BC3CE6" w:rsidRDefault="009A2DE5">
      <w:pPr>
        <w:spacing w:after="150"/>
        <w:jc w:val="both"/>
      </w:pPr>
      <w:r>
        <w:rPr>
          <w:i/>
          <w:color w:val="000000"/>
        </w:rPr>
        <w:t>264</w:t>
      </w:r>
      <w:r>
        <w:rPr>
          <w:i/>
          <w:color w:val="000000"/>
        </w:rPr>
        <w:tab/>
        <w:t>Доступно на: https://www.minrzs.gov.rs/sites/default/files/2018-11/Opsti%20protokol%20nasilje%20u%20porodici.pdf приступ 10.</w:t>
      </w:r>
      <w:r>
        <w:rPr>
          <w:i/>
          <w:color w:val="000000"/>
        </w:rPr>
        <w:t>5.2021.</w:t>
      </w:r>
    </w:p>
    <w:p w:rsidR="00BC3CE6" w:rsidRDefault="009A2DE5">
      <w:pPr>
        <w:spacing w:after="150"/>
        <w:jc w:val="both"/>
      </w:pPr>
      <w:r>
        <w:rPr>
          <w:i/>
          <w:color w:val="000000"/>
        </w:rPr>
        <w:t>265</w:t>
      </w:r>
      <w:r>
        <w:rPr>
          <w:i/>
          <w:color w:val="000000"/>
        </w:rPr>
        <w:tab/>
        <w:t>Доступно на: https://www.minrzs.gov.rs/sites/default/files/2018-11/Posebni%20protokol%20zdravlje.pdf приступ 10. 5. 2021.</w:t>
      </w:r>
    </w:p>
    <w:p w:rsidR="00BC3CE6" w:rsidRDefault="009A2DE5">
      <w:pPr>
        <w:spacing w:after="150"/>
        <w:jc w:val="both"/>
      </w:pPr>
      <w:r>
        <w:rPr>
          <w:i/>
          <w:color w:val="000000"/>
        </w:rPr>
        <w:t>266</w:t>
      </w:r>
      <w:r>
        <w:rPr>
          <w:i/>
          <w:color w:val="000000"/>
        </w:rPr>
        <w:tab/>
        <w:t>Доступно на: http://www.zavodsz.gov.rs/sr/resurs-centar/propisi-od-zna%C4%8Daja-za-socijalnu-za%C5%A1titu/ostali-propi</w:t>
      </w:r>
      <w:r>
        <w:rPr>
          <w:i/>
          <w:color w:val="000000"/>
        </w:rPr>
        <w:t>si/ приступ 10.5.2021.</w:t>
      </w:r>
    </w:p>
    <w:p w:rsidR="00BC3CE6" w:rsidRDefault="009A2DE5">
      <w:pPr>
        <w:spacing w:after="150"/>
        <w:jc w:val="both"/>
      </w:pPr>
      <w:r>
        <w:rPr>
          <w:i/>
          <w:color w:val="000000"/>
        </w:rPr>
        <w:t>267 „Службени гласник РС”, бр. 46/19 и 104/20.</w:t>
      </w:r>
    </w:p>
    <w:p w:rsidR="00BC3CE6" w:rsidRDefault="009A2DE5">
      <w:pPr>
        <w:spacing w:after="150"/>
        <w:jc w:val="both"/>
      </w:pPr>
      <w:r>
        <w:rPr>
          <w:i/>
          <w:color w:val="000000"/>
        </w:rPr>
        <w:t>268 „Службени гласник РС”, број 104/09.</w:t>
      </w:r>
    </w:p>
    <w:p w:rsidR="00BC3CE6" w:rsidRDefault="009A2DE5">
      <w:pPr>
        <w:spacing w:after="150"/>
        <w:jc w:val="both"/>
      </w:pPr>
      <w:r>
        <w:rPr>
          <w:i/>
          <w:color w:val="000000"/>
        </w:rPr>
        <w:t>269 „Службени гласник РС”, број 24/18.</w:t>
      </w:r>
    </w:p>
    <w:p w:rsidR="00BC3CE6" w:rsidRDefault="009A2DE5">
      <w:pPr>
        <w:spacing w:after="150"/>
        <w:jc w:val="both"/>
      </w:pPr>
      <w:r>
        <w:rPr>
          <w:i/>
          <w:color w:val="000000"/>
        </w:rPr>
        <w:t>270 „Службени гласник РС”, бр. 123/14, 106/15, 105/17 и 25/19 – др. закон.</w:t>
      </w:r>
    </w:p>
    <w:p w:rsidR="00BC3CE6" w:rsidRDefault="009A2DE5">
      <w:pPr>
        <w:spacing w:after="150"/>
        <w:jc w:val="both"/>
      </w:pPr>
      <w:r>
        <w:rPr>
          <w:i/>
          <w:color w:val="000000"/>
        </w:rPr>
        <w:t>271 „Службени гласник РС”, бр. 5</w:t>
      </w:r>
      <w:r>
        <w:rPr>
          <w:i/>
          <w:color w:val="000000"/>
        </w:rPr>
        <w:t>4/09, 73/10, 101/10, 101/11, 93/12, 62/13, 63/13 – исправка, 108/13, 142/14, 68/15 – др. закон, 103/15, 99/16, 113/17, 95/18, 31/19, 72/19 и 149/20.</w:t>
      </w:r>
    </w:p>
    <w:p w:rsidR="00BC3CE6" w:rsidRDefault="009A2DE5">
      <w:pPr>
        <w:spacing w:after="150"/>
        <w:jc w:val="both"/>
      </w:pPr>
      <w:r>
        <w:rPr>
          <w:i/>
          <w:color w:val="000000"/>
        </w:rPr>
        <w:t>272 „Службени гласник РС”, бр. 149/20 и 40/21.</w:t>
      </w:r>
    </w:p>
    <w:p w:rsidR="00BC3CE6" w:rsidRDefault="009A2DE5">
      <w:pPr>
        <w:spacing w:after="150"/>
        <w:jc w:val="both"/>
      </w:pPr>
      <w:r>
        <w:rPr>
          <w:i/>
          <w:color w:val="000000"/>
        </w:rPr>
        <w:t>273 „Службени гласник РС”, бр. 55/05, 71/05 – исправка 101/0</w:t>
      </w:r>
      <w:r>
        <w:rPr>
          <w:i/>
          <w:color w:val="000000"/>
        </w:rPr>
        <w:t>7, 65/08, 16/11, 68/12 – УС, 72/12, 7/14 – УС, 44/14 и 30/18 – др – закон.</w:t>
      </w:r>
    </w:p>
    <w:p w:rsidR="00BC3CE6" w:rsidRDefault="009A2DE5">
      <w:pPr>
        <w:spacing w:after="150"/>
        <w:jc w:val="both"/>
      </w:pPr>
      <w:r>
        <w:rPr>
          <w:i/>
          <w:color w:val="000000"/>
        </w:rPr>
        <w:t>274 „Службени гласник РС”, број 128/20.</w:t>
      </w:r>
    </w:p>
    <w:p w:rsidR="00BC3CE6" w:rsidRDefault="009A2DE5">
      <w:pPr>
        <w:spacing w:after="150"/>
        <w:jc w:val="both"/>
      </w:pPr>
      <w:r>
        <w:rPr>
          <w:i/>
          <w:color w:val="000000"/>
        </w:rPr>
        <w:t>275 „Службени гласник РС”, бр. 99/09, 67/12 – УС, 18/20 и 47/18.</w:t>
      </w:r>
    </w:p>
    <w:p w:rsidR="00BC3CE6" w:rsidRDefault="009A2DE5">
      <w:pPr>
        <w:spacing w:after="150"/>
        <w:jc w:val="both"/>
      </w:pPr>
      <w:r>
        <w:rPr>
          <w:i/>
          <w:color w:val="000000"/>
        </w:rPr>
        <w:t>276 „Службени гласник РС”, бр. 129/07, 83/14 – др. закон и 101/16 др. закон.</w:t>
      </w:r>
    </w:p>
    <w:p w:rsidR="00BC3CE6" w:rsidRDefault="009A2DE5">
      <w:pPr>
        <w:spacing w:after="150"/>
        <w:jc w:val="both"/>
      </w:pPr>
      <w:r>
        <w:rPr>
          <w:i/>
          <w:color w:val="000000"/>
        </w:rPr>
        <w:t>277 „Службени гласник РС”, бр. 121/14, 147/14, 32/15, 37/15, 5/16 и 91/16 од 5. новембра 2014, 147 од 31. децембра 2014, 32 од 3. априла 2015, 37 од 24. априла 2015, 5 од 25. јануара 2016, 91 од 10. новембра 2016.</w:t>
      </w:r>
    </w:p>
    <w:p w:rsidR="00BC3CE6" w:rsidRDefault="009A2DE5">
      <w:pPr>
        <w:spacing w:after="150"/>
        <w:jc w:val="both"/>
      </w:pPr>
      <w:r>
        <w:rPr>
          <w:i/>
          <w:color w:val="000000"/>
        </w:rPr>
        <w:t>278 „Службени гласник РС”, број 50/11.</w:t>
      </w:r>
    </w:p>
    <w:p w:rsidR="00BC3CE6" w:rsidRDefault="009A2DE5">
      <w:pPr>
        <w:spacing w:after="150"/>
        <w:jc w:val="both"/>
      </w:pPr>
      <w:r>
        <w:rPr>
          <w:i/>
          <w:color w:val="000000"/>
        </w:rPr>
        <w:t>27</w:t>
      </w:r>
      <w:r>
        <w:rPr>
          <w:i/>
          <w:color w:val="000000"/>
        </w:rPr>
        <w:t>9 „Службени лист СРЈ”, број 11/02, „Службени лист СЦГ”, број 1/03 – Уставна повеља и „Службени гласник РС”, број 72/09 – др. закон, 97/13 – УС и 47/18.</w:t>
      </w:r>
    </w:p>
    <w:p w:rsidR="00BC3CE6" w:rsidRDefault="009A2DE5">
      <w:pPr>
        <w:spacing w:after="150"/>
        <w:jc w:val="both"/>
      </w:pPr>
      <w:r>
        <w:rPr>
          <w:i/>
          <w:color w:val="000000"/>
        </w:rPr>
        <w:t>280 „Службени гласник РС”, бр. 72/09, 20/14 – УС 55/14 и 47/18.</w:t>
      </w:r>
    </w:p>
    <w:p w:rsidR="00BC3CE6" w:rsidRDefault="009A2DE5">
      <w:pPr>
        <w:spacing w:after="150"/>
        <w:jc w:val="both"/>
      </w:pPr>
      <w:r>
        <w:rPr>
          <w:i/>
          <w:color w:val="000000"/>
        </w:rPr>
        <w:t>281 „Службени гласник РС”, бр. 33/06 и 1</w:t>
      </w:r>
      <w:r>
        <w:rPr>
          <w:i/>
          <w:color w:val="000000"/>
        </w:rPr>
        <w:t>3/16.</w:t>
      </w:r>
    </w:p>
    <w:p w:rsidR="00BC3CE6" w:rsidRDefault="009A2DE5">
      <w:pPr>
        <w:spacing w:after="150"/>
        <w:jc w:val="both"/>
      </w:pPr>
      <w:r>
        <w:rPr>
          <w:i/>
          <w:color w:val="000000"/>
        </w:rPr>
        <w:t>282 „Службени гласник РС”, бр. 36/09 и 32/13.</w:t>
      </w:r>
    </w:p>
    <w:p w:rsidR="00BC3CE6" w:rsidRDefault="009A2DE5">
      <w:pPr>
        <w:spacing w:after="150"/>
        <w:jc w:val="both"/>
      </w:pPr>
      <w:r>
        <w:rPr>
          <w:i/>
          <w:color w:val="000000"/>
        </w:rPr>
        <w:t>283 „Службени гласник РС”, број 32/13.</w:t>
      </w:r>
    </w:p>
    <w:p w:rsidR="00BC3CE6" w:rsidRDefault="009A2DE5">
      <w:pPr>
        <w:spacing w:after="150"/>
        <w:jc w:val="both"/>
      </w:pPr>
      <w:r>
        <w:rPr>
          <w:i/>
          <w:color w:val="000000"/>
        </w:rPr>
        <w:lastRenderedPageBreak/>
        <w:t>284 „Службени гласник РС”, број 24/18.</w:t>
      </w:r>
    </w:p>
    <w:p w:rsidR="00BC3CE6" w:rsidRDefault="009A2DE5">
      <w:pPr>
        <w:spacing w:after="150"/>
        <w:jc w:val="both"/>
      </w:pPr>
      <w:r>
        <w:rPr>
          <w:i/>
          <w:color w:val="000000"/>
        </w:rPr>
        <w:t>285 „Службени гласник РС”, број 38/15.</w:t>
      </w:r>
    </w:p>
    <w:p w:rsidR="00BC3CE6" w:rsidRDefault="009A2DE5">
      <w:pPr>
        <w:spacing w:after="150"/>
        <w:jc w:val="both"/>
      </w:pPr>
      <w:r>
        <w:rPr>
          <w:i/>
          <w:color w:val="000000"/>
        </w:rPr>
        <w:t>286</w:t>
      </w:r>
      <w:r>
        <w:rPr>
          <w:i/>
          <w:color w:val="000000"/>
        </w:rPr>
        <w:tab/>
        <w:t>Доступно на: https://www.rik.parlament.gov.rs/extfile/sr/339/Odluka%20o%20pristupac</w:t>
      </w:r>
      <w:r>
        <w:rPr>
          <w:i/>
          <w:color w:val="000000"/>
        </w:rPr>
        <w:t>nosti%20bm.pdf приступ 14.5.2021.</w:t>
      </w:r>
    </w:p>
    <w:p w:rsidR="00BC3CE6" w:rsidRDefault="009A2DE5">
      <w:pPr>
        <w:spacing w:after="150"/>
        <w:jc w:val="both"/>
      </w:pPr>
      <w:r>
        <w:rPr>
          <w:i/>
          <w:color w:val="000000"/>
        </w:rPr>
        <w:t>287</w:t>
      </w:r>
      <w:r>
        <w:rPr>
          <w:i/>
          <w:color w:val="000000"/>
        </w:rPr>
        <w:tab/>
        <w:t>Доступно на: https://www.rik.parlament.gov.rs/extfile/sr/428/Preporuka%20o%20vecoj%20dostupnosti%20programskih%20sadrzaja%20osobama%20sa%20invalidetom.pdf приступљено 14.5.2021.</w:t>
      </w:r>
    </w:p>
    <w:p w:rsidR="00BC3CE6" w:rsidRDefault="009A2DE5">
      <w:pPr>
        <w:spacing w:after="150"/>
        <w:jc w:val="both"/>
      </w:pPr>
      <w:r>
        <w:rPr>
          <w:i/>
          <w:color w:val="000000"/>
        </w:rPr>
        <w:t>288</w:t>
      </w:r>
      <w:r>
        <w:rPr>
          <w:i/>
          <w:color w:val="000000"/>
        </w:rPr>
        <w:tab/>
        <w:t>Доступно на: https://www.rik.parlame</w:t>
      </w:r>
      <w:r>
        <w:rPr>
          <w:i/>
          <w:color w:val="000000"/>
        </w:rPr>
        <w:t>nt.gov.rs/extfile/sr/425/8256-Preporuka%20titlovi%20i%20znakovni%20jezik.pdf приступ 14.5.2021.</w:t>
      </w:r>
    </w:p>
    <w:p w:rsidR="00BC3CE6" w:rsidRDefault="009A2DE5">
      <w:pPr>
        <w:spacing w:after="120"/>
        <w:jc w:val="center"/>
      </w:pPr>
      <w:r>
        <w:rPr>
          <w:color w:val="000000"/>
        </w:rPr>
        <w:t>2. АНАЛИЗА ЕФЕКАТА ОСТВАРЕНИХ СПРОВОЂЕЊЕМ ПРЕТХОДНИХ ПЛАНСКИХ ДОКУМЕНАТА ЈАВНЕ ПОЛИТИКЕ У ОБЛАСТИ РОДНЕ РАВНОПРАВНОСТИ</w:t>
      </w:r>
    </w:p>
    <w:p w:rsidR="00BC3CE6" w:rsidRDefault="009A2DE5">
      <w:pPr>
        <w:spacing w:after="120"/>
        <w:jc w:val="center"/>
      </w:pPr>
      <w:r>
        <w:rPr>
          <w:b/>
          <w:color w:val="000000"/>
        </w:rPr>
        <w:t>2.1. Анализа ефеката Националне стратегиј</w:t>
      </w:r>
      <w:r>
        <w:rPr>
          <w:b/>
          <w:color w:val="000000"/>
        </w:rPr>
        <w:t>е за родну равноправност за период 2016–2020.</w:t>
      </w:r>
    </w:p>
    <w:p w:rsidR="00BC3CE6" w:rsidRDefault="009A2DE5">
      <w:pPr>
        <w:spacing w:after="150"/>
      </w:pPr>
      <w:r>
        <w:rPr>
          <w:color w:val="000000"/>
        </w:rPr>
        <w:t>Процес унапређења родне равноправности је настављен упркос томе што АП за примену Националне стратегије за родну равноправност за период 2018–2020. није усвојен, као и ванредним приликама изазваним епидемијом C</w:t>
      </w:r>
      <w:r>
        <w:rPr>
          <w:color w:val="000000"/>
        </w:rPr>
        <w:t>OVID-19</w:t>
      </w:r>
      <w:r>
        <w:rPr>
          <w:color w:val="000000"/>
          <w:vertAlign w:val="superscript"/>
        </w:rPr>
        <w:t>289</w:t>
      </w:r>
      <w:r>
        <w:rPr>
          <w:color w:val="000000"/>
        </w:rPr>
        <w:t xml:space="preserve">. И у овим околностима на наставак процеса унапређења родне равноправности утицало је више фактора: континуитет активности посебно у областима у којима су у претходном периоду активности ефикасно покренуте; комбинација различитих облика и начина </w:t>
      </w:r>
      <w:r>
        <w:rPr>
          <w:color w:val="000000"/>
        </w:rPr>
        <w:t>деловања; широка и континуирана мобилизација и висока посвећеност различитих актера који учествују у имплементацији; солидан нормативни оквир; рад на институционализацији и примени стандарда у пракси; кохерентност и конзистентност активности; поступно преп</w:t>
      </w:r>
      <w:r>
        <w:rPr>
          <w:color w:val="000000"/>
        </w:rPr>
        <w:t>ознавање родне равноправности као приоритетне области од националног значаја; садржинска повезаност са реформама везаним за Агенду 2030 и процесом ЕУ интеграција.</w:t>
      </w:r>
      <w:r>
        <w:rPr>
          <w:color w:val="000000"/>
          <w:vertAlign w:val="superscript"/>
        </w:rPr>
        <w:t>290</w:t>
      </w:r>
    </w:p>
    <w:p w:rsidR="00BC3CE6" w:rsidRDefault="009A2DE5">
      <w:pPr>
        <w:spacing w:after="150"/>
      </w:pPr>
      <w:r>
        <w:rPr>
          <w:color w:val="000000"/>
        </w:rPr>
        <w:t xml:space="preserve">Генерално посматрано, примена претходне Националне стратегије за родну равноправност била </w:t>
      </w:r>
      <w:r>
        <w:rPr>
          <w:color w:val="000000"/>
        </w:rPr>
        <w:t>је најефектнија када се ради о системском увођењу родне перспективе у доношење, спровођење и праћење јавних политика, програма и буџета у којој су започети процеси значајни за унапређење родне равноправности, упркос томе што се нису одвијали увек жељеном д</w:t>
      </w:r>
      <w:r>
        <w:rPr>
          <w:color w:val="000000"/>
        </w:rPr>
        <w:t>инамиком. Позитивни помаци</w:t>
      </w:r>
      <w:r>
        <w:rPr>
          <w:color w:val="000000"/>
          <w:vertAlign w:val="superscript"/>
        </w:rPr>
        <w:t>291</w:t>
      </w:r>
      <w:r>
        <w:rPr>
          <w:color w:val="000000"/>
        </w:rPr>
        <w:t xml:space="preserve"> бележе се у: унапређењу нормативног оквира, усвајању или новелирању закона на које се дуго чекало</w:t>
      </w:r>
      <w:r>
        <w:rPr>
          <w:color w:val="000000"/>
          <w:vertAlign w:val="superscript"/>
        </w:rPr>
        <w:t>292</w:t>
      </w:r>
      <w:r>
        <w:rPr>
          <w:color w:val="000000"/>
        </w:rPr>
        <w:t>, којима су створене нормативне претпоставке за унапређење родне равноправности и заштиту права жена; уродњавању јавних полити</w:t>
      </w:r>
      <w:r>
        <w:rPr>
          <w:color w:val="000000"/>
        </w:rPr>
        <w:t>ка; повећању заступљености жена у скупштинама</w:t>
      </w:r>
      <w:r>
        <w:rPr>
          <w:color w:val="000000"/>
          <w:vertAlign w:val="superscript"/>
        </w:rPr>
        <w:t>293</w:t>
      </w:r>
      <w:r>
        <w:rPr>
          <w:color w:val="000000"/>
        </w:rPr>
        <w:t xml:space="preserve">, њиховом учешћу у политичком животу и институцијама и одлучивању о јавним пословима; родно одговорном буџетирању; спречавању и санкционисању насиља према женама и насиља у породици; извештавању према </w:t>
      </w:r>
      <w:r>
        <w:rPr>
          <w:color w:val="000000"/>
        </w:rPr>
        <w:t xml:space="preserve">међународним </w:t>
      </w:r>
      <w:r>
        <w:rPr>
          <w:color w:val="000000"/>
        </w:rPr>
        <w:lastRenderedPageBreak/>
        <w:t>организацијама које надзиру примену међународних стандарда родне равноправности (CEDAW комитет</w:t>
      </w:r>
      <w:r>
        <w:rPr>
          <w:color w:val="000000"/>
          <w:vertAlign w:val="superscript"/>
        </w:rPr>
        <w:t>294</w:t>
      </w:r>
      <w:r>
        <w:rPr>
          <w:color w:val="000000"/>
        </w:rPr>
        <w:t>, GREVIO група) у коме су и женске ОЦД активно учествовале и поднеле више извештаја у сенци.</w:t>
      </w:r>
      <w:r>
        <w:rPr>
          <w:color w:val="000000"/>
          <w:vertAlign w:val="superscript"/>
        </w:rPr>
        <w:t>295</w:t>
      </w:r>
      <w:r>
        <w:rPr>
          <w:color w:val="000000"/>
        </w:rPr>
        <w:t xml:space="preserve"> Нижа ефективност у примени Националне стратегије з</w:t>
      </w:r>
      <w:r>
        <w:rPr>
          <w:color w:val="000000"/>
        </w:rPr>
        <w:t>а родну равноправност забележена је у економском оснаживању жена, унапређивању положаја жена из рањивих група и родно осетљивом образовању.</w:t>
      </w:r>
      <w:r>
        <w:rPr>
          <w:color w:val="000000"/>
          <w:vertAlign w:val="superscript"/>
        </w:rPr>
        <w:t>296</w:t>
      </w:r>
      <w:r>
        <w:rPr>
          <w:color w:val="000000"/>
        </w:rPr>
        <w:t xml:space="preserve"> Благи позитивни помаци бележе се у подизању знања и свести о значају родне равноправности за развој друштва (обук</w:t>
      </w:r>
      <w:r>
        <w:rPr>
          <w:color w:val="000000"/>
        </w:rPr>
        <w:t>е, благо опадање патријархалних ставова, равноправније учешће жена и мушкараца у родитељству и економији старања, интегрисање родне перспективе у стратешка документа) и у унапређењу интерсекторске координације. Ослабљена је, међутим, сарадња између институ</w:t>
      </w:r>
      <w:r>
        <w:rPr>
          <w:color w:val="000000"/>
        </w:rPr>
        <w:t>ција власти и ОЦД које се баве унапређењем положаја жена и родном равноправношћу. Иако је заступљеност жена у скупштинама на свим нивоима повећана, и надаље се бележи мали удео жена међу председницима општина и градоначелницима, заступљеност жена у Покраји</w:t>
      </w:r>
      <w:r>
        <w:rPr>
          <w:color w:val="000000"/>
        </w:rPr>
        <w:t>нској влади (14%) нижа је од њихове заступљености у Влади Србије (46%). Нису институционализовани и недовољно су развијени механизми координације и извештавања на хоризонталној, а посебно на вертикалној равни. Недовољно снажна је усмереност ка промени патр</w:t>
      </w:r>
      <w:r>
        <w:rPr>
          <w:color w:val="000000"/>
        </w:rPr>
        <w:t>ијархалне културе и стереотипа, и негативна појава укидања родних студија на универзитетима.</w:t>
      </w:r>
    </w:p>
    <w:p w:rsidR="00BC3CE6" w:rsidRDefault="009A2DE5">
      <w:pPr>
        <w:spacing w:after="150"/>
      </w:pPr>
      <w:r>
        <w:rPr>
          <w:color w:val="000000"/>
        </w:rPr>
        <w:t>На умањење ефективности Националне стратегије за родну равноправност утицали су недовољно снажни институционални механизми РР и недостатак финансијских средстава з</w:t>
      </w:r>
      <w:r>
        <w:rPr>
          <w:color w:val="000000"/>
        </w:rPr>
        <w:t>а њихове активности</w:t>
      </w:r>
      <w:r>
        <w:rPr>
          <w:color w:val="000000"/>
          <w:vertAlign w:val="superscript"/>
        </w:rPr>
        <w:t>297</w:t>
      </w:r>
      <w:r>
        <w:rPr>
          <w:color w:val="000000"/>
        </w:rPr>
        <w:t>, недостатак или кашњење са усвајањем пратећих прописа за примену закона и пратећих политика, изостанак јединственог финансијског механизма и механизма за праћење уложених ресурса, недостатак неопходних података на које би се ослањало</w:t>
      </w:r>
      <w:r>
        <w:rPr>
          <w:color w:val="000000"/>
        </w:rPr>
        <w:t xml:space="preserve"> сагледавање процеса и праћење примене, тешкоће везане за прикупљање података, недовољно искоришћен потенцијал женских ОЦД, непостојање трајног формалног механизма партнерства и сарадње КТРР и ОЦД, нефункционалан систем пружања бесплатне правне помоћи, пре</w:t>
      </w:r>
      <w:r>
        <w:rPr>
          <w:color w:val="000000"/>
        </w:rPr>
        <w:t>преке и ограничења у остваривању права на приступ правди, посебно за жене из рањивих група, недовољни капацитети и знање запослених у органима јавне власти за родно одговорно планирање политика, изостанак систематског праћења ефеката обука, недостатак истр</w:t>
      </w:r>
      <w:r>
        <w:rPr>
          <w:color w:val="000000"/>
        </w:rPr>
        <w:t>аживања о ставовима државних службеника и запослених у јавној администрацији о родној равноправности и др.</w:t>
      </w:r>
    </w:p>
    <w:p w:rsidR="00BC3CE6" w:rsidRDefault="009A2DE5">
      <w:pPr>
        <w:spacing w:after="150"/>
        <w:jc w:val="both"/>
      </w:pPr>
      <w:r>
        <w:rPr>
          <w:i/>
          <w:color w:val="000000"/>
        </w:rPr>
        <w:t>––––––––</w:t>
      </w:r>
    </w:p>
    <w:p w:rsidR="00BC3CE6" w:rsidRDefault="009A2DE5">
      <w:pPr>
        <w:spacing w:after="150"/>
        <w:jc w:val="both"/>
      </w:pPr>
      <w:r>
        <w:rPr>
          <w:i/>
          <w:color w:val="000000"/>
        </w:rPr>
        <w:t>289</w:t>
      </w:r>
      <w:r>
        <w:rPr>
          <w:i/>
          <w:color w:val="000000"/>
        </w:rPr>
        <w:tab/>
        <w:t>Налаз 6. Завршне евалуације Националне стратегије за родну равноправност за период 2016–2020. Доступно на https://rodnaravnopravnost.gov</w:t>
      </w:r>
      <w:r>
        <w:rPr>
          <w:i/>
          <w:color w:val="000000"/>
        </w:rPr>
        <w:t>.rs/index.php/sr/dokumenti/strategije-i-akcioni-planovi/evaluacija-strategije-za-rodnu-ravnopravnost-2016–2020 приступ 10.6.2021.</w:t>
      </w:r>
    </w:p>
    <w:p w:rsidR="00BC3CE6" w:rsidRDefault="009A2DE5">
      <w:pPr>
        <w:spacing w:after="150"/>
        <w:jc w:val="both"/>
      </w:pPr>
      <w:r>
        <w:rPr>
          <w:i/>
          <w:color w:val="000000"/>
        </w:rPr>
        <w:lastRenderedPageBreak/>
        <w:t>290 Оп. цит. налаз 7.</w:t>
      </w:r>
    </w:p>
    <w:p w:rsidR="00BC3CE6" w:rsidRDefault="009A2DE5">
      <w:pPr>
        <w:spacing w:after="150"/>
        <w:jc w:val="both"/>
      </w:pPr>
      <w:r>
        <w:rPr>
          <w:i/>
          <w:color w:val="000000"/>
        </w:rPr>
        <w:t>291 Исто. Налаз 7.</w:t>
      </w:r>
    </w:p>
    <w:p w:rsidR="00BC3CE6" w:rsidRDefault="009A2DE5">
      <w:pPr>
        <w:spacing w:after="150"/>
        <w:jc w:val="both"/>
      </w:pPr>
      <w:r>
        <w:rPr>
          <w:i/>
          <w:color w:val="000000"/>
        </w:rPr>
        <w:t>292 Закон о спречавању насиља у породици (2016), Закон о бесплатној правној помоћи (2</w:t>
      </w:r>
      <w:r>
        <w:rPr>
          <w:i/>
          <w:color w:val="000000"/>
        </w:rPr>
        <w:t>018), Закон о азилу и привременој заштити (2018), Закон о избору народних посланика (2020), Закон о локалним изборима (2020), Покрајинска скупштинска одлука о избору посланика у Скупштину АПВ (2020), Закон о родној равноправности (2021), Закон о изменама и</w:t>
      </w:r>
      <w:r>
        <w:rPr>
          <w:i/>
          <w:color w:val="000000"/>
        </w:rPr>
        <w:t xml:space="preserve"> допунама закона о забрани дискриминације (2021) и др.</w:t>
      </w:r>
    </w:p>
    <w:p w:rsidR="00BC3CE6" w:rsidRDefault="009A2DE5">
      <w:pPr>
        <w:spacing w:after="150"/>
        <w:jc w:val="both"/>
      </w:pPr>
      <w:r>
        <w:rPr>
          <w:i/>
          <w:color w:val="000000"/>
        </w:rPr>
        <w:t>293 Заступљеност жена у Скупштини РС, Скупштини АПВ и скупштинама ЈЛС резултат је примене законске квоте од 40% за и резервисана места на листи мање заступљени пол, али се у Евалуацији Стратегије за ро</w:t>
      </w:r>
      <w:r>
        <w:rPr>
          <w:i/>
          <w:color w:val="000000"/>
        </w:rPr>
        <w:t>дну равноправност констатује да ово постигнуће није резултат примене ове Стратегије већ су на то утицале друге околности и подстицаји.</w:t>
      </w:r>
    </w:p>
    <w:p w:rsidR="00BC3CE6" w:rsidRDefault="009A2DE5">
      <w:pPr>
        <w:spacing w:after="150"/>
        <w:jc w:val="both"/>
      </w:pPr>
      <w:r>
        <w:rPr>
          <w:i/>
          <w:color w:val="000000"/>
        </w:rPr>
        <w:t>294 Четврти периодични извештај о примени CEDAW Србија је поднела 2017. године. Комитет је своје закључке и препоруке дос</w:t>
      </w:r>
      <w:r>
        <w:rPr>
          <w:i/>
          <w:color w:val="000000"/>
        </w:rPr>
        <w:t>тавио 2018. године. Извештај о примени Истанбулске конвенције поднет је 2018. године, а GREVIO група доставила је своје препоруке почетком 2020. године.</w:t>
      </w:r>
    </w:p>
    <w:p w:rsidR="00BC3CE6" w:rsidRDefault="009A2DE5">
      <w:pPr>
        <w:spacing w:after="150"/>
        <w:jc w:val="both"/>
      </w:pPr>
      <w:r>
        <w:rPr>
          <w:i/>
          <w:color w:val="000000"/>
        </w:rPr>
        <w:t>295 Укупно је поднето 15 извештаја у сенци. Доступни на: https://tbinternet.ohchr.org/_layouts/15/Treat</w:t>
      </w:r>
      <w:r>
        <w:rPr>
          <w:i/>
          <w:color w:val="000000"/>
        </w:rPr>
        <w:t>yBodyExternal/Countries.aspx?CountryCode=SRB&amp;Lang=EN приступ 18.6.2021.</w:t>
      </w:r>
    </w:p>
    <w:p w:rsidR="00BC3CE6" w:rsidRDefault="009A2DE5">
      <w:pPr>
        <w:spacing w:after="150"/>
        <w:jc w:val="both"/>
      </w:pPr>
      <w:r>
        <w:rPr>
          <w:i/>
          <w:color w:val="000000"/>
        </w:rPr>
        <w:t>296 Оп. цит. Налаз 6.</w:t>
      </w:r>
    </w:p>
    <w:p w:rsidR="00BC3CE6" w:rsidRDefault="009A2DE5">
      <w:pPr>
        <w:spacing w:after="150"/>
        <w:jc w:val="both"/>
      </w:pPr>
      <w:r>
        <w:rPr>
          <w:i/>
          <w:color w:val="000000"/>
        </w:rPr>
        <w:t>297 Оп. цит. Налаз 8.</w:t>
      </w:r>
    </w:p>
    <w:p w:rsidR="00BC3CE6" w:rsidRDefault="009A2DE5">
      <w:pPr>
        <w:spacing w:after="120"/>
        <w:jc w:val="center"/>
      </w:pPr>
      <w:r>
        <w:rPr>
          <w:b/>
          <w:color w:val="000000"/>
        </w:rPr>
        <w:t xml:space="preserve">2.2. Анализа ефеката Националне стратегије за родну равноправност за период 2016–2020. за период 2018–2020. за који Акциони план није </w:t>
      </w:r>
      <w:r>
        <w:rPr>
          <w:b/>
          <w:color w:val="000000"/>
        </w:rPr>
        <w:t>усвојен</w:t>
      </w:r>
    </w:p>
    <w:p w:rsidR="00BC3CE6" w:rsidRDefault="009A2DE5">
      <w:pPr>
        <w:spacing w:after="150"/>
      </w:pPr>
      <w:r>
        <w:rPr>
          <w:color w:val="000000"/>
        </w:rPr>
        <w:t>Евалуација ефеката АП за спровођење Националне стратегије за родну равноправност за период 2018–2020. је изостала</w:t>
      </w:r>
      <w:r>
        <w:rPr>
          <w:color w:val="000000"/>
          <w:vertAlign w:val="superscript"/>
        </w:rPr>
        <w:t>298</w:t>
      </w:r>
      <w:r>
        <w:rPr>
          <w:color w:val="000000"/>
        </w:rPr>
        <w:t xml:space="preserve"> јер АП за период 2018–2020. није усвојен, иако је нацрт АП био припремљен и упућен у процедуру. Национална стратегија за родну равн</w:t>
      </w:r>
      <w:r>
        <w:rPr>
          <w:color w:val="000000"/>
        </w:rPr>
        <w:t>оправност примењивала се без АП за њену примену.</w:t>
      </w:r>
      <w:r>
        <w:rPr>
          <w:color w:val="000000"/>
          <w:vertAlign w:val="superscript"/>
        </w:rPr>
        <w:t>299</w:t>
      </w:r>
      <w:r>
        <w:rPr>
          <w:color w:val="000000"/>
        </w:rPr>
        <w:t xml:space="preserve"> Стога се анализа у овом делу ослања на активности које су се одвијале само на основу Националне стратегије за родну равноправност. Постојали су и додатни фактори изазвани пандемијом COVID-19, који су утиц</w:t>
      </w:r>
      <w:r>
        <w:rPr>
          <w:color w:val="000000"/>
        </w:rPr>
        <w:t>али на ограничења активности током 2020. године. Упркос отежаним околностима у којима се деловало, активности на унапређењу родне равноправности нису битно смањене, а процеси покренути током остваривања АП за период 2016–2018. године нису сасвим заустављен</w:t>
      </w:r>
      <w:r>
        <w:rPr>
          <w:color w:val="000000"/>
        </w:rPr>
        <w:t>и. КТРР, са оскудним капацитетима у броју запослених, организационој и логистичкој подршци и финансијским средствима успело је да бар донекле одржи активности на започетим процесима и у оваквим приликама. У том периоду видљива је значајна неуједначеност из</w:t>
      </w:r>
      <w:r>
        <w:rPr>
          <w:color w:val="000000"/>
        </w:rPr>
        <w:t>међу различитих области у ефективности остваривања Националне стратегије за родну равноправност.</w:t>
      </w:r>
    </w:p>
    <w:p w:rsidR="00BC3CE6" w:rsidRDefault="009A2DE5">
      <w:pPr>
        <w:spacing w:after="150"/>
      </w:pPr>
      <w:r>
        <w:rPr>
          <w:color w:val="000000"/>
        </w:rPr>
        <w:lastRenderedPageBreak/>
        <w:t>Активности су настављене иако Акциони план за период 2018–2020. године није био усвојен. Континуитет деловања посебно је видљив у областима у којима су активно</w:t>
      </w:r>
      <w:r>
        <w:rPr>
          <w:color w:val="000000"/>
        </w:rPr>
        <w:t>сти институционализоване, укључене у стандардизоване процедуре</w:t>
      </w:r>
      <w:r>
        <w:rPr>
          <w:color w:val="000000"/>
          <w:vertAlign w:val="superscript"/>
        </w:rPr>
        <w:t>300</w:t>
      </w:r>
      <w:r>
        <w:rPr>
          <w:color w:val="000000"/>
        </w:rPr>
        <w:t>, као и у областима у којима се активности одвијају у оквиру већ започетих пројеката</w:t>
      </w:r>
      <w:r>
        <w:rPr>
          <w:color w:val="000000"/>
          <w:vertAlign w:val="superscript"/>
        </w:rPr>
        <w:t>301</w:t>
      </w:r>
      <w:r>
        <w:rPr>
          <w:color w:val="000000"/>
        </w:rPr>
        <w:t xml:space="preserve"> на којима је рад настављен и за које су обезбеђена финансијска средства. Настављено је са спровођењем и</w:t>
      </w:r>
      <w:r>
        <w:rPr>
          <w:color w:val="000000"/>
        </w:rPr>
        <w:t>нтервенција усмерених на: родно одговорно буџетирање, унапређење положаја жена у руралним подручјима</w:t>
      </w:r>
      <w:r>
        <w:rPr>
          <w:color w:val="000000"/>
          <w:vertAlign w:val="superscript"/>
        </w:rPr>
        <w:t>302</w:t>
      </w:r>
      <w:r>
        <w:rPr>
          <w:color w:val="000000"/>
        </w:rPr>
        <w:t>, родној анализи јавних политика и мера, уродњавању јавних политика и интегрисању родне перспективе у стратегије и прописе</w:t>
      </w:r>
      <w:r>
        <w:rPr>
          <w:color w:val="000000"/>
          <w:vertAlign w:val="superscript"/>
        </w:rPr>
        <w:t>303</w:t>
      </w:r>
      <w:r>
        <w:rPr>
          <w:color w:val="000000"/>
        </w:rPr>
        <w:t>, вођењу родно сезитивних ев</w:t>
      </w:r>
      <w:r>
        <w:rPr>
          <w:color w:val="000000"/>
        </w:rPr>
        <w:t>иденција</w:t>
      </w:r>
      <w:r>
        <w:rPr>
          <w:color w:val="000000"/>
          <w:vertAlign w:val="superscript"/>
        </w:rPr>
        <w:t>304</w:t>
      </w:r>
      <w:r>
        <w:rPr>
          <w:color w:val="000000"/>
        </w:rPr>
        <w:t>, међународној сарадњи.</w:t>
      </w:r>
      <w:r>
        <w:rPr>
          <w:color w:val="000000"/>
          <w:vertAlign w:val="superscript"/>
        </w:rPr>
        <w:t>305</w:t>
      </w:r>
    </w:p>
    <w:p w:rsidR="00BC3CE6" w:rsidRDefault="009A2DE5">
      <w:pPr>
        <w:spacing w:after="150"/>
      </w:pPr>
      <w:r>
        <w:rPr>
          <w:color w:val="000000"/>
        </w:rPr>
        <w:t>Поред тога, током 2018. и 2019. године одвијале су се и друге активности (анализе, истраживања, научни скупови) значајне за унапређење родне равноправности</w:t>
      </w:r>
      <w:r>
        <w:rPr>
          <w:color w:val="000000"/>
          <w:vertAlign w:val="superscript"/>
        </w:rPr>
        <w:t>306</w:t>
      </w:r>
      <w:r>
        <w:rPr>
          <w:color w:val="000000"/>
        </w:rPr>
        <w:t>, а посебно за положај рањивих група.</w:t>
      </w:r>
      <w:r>
        <w:rPr>
          <w:color w:val="000000"/>
          <w:vertAlign w:val="superscript"/>
        </w:rPr>
        <w:t>307</w:t>
      </w:r>
      <w:r>
        <w:rPr>
          <w:color w:val="000000"/>
        </w:rPr>
        <w:t xml:space="preserve"> То је додатна потвр</w:t>
      </w:r>
      <w:r>
        <w:rPr>
          <w:color w:val="000000"/>
        </w:rPr>
        <w:t>да налаза из Завршне евалуације Националне стратегије за родну равноправност да је „вероватноћа да ће резултати и покренуте промене бити одрживи већа у областима где су резултати интегрисани у системска решења – законе, прописе и регуларне процедуре – када</w:t>
      </w:r>
      <w:r>
        <w:rPr>
          <w:color w:val="000000"/>
        </w:rPr>
        <w:t xml:space="preserve"> постоји висока свест и посвећеност актера да промене подрже и када су промене интегрални део приоритетних процеса реформи, посебно оних повезаних са приступањем ЕУ.”</w:t>
      </w:r>
      <w:r>
        <w:rPr>
          <w:color w:val="000000"/>
          <w:vertAlign w:val="superscript"/>
        </w:rPr>
        <w:t>308</w:t>
      </w:r>
    </w:p>
    <w:p w:rsidR="00BC3CE6" w:rsidRDefault="009A2DE5">
      <w:pPr>
        <w:spacing w:after="150"/>
        <w:jc w:val="both"/>
      </w:pPr>
      <w:r>
        <w:rPr>
          <w:i/>
          <w:color w:val="000000"/>
        </w:rPr>
        <w:t>––––––––</w:t>
      </w:r>
    </w:p>
    <w:p w:rsidR="00BC3CE6" w:rsidRDefault="009A2DE5">
      <w:pPr>
        <w:spacing w:after="150"/>
        <w:jc w:val="both"/>
      </w:pPr>
      <w:r>
        <w:rPr>
          <w:i/>
          <w:color w:val="000000"/>
        </w:rPr>
        <w:t>298 Сачињена је само евалуација АП за период 2016–2018. Видети: Бабовић, М. и</w:t>
      </w:r>
      <w:r>
        <w:rPr>
          <w:i/>
          <w:color w:val="000000"/>
        </w:rPr>
        <w:t xml:space="preserve"> др. Финални извештај евалуације Акционог плана за спровођење Националне стратегије за родну равноправност РС, SeConS, UN Women (2018). Доступно на: https://www.secons.net/files/publications/99-publication.pdf приступ 12.6.2021.</w:t>
      </w:r>
    </w:p>
    <w:p w:rsidR="00BC3CE6" w:rsidRDefault="009A2DE5">
      <w:pPr>
        <w:spacing w:after="150"/>
        <w:jc w:val="both"/>
      </w:pPr>
      <w:r>
        <w:rPr>
          <w:i/>
          <w:color w:val="000000"/>
        </w:rPr>
        <w:t>299 Оп. цит. Налаз 8.</w:t>
      </w:r>
    </w:p>
    <w:p w:rsidR="00BC3CE6" w:rsidRDefault="009A2DE5">
      <w:pPr>
        <w:spacing w:after="150"/>
        <w:jc w:val="both"/>
      </w:pPr>
      <w:r>
        <w:rPr>
          <w:i/>
          <w:color w:val="000000"/>
        </w:rPr>
        <w:t>300 Н</w:t>
      </w:r>
      <w:r>
        <w:rPr>
          <w:i/>
          <w:color w:val="000000"/>
        </w:rPr>
        <w:t>а пример, након првог извештаја о индексу родне равноправности 2016, публикован је индекс родне равноправности (2018), и припремљен извештај за 2019. годину; извештавање државе о примени CEDAW конвенције (2017) и Истамбулске конвенције (2018), али и бројни</w:t>
      </w:r>
      <w:r>
        <w:rPr>
          <w:i/>
          <w:color w:val="000000"/>
        </w:rPr>
        <w:t xml:space="preserve"> извештаји из сенке које подносе ОЦД. Национални извештај о примени CEDAW и Истанбулске конвенције у РС – дискриминација и насиље према Ромкињама, БИБИЈА и UN Women (2019); Родна равноправност у Србији – Извештај о стању родне равноправности у Србији, Мреж</w:t>
      </w:r>
      <w:r>
        <w:rPr>
          <w:i/>
          <w:color w:val="000000"/>
        </w:rPr>
        <w:t>а СОС Војводина, SeConS, (2018). Жене и мушкарци у Србији, Републички завод за статистику (2020). Обуке о родној равноправности за запослене у државној управи, Годишњи извештаји везани за РОБ, које заједнички реализују КТРР и Министарство финансија: Четврт</w:t>
      </w:r>
      <w:r>
        <w:rPr>
          <w:i/>
          <w:color w:val="000000"/>
        </w:rPr>
        <w:t xml:space="preserve">и извештај (2019) и Пети извештај (2020), Национални извештај о оствареном напретку у спровођењу Пекиншке декларације и Платформе за акцију+25 (2019). Доступно на: </w:t>
      </w:r>
      <w:r>
        <w:rPr>
          <w:i/>
          <w:color w:val="000000"/>
        </w:rPr>
        <w:lastRenderedPageBreak/>
        <w:t>https://drive.google.com/drive/folders/16Bg45r57ZTFuXwayRds62Qf5xifHht0u?usp=sharing приступ</w:t>
      </w:r>
      <w:r>
        <w:rPr>
          <w:i/>
          <w:color w:val="000000"/>
        </w:rPr>
        <w:t xml:space="preserve"> 10.6.2021.</w:t>
      </w:r>
    </w:p>
    <w:p w:rsidR="00BC3CE6" w:rsidRDefault="009A2DE5">
      <w:pPr>
        <w:spacing w:after="150"/>
        <w:jc w:val="both"/>
      </w:pPr>
      <w:r>
        <w:rPr>
          <w:i/>
          <w:color w:val="000000"/>
        </w:rPr>
        <w:t>301</w:t>
      </w:r>
      <w:r>
        <w:rPr>
          <w:i/>
          <w:color w:val="000000"/>
        </w:rPr>
        <w:tab/>
        <w:t>Настављене су активности у оквиру пројекта „Кључни кораци ка остваривању родне равноправности” који се реализује у сарадњи КТРР и UN Women уз подршку ЕУ. Организовано је више истраживања која су и публикована. На пример: Цвејтичанин Кнежеви</w:t>
      </w:r>
      <w:r>
        <w:rPr>
          <w:i/>
          <w:color w:val="000000"/>
        </w:rPr>
        <w:t>ћ, Х. и др. Приручник за употребу родно осетљивог језика (2018), Анђелковић, Б. и др. Родна нит дигиталног предузетништва, Центар за истраживање јавних политика, (2019), Смернице за развој женског дигиталног предузетништва, Једнаке могућности, (2019), Диги</w:t>
      </w:r>
      <w:r>
        <w:rPr>
          <w:i/>
          <w:color w:val="000000"/>
        </w:rPr>
        <w:t>талне и предузетничке вештине за жене из руралних подручја, Београд (2019), Рикановић, М., и др. Родно одговорно урбанистичко планирање и пројектовање, Београд (2020), Утицај КОВИД-19 на пандемије и мера за њено спречавање на запосленост и услове рада жена</w:t>
      </w:r>
      <w:r>
        <w:rPr>
          <w:i/>
          <w:color w:val="000000"/>
        </w:rPr>
        <w:t xml:space="preserve"> и мушкараца у Србији, SeConS, (2020), Утицај КОВИД-19 пандемије и мера за њено спречавање на социо-економски положај жена које живе на селу са фокусом на пољопривреду, SeConS, (2020). Доступно на: https://drive.google.com/drive/folders/16Bg45r57ZTFuXwayRd</w:t>
      </w:r>
      <w:r>
        <w:rPr>
          <w:i/>
          <w:color w:val="000000"/>
        </w:rPr>
        <w:t>s62Qf5xifHht0u?usp=sharing приступ 10.6.2021.</w:t>
      </w:r>
    </w:p>
    <w:p w:rsidR="00BC3CE6" w:rsidRDefault="009A2DE5">
      <w:pPr>
        <w:spacing w:after="150"/>
        <w:jc w:val="both"/>
      </w:pPr>
      <w:r>
        <w:rPr>
          <w:i/>
          <w:color w:val="000000"/>
        </w:rPr>
        <w:t>302 То се посебно односи на мере подстицаја пољопривреди усмерене ка женама, мере подршке органској биљној и сточарској производњи, мере активног запошљавања жена у руралним подручјима, обуке за примену ИТ за ж</w:t>
      </w:r>
      <w:r>
        <w:rPr>
          <w:i/>
          <w:color w:val="000000"/>
        </w:rPr>
        <w:t>ене предузетнице у руралним срединама, програми иновативне социјалне инклузије у руралним срединама, побољшање имовинске ситуације жена на селу. Извор: Евалуација Стратегије за родну равноправност, посебан циљ 3.1.</w:t>
      </w:r>
    </w:p>
    <w:p w:rsidR="00BC3CE6" w:rsidRDefault="009A2DE5">
      <w:pPr>
        <w:spacing w:after="150"/>
        <w:jc w:val="both"/>
      </w:pPr>
      <w:r>
        <w:rPr>
          <w:i/>
          <w:color w:val="000000"/>
        </w:rPr>
        <w:t>303 Посебни циљеви 3.2 (благи поступни по</w:t>
      </w:r>
      <w:r>
        <w:rPr>
          <w:i/>
          <w:color w:val="000000"/>
        </w:rPr>
        <w:t>маци и унапређење алата за тестирање и верификацију родне компоненте планских докумената) и 3.3 (нпр. анализа родне равноправности у саобраћају, родна анализа економских програма и финансијских мера, студија родна равноправност у спортским и медијским прог</w:t>
      </w:r>
      <w:r>
        <w:rPr>
          <w:i/>
          <w:color w:val="000000"/>
        </w:rPr>
        <w:t>рамима, студија о медијском извештавању о насиљу према женама, укључивање родне перспективе у Стратегију дигиталних вештина, обуке о родној компоненти у еколошким политикама, програм развоја е-трговине и др. Извор: Евалуација Стратегије РР.</w:t>
      </w:r>
    </w:p>
    <w:p w:rsidR="00BC3CE6" w:rsidRDefault="009A2DE5">
      <w:pPr>
        <w:spacing w:after="150"/>
        <w:jc w:val="both"/>
      </w:pPr>
      <w:r>
        <w:rPr>
          <w:i/>
          <w:color w:val="000000"/>
        </w:rPr>
        <w:t xml:space="preserve">304 На пример: </w:t>
      </w:r>
      <w:r>
        <w:rPr>
          <w:i/>
          <w:color w:val="000000"/>
        </w:rPr>
        <w:t>родно осетљиве евиденције о имовини, база података Републичког геодетског завода.</w:t>
      </w:r>
    </w:p>
    <w:p w:rsidR="00BC3CE6" w:rsidRDefault="009A2DE5">
      <w:pPr>
        <w:spacing w:after="150"/>
        <w:jc w:val="both"/>
      </w:pPr>
      <w:r>
        <w:rPr>
          <w:i/>
          <w:color w:val="000000"/>
        </w:rPr>
        <w:t>305 То се посебно односи на сарадњу са EIGE, појединим државама ЕУ и државама региона.</w:t>
      </w:r>
    </w:p>
    <w:p w:rsidR="00BC3CE6" w:rsidRDefault="009A2DE5">
      <w:pPr>
        <w:spacing w:after="150"/>
        <w:jc w:val="both"/>
      </w:pPr>
      <w:r>
        <w:rPr>
          <w:i/>
          <w:color w:val="000000"/>
        </w:rPr>
        <w:t xml:space="preserve">306 Зборник Универзитети између меритократије и патријархата: жене и моћ делања, </w:t>
      </w:r>
      <w:r>
        <w:rPr>
          <w:i/>
          <w:color w:val="000000"/>
        </w:rPr>
        <w:t>Универзтитет у Београду, Институт за филозофију и друштвену теорију (ур. Делибашић, Б., Пудар Д., Г. Фикет, И.), (2018), Зборник Родна равноправност – од једнаких могућности до једнаких права, (ур. Варади, Т, Пајванчић, М.), Српска академија наука и уметно</w:t>
      </w:r>
      <w:r>
        <w:rPr>
          <w:i/>
          <w:color w:val="000000"/>
        </w:rPr>
        <w:t xml:space="preserve">сти (2019), Пајванчић, М., и </w:t>
      </w:r>
      <w:r>
        <w:rPr>
          <w:i/>
          <w:color w:val="000000"/>
        </w:rPr>
        <w:lastRenderedPageBreak/>
        <w:t>др. Наша урушена права (2019), Зборник Родна равноправност у високом образовању, (ур. Вујадиновић, Д. и Антонијевић З.), Академска књига, (2019), Зборник Научнице у Србији, Етнографски институт САНУ, (2020), Научни рад и род: с</w:t>
      </w:r>
      <w:r>
        <w:rPr>
          <w:i/>
          <w:color w:val="000000"/>
        </w:rPr>
        <w:t>инхроне и дијахроне перспективе, Гласник Етнографског института САНУ, (2020), Зборник Парламентаризам у Србији из женског угла (ур. Пајванчић М. Урошевић, Б.) (2020). Зборник Жене у инжењерству, Инжењерска академија, (2020), Николин, С., и др. Преглед прог</w:t>
      </w:r>
      <w:r>
        <w:rPr>
          <w:i/>
          <w:color w:val="000000"/>
        </w:rPr>
        <w:t>рама и мера Развојне агенције Србије и анализа утицаја на родну равноправност, НАЛЕД (2019). Николин, С., и др. Родна анализа програма, резултата и утицаја Фонда за иновациону делатност са препорукама заснованим на идентификованим родним јазовима, НАЛЕД (2</w:t>
      </w:r>
      <w:r>
        <w:rPr>
          <w:i/>
          <w:color w:val="000000"/>
        </w:rPr>
        <w:t>019), Рикановић, М. и др. Водич ка родно-осетљивим јавним просторима, Женско архитектонско друштво и UN Women, (2020). Доступно на: https://drive.google.com/drive/folders/16Bg45r57ZTFuXwayRds62Qf5xifHht0u?usp=sharing Приступ 10. 6. 2021.</w:t>
      </w:r>
    </w:p>
    <w:p w:rsidR="00BC3CE6" w:rsidRDefault="009A2DE5">
      <w:pPr>
        <w:spacing w:after="150"/>
        <w:jc w:val="both"/>
      </w:pPr>
      <w:r>
        <w:rPr>
          <w:i/>
          <w:color w:val="000000"/>
        </w:rPr>
        <w:t>307 Петрушић, Н. и</w:t>
      </w:r>
      <w:r>
        <w:rPr>
          <w:i/>
          <w:color w:val="000000"/>
        </w:rPr>
        <w:t xml:space="preserve"> др. Положај и учешће старијих жена у политичком и јавном животу у Србији, ФемПлатз, Амити, (2020); Мапирање жена и девојака са инвалидитетом на руководећим позицијама у организацијама особа са инвалидитетом, ЦСЖ (2019), доступно на: https://drive.google.c</w:t>
      </w:r>
      <w:r>
        <w:rPr>
          <w:i/>
          <w:color w:val="000000"/>
        </w:rPr>
        <w:t>om/drive/folders/16Bg45r57ZTFuXwayRds62Qf5xifHht0u?usp=sharing Приручник за обуку за изградњу капацитета младих жена и девојака са инвалидитетом (2019), доступно на: http://cilsrbija.org/ebib/202010131839090.PRIRUCNIK_ZA_OBUKU_ZA_IZGRADNJU_KAPACITETA.pdf п</w:t>
      </w:r>
      <w:r>
        <w:rPr>
          <w:i/>
          <w:color w:val="000000"/>
        </w:rPr>
        <w:t>риступ 10.6.2021.</w:t>
      </w:r>
    </w:p>
    <w:p w:rsidR="00BC3CE6" w:rsidRDefault="009A2DE5">
      <w:pPr>
        <w:spacing w:after="150"/>
        <w:jc w:val="both"/>
      </w:pPr>
      <w:r>
        <w:rPr>
          <w:i/>
          <w:color w:val="000000"/>
        </w:rPr>
        <w:t>308 Оп. цит. налаз 12.</w:t>
      </w:r>
    </w:p>
    <w:p w:rsidR="00BC3CE6" w:rsidRDefault="009A2DE5">
      <w:pPr>
        <w:spacing w:after="120"/>
        <w:jc w:val="center"/>
      </w:pPr>
      <w:r>
        <w:rPr>
          <w:b/>
          <w:color w:val="000000"/>
        </w:rPr>
        <w:t>2.3. Кључне препоруке за нову Стратегију за родну равноправност</w:t>
      </w:r>
    </w:p>
    <w:p w:rsidR="00BC3CE6" w:rsidRDefault="009A2DE5">
      <w:pPr>
        <w:spacing w:after="150"/>
      </w:pPr>
      <w:r>
        <w:rPr>
          <w:color w:val="000000"/>
        </w:rPr>
        <w:t>Прва група препорука односи се на приступ Стратегији – од секторских политика ка интегрисаној јавној политици и укључује: 1. Одвајање од секторских пол</w:t>
      </w:r>
      <w:r>
        <w:rPr>
          <w:color w:val="000000"/>
        </w:rPr>
        <w:t xml:space="preserve">итика и усмеравање и на области на које се до сада стратешки документи о родној равноправности нису усмеравали (развој, зелена и циркуларна економија, заштита животне средине, климатске промене, приступ енергији и енергетској ефикасности, приступ имовини, </w:t>
      </w:r>
      <w:r>
        <w:rPr>
          <w:color w:val="000000"/>
        </w:rPr>
        <w:t>финансијским тржиштима, дигиталним технологијама и др.). 2. Систематско и свеобухватно укључивање свих рањивих група (поред група које су до сада препознате као рањиве проширити и на друге рањиве групе, на пример бескућници/це, сиромашне особе и др.). 3. И</w:t>
      </w:r>
      <w:r>
        <w:rPr>
          <w:color w:val="000000"/>
        </w:rPr>
        <w:t>нтегрисање родне равноправности у јавне политике (законе, планске документе) које се односе на ванредне ситуације.</w:t>
      </w:r>
    </w:p>
    <w:p w:rsidR="00BC3CE6" w:rsidRDefault="009A2DE5">
      <w:pPr>
        <w:spacing w:after="150"/>
      </w:pPr>
      <w:r>
        <w:rPr>
          <w:color w:val="000000"/>
        </w:rPr>
        <w:t>Друга група препорука односи се на континуитет са започетим процесима: 1. Изградња културе родне равноправности и превазилажење родних стерео</w:t>
      </w:r>
      <w:r>
        <w:rPr>
          <w:color w:val="000000"/>
        </w:rPr>
        <w:t xml:space="preserve">типа. 2. Уродњавање јавних политика, стратегија и закона. 3. Перманентан рад на имплементацији РОБ-а на националном и покрајинском, а нарочито на локалном нивоу. 4. Подизање капацитета механизама за РР, </w:t>
      </w:r>
      <w:r>
        <w:rPr>
          <w:color w:val="000000"/>
        </w:rPr>
        <w:lastRenderedPageBreak/>
        <w:t>унапређење координације, посебно вертикалне координац</w:t>
      </w:r>
      <w:r>
        <w:rPr>
          <w:color w:val="000000"/>
        </w:rPr>
        <w:t>ије. 5. Сарадња институција и ОЦД и координација активности. 6. Међународна и регионална сарадња.</w:t>
      </w:r>
    </w:p>
    <w:p w:rsidR="00BC3CE6" w:rsidRDefault="009A2DE5">
      <w:pPr>
        <w:spacing w:after="120"/>
        <w:jc w:val="center"/>
      </w:pPr>
      <w:r>
        <w:rPr>
          <w:color w:val="000000"/>
        </w:rPr>
        <w:t>3. ПРЕГЛЕД КЉУЧНИХ ДОСТИГНУЋА И ИЗАЗОВА</w:t>
      </w:r>
    </w:p>
    <w:p w:rsidR="00BC3CE6" w:rsidRDefault="009A2DE5">
      <w:pPr>
        <w:spacing w:after="150"/>
      </w:pPr>
      <w:r>
        <w:rPr>
          <w:color w:val="000000"/>
        </w:rPr>
        <w:t>Политика једнаких могућности и унапређење родне равноправности један је од приоритетних циљева Владе у складу са Устав</w:t>
      </w:r>
      <w:r>
        <w:rPr>
          <w:color w:val="000000"/>
        </w:rPr>
        <w:t>ом прописаном обавезом</w:t>
      </w:r>
      <w:r>
        <w:rPr>
          <w:color w:val="000000"/>
          <w:vertAlign w:val="superscript"/>
        </w:rPr>
        <w:t>309</w:t>
      </w:r>
      <w:r>
        <w:rPr>
          <w:color w:val="000000"/>
        </w:rPr>
        <w:t xml:space="preserve"> државе да гарантује равноправност жена и мушкараца и води политику једнаких могућности. Континуираним деловањем и ангажманом различитих актера који учествују и креирању и примени јавних политика у овој области у протеклом периоду </w:t>
      </w:r>
      <w:r>
        <w:rPr>
          <w:color w:val="000000"/>
        </w:rPr>
        <w:t>учињени су значајни помаци на унапређењу родне равноправности у областима превенције и заштите од родно засноване дискриминације</w:t>
      </w:r>
      <w:r>
        <w:rPr>
          <w:color w:val="000000"/>
          <w:vertAlign w:val="superscript"/>
        </w:rPr>
        <w:t>310</w:t>
      </w:r>
      <w:r>
        <w:rPr>
          <w:color w:val="000000"/>
        </w:rPr>
        <w:t xml:space="preserve"> и родно заснованог насиља према женама и насиља у породици</w:t>
      </w:r>
      <w:r>
        <w:rPr>
          <w:color w:val="000000"/>
          <w:vertAlign w:val="superscript"/>
        </w:rPr>
        <w:t>311</w:t>
      </w:r>
      <w:r>
        <w:rPr>
          <w:color w:val="000000"/>
        </w:rPr>
        <w:t>, у области безбедности</w:t>
      </w:r>
      <w:r>
        <w:rPr>
          <w:color w:val="000000"/>
          <w:vertAlign w:val="superscript"/>
        </w:rPr>
        <w:t>312</w:t>
      </w:r>
      <w:r>
        <w:rPr>
          <w:color w:val="000000"/>
        </w:rPr>
        <w:t>, у увођењу родно одговорног буџетира</w:t>
      </w:r>
      <w:r>
        <w:rPr>
          <w:color w:val="000000"/>
        </w:rPr>
        <w:t>ња</w:t>
      </w:r>
      <w:r>
        <w:rPr>
          <w:color w:val="000000"/>
          <w:vertAlign w:val="superscript"/>
        </w:rPr>
        <w:t>313</w:t>
      </w:r>
      <w:r>
        <w:rPr>
          <w:color w:val="000000"/>
        </w:rPr>
        <w:t xml:space="preserve"> и заступљености жена у скупштинама на свим нивоима. Напредак је забележен и у унапређењу законодавства,</w:t>
      </w:r>
      <w:r>
        <w:rPr>
          <w:color w:val="000000"/>
          <w:vertAlign w:val="superscript"/>
        </w:rPr>
        <w:t>314</w:t>
      </w:r>
      <w:r>
        <w:rPr>
          <w:color w:val="000000"/>
        </w:rPr>
        <w:t xml:space="preserve"> али неки закони су смањили ниво достигнутих права.</w:t>
      </w:r>
      <w:r>
        <w:rPr>
          <w:color w:val="000000"/>
          <w:vertAlign w:val="superscript"/>
        </w:rPr>
        <w:t>315</w:t>
      </w:r>
      <w:r>
        <w:rPr>
          <w:color w:val="000000"/>
        </w:rPr>
        <w:t xml:space="preserve"> Унапређено је праћење и извештавање о примени прописа и планских докумената на национално</w:t>
      </w:r>
      <w:r>
        <w:rPr>
          <w:color w:val="000000"/>
        </w:rPr>
        <w:t>м плану и према међународним организацијама.</w:t>
      </w:r>
      <w:r>
        <w:rPr>
          <w:color w:val="000000"/>
          <w:vertAlign w:val="superscript"/>
        </w:rPr>
        <w:t>316</w:t>
      </w:r>
      <w:r>
        <w:rPr>
          <w:color w:val="000000"/>
        </w:rPr>
        <w:t xml:space="preserve"> Извесни позитивни помаци бележе се у подизању знања и свести о значају родне равноправности за развој друштва, равноправнијем учешћу жена и мушкараца у родитељству и економији старања, интегрисању родне персп</w:t>
      </w:r>
      <w:r>
        <w:rPr>
          <w:color w:val="000000"/>
        </w:rPr>
        <w:t>ективе у прописе и планска документа и интерсекторској координацији. Приметно је да су постигнућа у различитим областима неуједначена. Ове опште оцене потврђује Индекс родне равноправности за Републику Србију који бележи да је у периоду од 2014. до 2016. г</w:t>
      </w:r>
      <w:r>
        <w:rPr>
          <w:color w:val="000000"/>
        </w:rPr>
        <w:t>одине, вредност индекса порасла за 3,4 поена</w:t>
      </w:r>
      <w:r>
        <w:rPr>
          <w:color w:val="000000"/>
          <w:vertAlign w:val="superscript"/>
        </w:rPr>
        <w:t>317</w:t>
      </w:r>
      <w:r>
        <w:rPr>
          <w:color w:val="000000"/>
        </w:rPr>
        <w:t>, извештаји националних институција</w:t>
      </w:r>
      <w:r>
        <w:rPr>
          <w:color w:val="000000"/>
          <w:vertAlign w:val="superscript"/>
        </w:rPr>
        <w:t>318</w:t>
      </w:r>
      <w:r>
        <w:rPr>
          <w:color w:val="000000"/>
        </w:rPr>
        <w:t>, посебни извештаји ОЦД,</w:t>
      </w:r>
      <w:r>
        <w:rPr>
          <w:color w:val="000000"/>
          <w:vertAlign w:val="superscript"/>
        </w:rPr>
        <w:t>319</w:t>
      </w:r>
      <w:r>
        <w:rPr>
          <w:color w:val="000000"/>
        </w:rPr>
        <w:t xml:space="preserve"> као и евалуација Националне стратегије за родну равноправност.</w:t>
      </w:r>
      <w:r>
        <w:rPr>
          <w:color w:val="000000"/>
          <w:vertAlign w:val="superscript"/>
        </w:rPr>
        <w:t>320</w:t>
      </w:r>
    </w:p>
    <w:p w:rsidR="00BC3CE6" w:rsidRDefault="009A2DE5">
      <w:pPr>
        <w:spacing w:after="150"/>
      </w:pPr>
      <w:r>
        <w:rPr>
          <w:color w:val="000000"/>
        </w:rPr>
        <w:t>Иако су у протеклом периоду остварени позитивни помаци на унапређењу родне ра</w:t>
      </w:r>
      <w:r>
        <w:rPr>
          <w:color w:val="000000"/>
        </w:rPr>
        <w:t>вноправности, започете процесе треба интензивирати, интегрисањем родне перспективе у све јавне политике и буџет, директним интервенцијама у појединим областима, као и јачањем институционалног оквира родне равноправности, како би се елиминисао родни јаз.</w:t>
      </w:r>
    </w:p>
    <w:p w:rsidR="00BC3CE6" w:rsidRDefault="009A2DE5">
      <w:pPr>
        <w:spacing w:after="150"/>
      </w:pPr>
      <w:r>
        <w:rPr>
          <w:color w:val="000000"/>
        </w:rPr>
        <w:t>Кљ</w:t>
      </w:r>
      <w:r>
        <w:rPr>
          <w:color w:val="000000"/>
        </w:rPr>
        <w:t>учни изазови у овој области су:</w:t>
      </w:r>
    </w:p>
    <w:p w:rsidR="00BC3CE6" w:rsidRDefault="009A2DE5">
      <w:pPr>
        <w:spacing w:after="150"/>
      </w:pPr>
      <w:r>
        <w:rPr>
          <w:color w:val="000000"/>
        </w:rPr>
        <w:t>– Патријархални културни обрасци и норме, широко распрострањени родни стереотипи и предрасуде још увек су доминантни, а ојачан је и антиродни дискурс и мизогинија, који се недовољно ефикасно сузбијаjу.</w:t>
      </w:r>
    </w:p>
    <w:p w:rsidR="00BC3CE6" w:rsidRDefault="009A2DE5">
      <w:pPr>
        <w:spacing w:after="150"/>
      </w:pPr>
      <w:r>
        <w:rPr>
          <w:color w:val="000000"/>
        </w:rPr>
        <w:t>– Кашњење у доношењу з</w:t>
      </w:r>
      <w:r>
        <w:rPr>
          <w:color w:val="000000"/>
        </w:rPr>
        <w:t>акона</w:t>
      </w:r>
      <w:r>
        <w:rPr>
          <w:color w:val="000000"/>
          <w:vertAlign w:val="superscript"/>
        </w:rPr>
        <w:t>321</w:t>
      </w:r>
      <w:r>
        <w:rPr>
          <w:color w:val="000000"/>
        </w:rPr>
        <w:t xml:space="preserve"> и пратећих прописа за примену закона, одлагање примене закона</w:t>
      </w:r>
      <w:r>
        <w:rPr>
          <w:color w:val="000000"/>
          <w:vertAlign w:val="superscript"/>
        </w:rPr>
        <w:t>322</w:t>
      </w:r>
      <w:r>
        <w:rPr>
          <w:color w:val="000000"/>
        </w:rPr>
        <w:t>, кашњење или неусвајање планских докумената</w:t>
      </w:r>
      <w:r>
        <w:rPr>
          <w:color w:val="000000"/>
          <w:vertAlign w:val="superscript"/>
        </w:rPr>
        <w:t>323</w:t>
      </w:r>
      <w:r>
        <w:rPr>
          <w:color w:val="000000"/>
        </w:rPr>
        <w:t>, па и непостојање планских докумената значајних за остваривање родне равноправности.</w:t>
      </w:r>
      <w:r>
        <w:rPr>
          <w:color w:val="000000"/>
          <w:vertAlign w:val="superscript"/>
        </w:rPr>
        <w:t>324</w:t>
      </w:r>
    </w:p>
    <w:p w:rsidR="00BC3CE6" w:rsidRDefault="009A2DE5">
      <w:pPr>
        <w:spacing w:after="150"/>
      </w:pPr>
      <w:r>
        <w:rPr>
          <w:color w:val="000000"/>
        </w:rPr>
        <w:lastRenderedPageBreak/>
        <w:t xml:space="preserve">– Непотпуно, недоследно и неравномерно </w:t>
      </w:r>
      <w:r>
        <w:rPr>
          <w:color w:val="000000"/>
        </w:rPr>
        <w:t>интегрисање родне перспективе у јавне политике (законе, планске документе и буџет) у различитим областима значајним за остваривање родне равноправности.</w:t>
      </w:r>
    </w:p>
    <w:p w:rsidR="00BC3CE6" w:rsidRDefault="009A2DE5">
      <w:pPr>
        <w:spacing w:after="150"/>
      </w:pPr>
      <w:r>
        <w:rPr>
          <w:color w:val="000000"/>
        </w:rPr>
        <w:t>– Недовољно препознавање и разумевање специфичних околности у којима се налазе особе из осетљивих група</w:t>
      </w:r>
      <w:r>
        <w:rPr>
          <w:color w:val="000000"/>
        </w:rPr>
        <w:t>, непотпуно и недоследно интегрисање њихових потреба у јавне политике и мере које доприносе њиховој инклузији у областима значајним за остваривање родне равноправности.</w:t>
      </w:r>
    </w:p>
    <w:p w:rsidR="00BC3CE6" w:rsidRDefault="009A2DE5">
      <w:pPr>
        <w:spacing w:after="150"/>
      </w:pPr>
      <w:r>
        <w:rPr>
          <w:color w:val="000000"/>
        </w:rPr>
        <w:t>– Недовољно ефикасно и делотворно спровођење постојећих закона, политика и мера за унап</w:t>
      </w:r>
      <w:r>
        <w:rPr>
          <w:color w:val="000000"/>
        </w:rPr>
        <w:t>ређење родне равноправности.</w:t>
      </w:r>
    </w:p>
    <w:p w:rsidR="00BC3CE6" w:rsidRDefault="009A2DE5">
      <w:pPr>
        <w:spacing w:after="150"/>
      </w:pPr>
      <w:r>
        <w:rPr>
          <w:color w:val="000000"/>
        </w:rPr>
        <w:t>– Недостатак имплементационих инструмената и координације активности у овој мултисекторској области и ограничени капацитети механизама РР препрека су за свеобухватне и координисане активности свих актера који учествују у активн</w:t>
      </w:r>
      <w:r>
        <w:rPr>
          <w:color w:val="000000"/>
        </w:rPr>
        <w:t>остима на унапређивању родне равноправности и затварању родног јаза.</w:t>
      </w:r>
    </w:p>
    <w:p w:rsidR="00BC3CE6" w:rsidRDefault="009A2DE5">
      <w:pPr>
        <w:spacing w:after="150"/>
      </w:pPr>
      <w:r>
        <w:rPr>
          <w:color w:val="000000"/>
        </w:rPr>
        <w:t>– Родни јаз у економији је продубљен.</w:t>
      </w:r>
    </w:p>
    <w:p w:rsidR="00BC3CE6" w:rsidRDefault="009A2DE5">
      <w:pPr>
        <w:spacing w:after="150"/>
      </w:pPr>
      <w:r>
        <w:rPr>
          <w:color w:val="000000"/>
        </w:rPr>
        <w:t>– Изостаје препознавање и уважавање разлика у потребама и проблемима са којима се сусрећу жене и мушкарци, а посебно рањиве групе, и праћење података</w:t>
      </w:r>
      <w:r>
        <w:rPr>
          <w:color w:val="000000"/>
        </w:rPr>
        <w:t xml:space="preserve"> и показатеља који о томе говоре. Многи подаци релевантни за сагледавање стања у области родне равноправности недостају, или нису јавно доступни, иако је то законска обавеза. Није успостављен јединствен и стандардизован систем прикупљања, евидентирања, пра</w:t>
      </w:r>
      <w:r>
        <w:rPr>
          <w:color w:val="000000"/>
        </w:rPr>
        <w:t>ћења и размене података на начин да олакшава креирање родно одговорних политика.</w:t>
      </w:r>
    </w:p>
    <w:p w:rsidR="00BC3CE6" w:rsidRDefault="009A2DE5">
      <w:pPr>
        <w:spacing w:after="150"/>
      </w:pPr>
      <w:r>
        <w:rPr>
          <w:color w:val="000000"/>
        </w:rPr>
        <w:t>– Није обезбеђено стабилно, транспарентно и одрживо финансирање јавних политика, мера и активности на унапређивању родне равноправности, као и механизама РР, али и свих других</w:t>
      </w:r>
      <w:r>
        <w:rPr>
          <w:color w:val="000000"/>
        </w:rPr>
        <w:t xml:space="preserve"> актера који у доменима својих надлежности суделују у креирању и спровођењу јавних политика у овој области.</w:t>
      </w:r>
    </w:p>
    <w:p w:rsidR="00BC3CE6" w:rsidRDefault="009A2DE5">
      <w:pPr>
        <w:spacing w:after="150"/>
      </w:pPr>
      <w:r>
        <w:rPr>
          <w:color w:val="000000"/>
        </w:rPr>
        <w:t>– Сарадња са ОЦД и академском заједницом није институционализована, а потенцијали ОЦД и академске заједнице још увек су недовољно укључени у креирањ</w:t>
      </w:r>
      <w:r>
        <w:rPr>
          <w:color w:val="000000"/>
        </w:rPr>
        <w:t>е и примену јавних политика и буџета у области родне равноправности. Није обезбеђена дугорочна подршка раду женских ОЦД, укључујући и оне које женама пружају специјализоване услуге подршке.</w:t>
      </w:r>
    </w:p>
    <w:p w:rsidR="00BC3CE6" w:rsidRDefault="009A2DE5">
      <w:pPr>
        <w:spacing w:after="150"/>
      </w:pPr>
      <w:r>
        <w:rPr>
          <w:color w:val="000000"/>
        </w:rPr>
        <w:t>– Околности изазване пандемијом болести COVID-19 показале су да кр</w:t>
      </w:r>
      <w:r>
        <w:rPr>
          <w:color w:val="000000"/>
        </w:rPr>
        <w:t>изне ситуације различито утичу на жене и мушкарце, а нарочито на особе које припадају рањивим групама, као и да родни аспекти кризних ситуација нису били у довољној мери препознати, што се одразило и на креирање и предузимање мера током ванредног стања и в</w:t>
      </w:r>
      <w:r>
        <w:rPr>
          <w:color w:val="000000"/>
        </w:rPr>
        <w:t>анредне ситуације, па је неопходно да се код планирања опоравка то промени и да се креирају родно одговорне мере.</w:t>
      </w:r>
    </w:p>
    <w:p w:rsidR="00BC3CE6" w:rsidRDefault="009A2DE5">
      <w:pPr>
        <w:spacing w:after="150"/>
        <w:jc w:val="both"/>
      </w:pPr>
      <w:r>
        <w:rPr>
          <w:i/>
          <w:color w:val="000000"/>
        </w:rPr>
        <w:t>––––––––</w:t>
      </w:r>
    </w:p>
    <w:p w:rsidR="00BC3CE6" w:rsidRDefault="009A2DE5">
      <w:pPr>
        <w:spacing w:after="150"/>
        <w:jc w:val="both"/>
      </w:pPr>
      <w:r>
        <w:rPr>
          <w:i/>
          <w:color w:val="000000"/>
        </w:rPr>
        <w:lastRenderedPageBreak/>
        <w:t>309 Члан 15 Устава РС.</w:t>
      </w:r>
    </w:p>
    <w:p w:rsidR="00BC3CE6" w:rsidRDefault="009A2DE5">
      <w:pPr>
        <w:spacing w:after="150"/>
        <w:jc w:val="both"/>
      </w:pPr>
      <w:r>
        <w:rPr>
          <w:i/>
          <w:color w:val="000000"/>
        </w:rPr>
        <w:t>310 Више о томе на: http://ravnopravnost.gov.rs приступ 26.62021.</w:t>
      </w:r>
    </w:p>
    <w:p w:rsidR="00BC3CE6" w:rsidRDefault="009A2DE5">
      <w:pPr>
        <w:spacing w:after="150"/>
        <w:jc w:val="both"/>
      </w:pPr>
      <w:r>
        <w:rPr>
          <w:i/>
          <w:color w:val="000000"/>
        </w:rPr>
        <w:t>311 Више о томе у управо усвојеној Националн</w:t>
      </w:r>
      <w:r>
        <w:rPr>
          <w:i/>
          <w:color w:val="000000"/>
        </w:rPr>
        <w:t>ој стратегији за спречавање и борбу против родно заснованог насиља и насиља према женама и у породици за период 2021–2025. усвојеној 2021.</w:t>
      </w:r>
    </w:p>
    <w:p w:rsidR="00BC3CE6" w:rsidRDefault="009A2DE5">
      <w:pPr>
        <w:spacing w:after="150"/>
        <w:jc w:val="both"/>
      </w:pPr>
      <w:r>
        <w:rPr>
          <w:i/>
          <w:color w:val="000000"/>
        </w:rPr>
        <w:t xml:space="preserve">312 Усвојен је други по реду Национални акциони план за примену Резолуције 1325 СБУН – Жене, мир и безбедност у РС </w:t>
      </w:r>
      <w:r>
        <w:rPr>
          <w:i/>
          <w:color w:val="000000"/>
        </w:rPr>
        <w:t>(2017–2020) као и друга по реду Стратегија контроле малог и лаког оружја (2019–2024).</w:t>
      </w:r>
    </w:p>
    <w:p w:rsidR="00BC3CE6" w:rsidRDefault="009A2DE5">
      <w:pPr>
        <w:spacing w:after="150"/>
        <w:jc w:val="both"/>
      </w:pPr>
      <w:r>
        <w:rPr>
          <w:i/>
          <w:color w:val="000000"/>
        </w:rPr>
        <w:t xml:space="preserve">313 РОБ је уведен у Закон о буџетском систему, а унапређење родне равноправности је један од циљева буџетског система. Примена је постепена а очекује се да се примени на </w:t>
      </w:r>
      <w:r>
        <w:rPr>
          <w:i/>
          <w:color w:val="000000"/>
        </w:rPr>
        <w:t>целокупан буџет до 2024.године. Извештај о напретку доступно на https://www.rodnaravnopravnost.gov.rs/index.php/sr/rodna-ravnopravnost/rodno-odgovorno-budzetiranje/izveshtaj-o-napretku-za-2020-godinu приступ 26.6.2021.</w:t>
      </w:r>
    </w:p>
    <w:p w:rsidR="00BC3CE6" w:rsidRDefault="009A2DE5">
      <w:pPr>
        <w:spacing w:after="150"/>
        <w:jc w:val="both"/>
      </w:pPr>
      <w:r>
        <w:rPr>
          <w:i/>
          <w:color w:val="000000"/>
        </w:rPr>
        <w:t>314 Усвојени су, на пример, Закон о п</w:t>
      </w:r>
      <w:r>
        <w:rPr>
          <w:i/>
          <w:color w:val="000000"/>
        </w:rPr>
        <w:t>оступку уписа у катастар непокретности и водова (2018), Закон о азилу и привременој заштити (2018) или новелирани закони који су садржавали родно дискриминаторне норме, на пример измене Закона о пензијском и инвалидском осигурању (2018, 2019).</w:t>
      </w:r>
    </w:p>
    <w:p w:rsidR="00BC3CE6" w:rsidRDefault="009A2DE5">
      <w:pPr>
        <w:spacing w:after="150"/>
        <w:jc w:val="both"/>
      </w:pPr>
      <w:r>
        <w:rPr>
          <w:i/>
          <w:color w:val="000000"/>
        </w:rPr>
        <w:t>315 На приме</w:t>
      </w:r>
      <w:r>
        <w:rPr>
          <w:i/>
          <w:color w:val="000000"/>
        </w:rPr>
        <w:t>р, Закон о финансијској подршци породицама са децом (2017)</w:t>
      </w:r>
    </w:p>
    <w:p w:rsidR="00BC3CE6" w:rsidRDefault="009A2DE5">
      <w:pPr>
        <w:spacing w:after="150"/>
        <w:jc w:val="both"/>
      </w:pPr>
      <w:r>
        <w:rPr>
          <w:i/>
          <w:color w:val="000000"/>
        </w:rPr>
        <w:t>316 На пример, упркос томе што АП за период (2028–2020) година, за примену Националне стратегије за родну равноправност није био усвојен, као и посебним приликама изазваним пандемијом болести КОВИД</w:t>
      </w:r>
      <w:r>
        <w:rPr>
          <w:i/>
          <w:color w:val="000000"/>
        </w:rPr>
        <w:t>-19 ове активности су се одвијале.</w:t>
      </w:r>
    </w:p>
    <w:p w:rsidR="00BC3CE6" w:rsidRDefault="009A2DE5">
      <w:pPr>
        <w:spacing w:after="150"/>
        <w:jc w:val="both"/>
      </w:pPr>
      <w:r>
        <w:rPr>
          <w:i/>
          <w:color w:val="000000"/>
        </w:rPr>
        <w:t>317 Ово повећање је највећим делом последица повећања вредности индекса у домену моћи, који је забележио највећи пораст, али и умереног или благог повећања вредности индекса у доменима рада, новца, знања и здравља. У поре</w:t>
      </w:r>
      <w:r>
        <w:rPr>
          <w:i/>
          <w:color w:val="000000"/>
        </w:rPr>
        <w:t>ђењу са просеком држава чланица ЕУ (28), Србија бележи нижу вредност индекса за 10,4 поена, при чему се ова разлика смањила у односу на 2014. годину када је износила 12,6 поена. Разлике између Србије и просека ЕУ су највеће у доменима моћи, времена и новца</w:t>
      </w:r>
      <w:r>
        <w:rPr>
          <w:i/>
          <w:color w:val="000000"/>
        </w:rPr>
        <w:t>, а најмање у доменима здравља, знања и рада. У погледу укупне вредности индекса, Србија је у односу на државе чланице рангирана на 22. месту, на позицији на којој се налазила и према вредностима индекса за 2014. годину. Ипак у домену новца Србија је на пр</w:t>
      </w:r>
      <w:r>
        <w:rPr>
          <w:i/>
          <w:color w:val="000000"/>
        </w:rPr>
        <w:t>етпоследњем месту.</w:t>
      </w:r>
    </w:p>
    <w:p w:rsidR="00BC3CE6" w:rsidRDefault="009A2DE5">
      <w:pPr>
        <w:spacing w:after="150"/>
        <w:jc w:val="both"/>
      </w:pPr>
      <w:r>
        <w:rPr>
          <w:i/>
          <w:color w:val="000000"/>
        </w:rPr>
        <w:t>318</w:t>
      </w:r>
      <w:r>
        <w:rPr>
          <w:i/>
          <w:color w:val="000000"/>
        </w:rPr>
        <w:tab/>
        <w:t>На пример: Извештај о раду КТРР за 2019. годину; Национални преглед о оствареном напретку у спровођењу пекиншке декларације и Платформе за акцију из 2019. године, Доступно на: https://www.rodnaravnopravnost.gov.rs/sites/default/files</w:t>
      </w:r>
      <w:r>
        <w:rPr>
          <w:i/>
          <w:color w:val="000000"/>
        </w:rPr>
        <w:t xml:space="preserve">/2021-02/Izvestaj%20o%20radu%20KTRR%202019.pdf годишњи извештај и посебна </w:t>
      </w:r>
      <w:r>
        <w:rPr>
          <w:i/>
          <w:color w:val="000000"/>
        </w:rPr>
        <w:lastRenderedPageBreak/>
        <w:t>истраживања Повереника за заштиту равноправности доступно на: http://ravnopravnost.gov.rs/wp-content/uploads/2021/04/Poverenik-za-zastitu-ravnopravnosti-Godisnji-izvestaj-za-2020.pdf</w:t>
      </w:r>
      <w:r>
        <w:rPr>
          <w:i/>
          <w:color w:val="000000"/>
        </w:rPr>
        <w:t xml:space="preserve"> и Заштитника грађана, доступно на: https://www.ombudsman.rs/index.php/izvestaji/godisnji-izvestaji приступ 26. 6 2021.</w:t>
      </w:r>
    </w:p>
    <w:p w:rsidR="00BC3CE6" w:rsidRDefault="009A2DE5">
      <w:pPr>
        <w:spacing w:after="150"/>
        <w:jc w:val="both"/>
      </w:pPr>
      <w:r>
        <w:rPr>
          <w:i/>
          <w:color w:val="000000"/>
        </w:rPr>
        <w:t>319</w:t>
      </w:r>
      <w:r>
        <w:rPr>
          <w:i/>
          <w:color w:val="000000"/>
        </w:rPr>
        <w:tab/>
        <w:t>На пример: Извештаји о напретку за период 2016–2018 и извештај о напретку за период 2016–2020, ЖПРС, доступно на: http://www.fes-ser</w:t>
      </w:r>
      <w:r>
        <w:rPr>
          <w:i/>
          <w:color w:val="000000"/>
        </w:rPr>
        <w:t>bia.org приступ 26.62021 бројни извештаји женских ОЦД према CEDAW комитету, доступно на https://tbinternet.ohchr.org/_layouts/15/TreatyBodyExternal/Countries.aspx?CountryCode=SRB&amp;Lang=EN приступ 26.6.2021.</w:t>
      </w:r>
    </w:p>
    <w:p w:rsidR="00BC3CE6" w:rsidRDefault="009A2DE5">
      <w:pPr>
        <w:spacing w:after="150"/>
        <w:jc w:val="both"/>
      </w:pPr>
      <w:r>
        <w:rPr>
          <w:i/>
          <w:color w:val="000000"/>
        </w:rPr>
        <w:t>320 Евалуација НАП за родну равноправност 2016–201</w:t>
      </w:r>
      <w:r>
        <w:rPr>
          <w:i/>
          <w:color w:val="000000"/>
        </w:rPr>
        <w:t>8, Београд: SeConS, 2019.</w:t>
      </w:r>
    </w:p>
    <w:p w:rsidR="00BC3CE6" w:rsidRDefault="009A2DE5">
      <w:pPr>
        <w:spacing w:after="150"/>
        <w:jc w:val="both"/>
      </w:pPr>
      <w:r>
        <w:rPr>
          <w:i/>
          <w:color w:val="000000"/>
        </w:rPr>
        <w:t>321 Нови Закон о родној равноправности као и измене Закона о забрани дискриминације усвојени су маја 2021. године, након више година чекања на њихово усвајање иако су били припремљени и упућени у процедуру.</w:t>
      </w:r>
    </w:p>
    <w:p w:rsidR="00BC3CE6" w:rsidRDefault="009A2DE5">
      <w:pPr>
        <w:spacing w:after="150"/>
        <w:jc w:val="both"/>
      </w:pPr>
      <w:r>
        <w:rPr>
          <w:i/>
          <w:color w:val="000000"/>
        </w:rPr>
        <w:t xml:space="preserve">322 На пример, Закон о </w:t>
      </w:r>
      <w:r>
        <w:rPr>
          <w:i/>
          <w:color w:val="000000"/>
        </w:rPr>
        <w:t>бесплатној правној помоћи иако је усвојен 2018 примењује се тек од 1.10.2019. године.</w:t>
      </w:r>
    </w:p>
    <w:p w:rsidR="00BC3CE6" w:rsidRDefault="009A2DE5">
      <w:pPr>
        <w:spacing w:after="150"/>
        <w:jc w:val="both"/>
      </w:pPr>
      <w:r>
        <w:rPr>
          <w:i/>
          <w:color w:val="000000"/>
        </w:rPr>
        <w:t>323 На пример, Стратегија за превенцију и заштиту од дискриминације која је истекла 2018. године, Национална стратегија за спречавање и сузбијање насиља над женама у поро</w:t>
      </w:r>
      <w:r>
        <w:rPr>
          <w:i/>
          <w:color w:val="000000"/>
        </w:rPr>
        <w:t xml:space="preserve">дици и у партнерским односима која је усвојена тек у мају 2021, АП за родну равноправност за период 2018–2020. је истекао а нови није усвојен иако је АП био припремљен и упућен у процедуру, АП за примену Стратегије за социјално укључивање Рома и Ромкиња у </w:t>
      </w:r>
      <w:r>
        <w:rPr>
          <w:i/>
          <w:color w:val="000000"/>
        </w:rPr>
        <w:t>РС истекао је 2018. године, и др.</w:t>
      </w:r>
    </w:p>
    <w:p w:rsidR="00BC3CE6" w:rsidRDefault="009A2DE5">
      <w:pPr>
        <w:spacing w:after="150"/>
        <w:jc w:val="both"/>
      </w:pPr>
      <w:r>
        <w:rPr>
          <w:i/>
          <w:color w:val="000000"/>
        </w:rPr>
        <w:t>324 На пример, Стратегија о старењу, Национални програм здравствене заштите жена, деце и омладине, Стратегија за смањење сиромаштва и др.</w:t>
      </w:r>
    </w:p>
    <w:p w:rsidR="00BC3CE6" w:rsidRDefault="009A2DE5">
      <w:pPr>
        <w:spacing w:after="120"/>
        <w:jc w:val="center"/>
      </w:pPr>
      <w:r>
        <w:rPr>
          <w:color w:val="000000"/>
        </w:rPr>
        <w:t>4. УПОРЕДНА МЕЂУНАРОДНА ПРАКСА</w:t>
      </w:r>
    </w:p>
    <w:p w:rsidR="00BC3CE6" w:rsidRDefault="009A2DE5">
      <w:pPr>
        <w:spacing w:after="150"/>
      </w:pPr>
      <w:r>
        <w:rPr>
          <w:color w:val="000000"/>
        </w:rPr>
        <w:t>У овом делу представљени су примери упоредне праксе у</w:t>
      </w:r>
      <w:r>
        <w:rPr>
          <w:color w:val="000000"/>
        </w:rPr>
        <w:t xml:space="preserve"> областима које обухвата Стратегија, који су послужили у раду на изради ове стратегије.</w:t>
      </w:r>
    </w:p>
    <w:p w:rsidR="00BC3CE6" w:rsidRDefault="009A2DE5">
      <w:pPr>
        <w:spacing w:after="150"/>
      </w:pPr>
      <w:r>
        <w:rPr>
          <w:color w:val="000000"/>
        </w:rPr>
        <w:t xml:space="preserve">Економија и јавне финансије – Значај укључивања родне равноправности у управљање јавним финансијама подржале су и препознале водеће мултилатералне организације као што </w:t>
      </w:r>
      <w:r>
        <w:rPr>
          <w:color w:val="000000"/>
        </w:rPr>
        <w:t>су Агенција УН за родну равноправност (UN Women), Светска банка и Међународни монетарни фонд (ММФ). У свом кратком тексту објављеном у фебруару, ММФ подстиче доносиоце економских одлука да промовишу алтернативне родно одговорне политике, док се процена ути</w:t>
      </w:r>
      <w:r>
        <w:rPr>
          <w:color w:val="000000"/>
        </w:rPr>
        <w:t>цаја на род и неједнакост прожима кроз све савете које даје ММФ.</w:t>
      </w:r>
      <w:r>
        <w:rPr>
          <w:color w:val="000000"/>
          <w:vertAlign w:val="superscript"/>
        </w:rPr>
        <w:t>325</w:t>
      </w:r>
      <w:r>
        <w:rPr>
          <w:color w:val="000000"/>
        </w:rPr>
        <w:t xml:space="preserve"> Европски институт за родну равноправност (EIG) на својој интернет страници</w:t>
      </w:r>
      <w:r>
        <w:rPr>
          <w:color w:val="000000"/>
          <w:vertAlign w:val="superscript"/>
        </w:rPr>
        <w:t>326</w:t>
      </w:r>
      <w:r>
        <w:rPr>
          <w:color w:val="000000"/>
        </w:rPr>
        <w:t xml:space="preserve"> даје примере добрих пракси за интеграцију родне перспективе у све области јавних политика, као и алате, прируч</w:t>
      </w:r>
      <w:r>
        <w:rPr>
          <w:color w:val="000000"/>
        </w:rPr>
        <w:t>нике и друге изворе који могу да се користе.</w:t>
      </w:r>
    </w:p>
    <w:p w:rsidR="00BC3CE6" w:rsidRDefault="009A2DE5">
      <w:pPr>
        <w:spacing w:after="150"/>
      </w:pPr>
      <w:r>
        <w:rPr>
          <w:color w:val="000000"/>
        </w:rPr>
        <w:lastRenderedPageBreak/>
        <w:t>Образовање и наука – У многим државама у домену високог образовања увођењу родне перспективе приступа се систематски, усвајањем стратегија и акционих планова.</w:t>
      </w:r>
      <w:r>
        <w:rPr>
          <w:color w:val="000000"/>
          <w:vertAlign w:val="superscript"/>
        </w:rPr>
        <w:t>327</w:t>
      </w:r>
      <w:r>
        <w:rPr>
          <w:color w:val="000000"/>
        </w:rPr>
        <w:t xml:space="preserve"> Многи универзитети широм Европе усвајају акционе </w:t>
      </w:r>
      <w:r>
        <w:rPr>
          <w:color w:val="000000"/>
        </w:rPr>
        <w:t>планове којима се подстиче афирмација једнакости и поштовање различитости, у оквиру којих су и мере за остваривање родне равноправности. Тако су, на пример, акционе планове усвојили универзитети у Хелсинкију, Кембриџу, Единбургу, Фрајбургу, Бергену, Оребру</w:t>
      </w:r>
      <w:r>
        <w:rPr>
          <w:color w:val="000000"/>
        </w:rPr>
        <w:t>, Берлину, Бечу,</w:t>
      </w:r>
      <w:r>
        <w:rPr>
          <w:color w:val="000000"/>
          <w:vertAlign w:val="superscript"/>
        </w:rPr>
        <w:t>328</w:t>
      </w:r>
      <w:r>
        <w:rPr>
          <w:color w:val="000000"/>
        </w:rPr>
        <w:t xml:space="preserve"> као и многи други универзитети. Ови планови обухватају мере усмерене на процену, преиспитивање и измену високошколских процедура и пракси које треба да омогуће откривање родних дисбаланса, примену нових стратегија за њихово укидање, као</w:t>
      </w:r>
      <w:r>
        <w:rPr>
          <w:color w:val="000000"/>
        </w:rPr>
        <w:t xml:space="preserve"> и дефинисање циљева, мера и индикатора за праћење њихових ефеката. На појединим универзитетима постоје посебне канцеларије за једнаке могућности, а на факултетима повереници за једнаке могућности, који пружају савете у вези са остваривањем принципа једнак</w:t>
      </w:r>
      <w:r>
        <w:rPr>
          <w:color w:val="000000"/>
        </w:rPr>
        <w:t>их могућности, укључујући и поступање по притужбама због нарушавања принципа једнаких могућности у изборним процедурама, сексуалног узнемиравања, прогањања и др.</w:t>
      </w:r>
      <w:r>
        <w:rPr>
          <w:color w:val="000000"/>
          <w:vertAlign w:val="superscript"/>
        </w:rPr>
        <w:t>329</w:t>
      </w:r>
    </w:p>
    <w:p w:rsidR="00BC3CE6" w:rsidRDefault="009A2DE5">
      <w:pPr>
        <w:spacing w:after="150"/>
      </w:pPr>
      <w:r>
        <w:rPr>
          <w:color w:val="000000"/>
        </w:rPr>
        <w:t xml:space="preserve">Људска безбедност – Примена Резолуције СБ УН 1325 проширила се у протеклих двадесет година </w:t>
      </w:r>
      <w:r>
        <w:rPr>
          <w:color w:val="000000"/>
        </w:rPr>
        <w:t>усвајањем девет нових резолуција, које су све заједно постале познате као Агенда жена, мира и безбедности.</w:t>
      </w:r>
      <w:r>
        <w:rPr>
          <w:color w:val="000000"/>
          <w:vertAlign w:val="superscript"/>
        </w:rPr>
        <w:t>330</w:t>
      </w:r>
      <w:r>
        <w:rPr>
          <w:color w:val="000000"/>
        </w:rPr>
        <w:t xml:space="preserve"> До јануара 2019. године 79 држава чланица УН-а (40% држава чланица УН) усвојило је националне акционе планове за примену Резолуције СБ УН 1325</w:t>
      </w:r>
      <w:r>
        <w:rPr>
          <w:color w:val="000000"/>
          <w:vertAlign w:val="superscript"/>
        </w:rPr>
        <w:t>331</w:t>
      </w:r>
      <w:r>
        <w:rPr>
          <w:color w:val="000000"/>
        </w:rPr>
        <w:t>,</w:t>
      </w:r>
      <w:r>
        <w:rPr>
          <w:color w:val="000000"/>
        </w:rPr>
        <w:t xml:space="preserve"> усвојено је 11 регионалних акционих планова, као што су планови Афричке уније</w:t>
      </w:r>
      <w:r>
        <w:rPr>
          <w:color w:val="000000"/>
          <w:vertAlign w:val="superscript"/>
        </w:rPr>
        <w:t>332</w:t>
      </w:r>
      <w:r>
        <w:rPr>
          <w:color w:val="000000"/>
        </w:rPr>
        <w:t>, Азија – Пацифичке уније</w:t>
      </w:r>
      <w:r>
        <w:rPr>
          <w:color w:val="000000"/>
          <w:vertAlign w:val="superscript"/>
        </w:rPr>
        <w:t>333</w:t>
      </w:r>
      <w:r>
        <w:rPr>
          <w:color w:val="000000"/>
        </w:rPr>
        <w:t>, ЕУ</w:t>
      </w:r>
      <w:r>
        <w:rPr>
          <w:color w:val="000000"/>
          <w:vertAlign w:val="superscript"/>
        </w:rPr>
        <w:t>334</w:t>
      </w:r>
      <w:r>
        <w:rPr>
          <w:color w:val="000000"/>
        </w:rPr>
        <w:t>, као и Мисије ОЕБС.</w:t>
      </w:r>
      <w:r>
        <w:rPr>
          <w:color w:val="000000"/>
          <w:vertAlign w:val="superscript"/>
        </w:rPr>
        <w:t>335</w:t>
      </w:r>
      <w:r>
        <w:rPr>
          <w:color w:val="000000"/>
        </w:rPr>
        <w:t xml:space="preserve"> Поред Републике Србије која је 2017. године усвојила други НАП за примену Резолуције СБ УН 1325 за период 2017–2020,</w:t>
      </w:r>
      <w:r>
        <w:rPr>
          <w:color w:val="000000"/>
        </w:rPr>
        <w:t xml:space="preserve"> друге по реду НАП–ове усвојиле су Република Словенија (2018–2020) и Краљевина Шпанија (2017–2023.) Треће по реду НАП-ове су усвојиле Краљевина Белгија (2017–2021), Босна и Херцеговина (2018–2022), Краљевина Данска (2014–2019), Република Француска (2015–20</w:t>
      </w:r>
      <w:r>
        <w:rPr>
          <w:color w:val="000000"/>
        </w:rPr>
        <w:t>18). Савезна Република Немачка (2021–2024), Република Италија (2016–2019), Краљевина Шведска (2016–2020) и Ирска (2019–2024). Једина земља која је усвојила четврти НАП је Уједињено краљевство (2018–2022).</w:t>
      </w:r>
      <w:r>
        <w:rPr>
          <w:color w:val="000000"/>
          <w:vertAlign w:val="superscript"/>
        </w:rPr>
        <w:t>336</w:t>
      </w:r>
      <w:r>
        <w:rPr>
          <w:color w:val="000000"/>
        </w:rPr>
        <w:t xml:space="preserve"> У већини земаља у свету, укључујући и земље Запа</w:t>
      </w:r>
      <w:r>
        <w:rPr>
          <w:color w:val="000000"/>
        </w:rPr>
        <w:t>дног Балкана, учешће жена у процесима помирења је занемариво, што негативно утиче на промену стварности у правцу концепта људске безбедности. Уместо улагања у добробит и благостање појединки и појединаца, државе у оквиру Агенде Жене, мир, безбедност и даље</w:t>
      </w:r>
      <w:r>
        <w:rPr>
          <w:color w:val="000000"/>
        </w:rPr>
        <w:t xml:space="preserve"> инвестирају у безбедносне структуре: војску, полицију и службе безбедности.</w:t>
      </w:r>
    </w:p>
    <w:p w:rsidR="00BC3CE6" w:rsidRDefault="009A2DE5">
      <w:pPr>
        <w:spacing w:after="150"/>
      </w:pPr>
      <w:r>
        <w:rPr>
          <w:color w:val="000000"/>
        </w:rPr>
        <w:t>Родно засновано насиље према женама и у породици. Република Аустрија је једна од водећих држава у Европи у борби против родно заснованог насиља.</w:t>
      </w:r>
      <w:r>
        <w:rPr>
          <w:color w:val="000000"/>
          <w:vertAlign w:val="superscript"/>
        </w:rPr>
        <w:t>337</w:t>
      </w:r>
      <w:r>
        <w:rPr>
          <w:color w:val="000000"/>
        </w:rPr>
        <w:t xml:space="preserve"> Правни оквир заштите од насиља </w:t>
      </w:r>
      <w:r>
        <w:rPr>
          <w:color w:val="000000"/>
        </w:rPr>
        <w:t>успостављен је 1996. године Законом о заштити од насиља у породици, којим је успостављен тзв. аустријски модел интервенције у случајевима насиља у породици</w:t>
      </w:r>
      <w:r>
        <w:rPr>
          <w:color w:val="000000"/>
          <w:vertAlign w:val="superscript"/>
        </w:rPr>
        <w:t>338</w:t>
      </w:r>
      <w:r>
        <w:rPr>
          <w:color w:val="000000"/>
        </w:rPr>
        <w:t xml:space="preserve">, потом </w:t>
      </w:r>
      <w:r>
        <w:rPr>
          <w:color w:val="000000"/>
        </w:rPr>
        <w:lastRenderedPageBreak/>
        <w:t>Законом о заштити од насиља из 2008. године, који је утицао на измене низа закона у циљу п</w:t>
      </w:r>
      <w:r>
        <w:rPr>
          <w:color w:val="000000"/>
        </w:rPr>
        <w:t>обољшања заштите и пружања подршке жртвама.</w:t>
      </w:r>
      <w:r>
        <w:rPr>
          <w:color w:val="000000"/>
          <w:vertAlign w:val="superscript"/>
        </w:rPr>
        <w:t>339</w:t>
      </w:r>
      <w:r>
        <w:rPr>
          <w:color w:val="000000"/>
        </w:rPr>
        <w:t xml:space="preserve"> Опсежна реформа система заштите од насиља следила је након усвајања Закона о заштити од насиља у породици 2019. године,</w:t>
      </w:r>
      <w:r>
        <w:rPr>
          <w:color w:val="000000"/>
          <w:vertAlign w:val="superscript"/>
        </w:rPr>
        <w:t>340</w:t>
      </w:r>
      <w:r>
        <w:rPr>
          <w:color w:val="000000"/>
        </w:rPr>
        <w:t xml:space="preserve"> а базирана је на програму Савезне владе 2017–2022. године, у коме се један од приорите</w:t>
      </w:r>
      <w:r>
        <w:rPr>
          <w:color w:val="000000"/>
        </w:rPr>
        <w:t xml:space="preserve">та односи на оштрије казне за извршиоце сексуалних и насилних злочина. За случајеве насиља високог ризика примењује се „конференција случаја”, а здравствени радници дужни су да пријаве насиље и злостављање. У свим покрајинама постоје Интервентни центри за </w:t>
      </w:r>
      <w:r>
        <w:rPr>
          <w:color w:val="000000"/>
        </w:rPr>
        <w:t>заштиту од насиља у породици</w:t>
      </w:r>
      <w:r>
        <w:rPr>
          <w:color w:val="000000"/>
          <w:vertAlign w:val="superscript"/>
        </w:rPr>
        <w:t>341</w:t>
      </w:r>
      <w:r>
        <w:rPr>
          <w:color w:val="000000"/>
        </w:rPr>
        <w:t>, који се финансирају из буџета и пружају специјализоване услуге подршке жртвама насиља. Услуге пружа више од 130 саветовалишта, као непрофитних организација, чији рад суфинансира аустријска влада, а 30 склоништа за жене, пру</w:t>
      </w:r>
      <w:r>
        <w:rPr>
          <w:color w:val="000000"/>
        </w:rPr>
        <w:t>жају услуге смештаја, психосоцијалну подршку, помоћ у проналажењу посла, правну подршку, правну и психо-социјалну помоћ током трајања судског поступка итд.</w:t>
      </w:r>
      <w:r>
        <w:rPr>
          <w:color w:val="000000"/>
          <w:vertAlign w:val="superscript"/>
        </w:rPr>
        <w:t>342</w:t>
      </w:r>
      <w:r>
        <w:rPr>
          <w:color w:val="000000"/>
        </w:rPr>
        <w:t xml:space="preserve"> Женска телефонска линија за помоћ доступна је нон-стоп широм земље, као прва тачка за контакт жрт</w:t>
      </w:r>
      <w:r>
        <w:rPr>
          <w:color w:val="000000"/>
        </w:rPr>
        <w:t>вама породичног насиља.</w:t>
      </w:r>
      <w:r>
        <w:rPr>
          <w:color w:val="000000"/>
          <w:vertAlign w:val="superscript"/>
        </w:rPr>
        <w:t>343</w:t>
      </w:r>
      <w:r>
        <w:rPr>
          <w:color w:val="000000"/>
        </w:rPr>
        <w:t xml:space="preserve"> Одељење за статистику криминалитета прикупља полицијске извештаје и класификује их према кривичним делима. У Републици Италији постоје базе родно осетљивих података о насиљу. Једна је у Министарству унутрашњих послова, која садрж</w:t>
      </w:r>
      <w:r>
        <w:rPr>
          <w:color w:val="000000"/>
        </w:rPr>
        <w:t>и податке о кривичним делима, броју пријављених случајева насиља и броју жртава. Друга је у Министарству правде, која садржи податке о броју судских поступака, кривичним делима, трајању поступка од пријаве дела до покретања поступка, укупном трајању поступ</w:t>
      </w:r>
      <w:r>
        <w:rPr>
          <w:color w:val="000000"/>
        </w:rPr>
        <w:t>ка. У Краљевини Норвешкој постоје центри за жртве силовања и сексуалног насиља у сваком региону који су повезани са међуопштинским ургентним клиникама, као и Национални центар и пет регионалних ресурсних центара који прикупљају стручне информације у вези с</w:t>
      </w:r>
      <w:r>
        <w:rPr>
          <w:color w:val="000000"/>
        </w:rPr>
        <w:t>а насиљем и његовим последицама, пружају специјализоване обуке за професионалце/ке који раде у овој области и координишу сарадњу између различитих служби и сервиса за подршку жртвама. У Финској Републици је 2010. године применом метода MARAC</w:t>
      </w:r>
      <w:r>
        <w:rPr>
          <w:color w:val="000000"/>
          <w:vertAlign w:val="superscript"/>
        </w:rPr>
        <w:t>344</w:t>
      </w:r>
      <w:r>
        <w:rPr>
          <w:color w:val="000000"/>
        </w:rPr>
        <w:t xml:space="preserve"> успостављен</w:t>
      </w:r>
      <w:r>
        <w:rPr>
          <w:color w:val="000000"/>
        </w:rPr>
        <w:t xml:space="preserve"> мултисекторски систем процене ризика од насиља, а већ крајем 2016. године, у Финској Републици су деловале 32 радне групе MARAC-a. У Краљевини Холандији се од 2018. године користи SASH–скрининг за прогањање и злостављање</w:t>
      </w:r>
      <w:r>
        <w:rPr>
          <w:color w:val="000000"/>
          <w:vertAlign w:val="superscript"/>
        </w:rPr>
        <w:t>345</w:t>
      </w:r>
      <w:r>
        <w:rPr>
          <w:color w:val="000000"/>
        </w:rPr>
        <w:t>, а за процену ризика од опаснос</w:t>
      </w:r>
      <w:r>
        <w:rPr>
          <w:color w:val="000000"/>
        </w:rPr>
        <w:t>ти од насиља у партнерским односима користи се и алат RIHG</w:t>
      </w:r>
      <w:r>
        <w:rPr>
          <w:color w:val="000000"/>
          <w:vertAlign w:val="superscript"/>
        </w:rPr>
        <w:t>346</w:t>
      </w:r>
      <w:r>
        <w:rPr>
          <w:color w:val="000000"/>
        </w:rPr>
        <w:t xml:space="preserve">, који се обавезно примењује пре доношења одлуке о издавању привремене забране приласка. Краљевина Шведска основала је Национални центар за злостављане и силоване жене у болници у Упсали, где се </w:t>
      </w:r>
      <w:r>
        <w:rPr>
          <w:color w:val="000000"/>
        </w:rPr>
        <w:t>обављају лекарски прегледи и пружа третман и подршка женама које су изложене насиљу. У Краљевини Шпанији од 2007. године постоји Државна опсерваторија за насиље у породици и родно засновано насиље која делује под покровитељством Министарства за здравље, со</w:t>
      </w:r>
      <w:r>
        <w:rPr>
          <w:color w:val="000000"/>
        </w:rPr>
        <w:t>цијалну политику и равноправност, а Генерално веће правосуђа тромесечно прикупља податке од правосудних тела, који се објављују у Посебном билтену о насиљу према женама.</w:t>
      </w:r>
      <w:r>
        <w:rPr>
          <w:color w:val="000000"/>
          <w:vertAlign w:val="superscript"/>
        </w:rPr>
        <w:t>347</w:t>
      </w:r>
    </w:p>
    <w:p w:rsidR="00BC3CE6" w:rsidRDefault="009A2DE5">
      <w:pPr>
        <w:spacing w:after="150"/>
      </w:pPr>
      <w:r>
        <w:rPr>
          <w:color w:val="000000"/>
        </w:rPr>
        <w:lastRenderedPageBreak/>
        <w:t>Заступљеност жена у парламентима – Према подацима Агенције УН за родну равноправнос</w:t>
      </w:r>
      <w:r>
        <w:rPr>
          <w:color w:val="000000"/>
        </w:rPr>
        <w:t>т и оснаживање жена, жене су недовољно заступљене на свим нивоима одлучивања широм света. На највишим позицијама власти жене се налазе у само 22 земље, 10 су председнице државе, а 12 председнице владе.</w:t>
      </w:r>
      <w:r>
        <w:rPr>
          <w:color w:val="000000"/>
          <w:vertAlign w:val="superscript"/>
        </w:rPr>
        <w:t>348</w:t>
      </w:r>
      <w:r>
        <w:rPr>
          <w:color w:val="000000"/>
        </w:rPr>
        <w:t xml:space="preserve"> У 119 држава жене никада нису обављале ове функције. На позицији министра је свега 21% жена, које су на челу ресора надлежних за породицу, децу, старије, особе са инвалидитетом, социјална питања, родну равноправност, културу, али и заштиту животне средине</w:t>
      </w:r>
      <w:r>
        <w:rPr>
          <w:color w:val="000000"/>
        </w:rPr>
        <w:t>, природних ресурса, рад и запошљавање. Само у 14 земаља у саставу владе је 50% жена. Укупна заступљеност жена у свим националним парламентима је 25,4%.</w:t>
      </w:r>
      <w:r>
        <w:rPr>
          <w:color w:val="000000"/>
          <w:vertAlign w:val="superscript"/>
        </w:rPr>
        <w:t>349</w:t>
      </w:r>
      <w:r>
        <w:rPr>
          <w:color w:val="000000"/>
        </w:rPr>
        <w:t xml:space="preserve"> У парламентима само три државе жене су заступљене 50% и више</w:t>
      </w:r>
      <w:r>
        <w:rPr>
          <w:color w:val="000000"/>
          <w:vertAlign w:val="superscript"/>
        </w:rPr>
        <w:t>350</w:t>
      </w:r>
      <w:r>
        <w:rPr>
          <w:color w:val="000000"/>
        </w:rPr>
        <w:t>, а у 20 држава заступљеност жена у п</w:t>
      </w:r>
      <w:r>
        <w:rPr>
          <w:color w:val="000000"/>
        </w:rPr>
        <w:t>арламентима достигла је или премашила 40%. На позицији председнице парламента је укупно 58 (20,86%) жена. Нешто је већа заступљеност жена (36%) на локалном нивоу. Само у две земље заступљеност жена у овим телима је 50%, а у 18 земаља више од 40%.</w:t>
      </w:r>
      <w:r>
        <w:rPr>
          <w:color w:val="000000"/>
          <w:vertAlign w:val="superscript"/>
        </w:rPr>
        <w:t>351</w:t>
      </w:r>
    </w:p>
    <w:p w:rsidR="00BC3CE6" w:rsidRDefault="009A2DE5">
      <w:pPr>
        <w:spacing w:after="150"/>
      </w:pPr>
      <w:r>
        <w:rPr>
          <w:color w:val="000000"/>
        </w:rPr>
        <w:t>Облици</w:t>
      </w:r>
      <w:r>
        <w:rPr>
          <w:color w:val="000000"/>
        </w:rPr>
        <w:t xml:space="preserve"> неформалног деловања жена у парламентима – Различити неформални облици деловања парламентарки на питањима значајним за родну равноправност постоје у више парламената и делују континуирано или са прекидима више од 30 година.</w:t>
      </w:r>
      <w:r>
        <w:rPr>
          <w:color w:val="000000"/>
          <w:vertAlign w:val="superscript"/>
        </w:rPr>
        <w:t>352</w:t>
      </w:r>
    </w:p>
    <w:p w:rsidR="00BC3CE6" w:rsidRDefault="009A2DE5">
      <w:pPr>
        <w:spacing w:after="150"/>
      </w:pPr>
      <w:r>
        <w:rPr>
          <w:color w:val="000000"/>
        </w:rPr>
        <w:t>Њихов статус и начин деловањ</w:t>
      </w:r>
      <w:r>
        <w:rPr>
          <w:color w:val="000000"/>
        </w:rPr>
        <w:t>а је различит о чему говори и компаративна пракса</w:t>
      </w:r>
      <w:r>
        <w:rPr>
          <w:color w:val="000000"/>
          <w:vertAlign w:val="superscript"/>
        </w:rPr>
        <w:t>353</w:t>
      </w:r>
      <w:r>
        <w:rPr>
          <w:color w:val="000000"/>
        </w:rPr>
        <w:t xml:space="preserve"> у бројним земљама као на пример у: Швајцарској Конфедерацији од 1990. године</w:t>
      </w:r>
      <w:r>
        <w:rPr>
          <w:color w:val="000000"/>
          <w:vertAlign w:val="superscript"/>
        </w:rPr>
        <w:t>354</w:t>
      </w:r>
      <w:r>
        <w:rPr>
          <w:color w:val="000000"/>
        </w:rPr>
        <w:t>, Републици Финској и Републици Пољској</w:t>
      </w:r>
      <w:r>
        <w:rPr>
          <w:color w:val="000000"/>
          <w:vertAlign w:val="superscript"/>
        </w:rPr>
        <w:t>355</w:t>
      </w:r>
      <w:r>
        <w:rPr>
          <w:color w:val="000000"/>
        </w:rPr>
        <w:t xml:space="preserve"> од 1991. године, Канади и Републици Француској од 1993. године</w:t>
      </w:r>
      <w:r>
        <w:rPr>
          <w:color w:val="000000"/>
          <w:vertAlign w:val="superscript"/>
        </w:rPr>
        <w:t>356</w:t>
      </w:r>
      <w:r>
        <w:rPr>
          <w:color w:val="000000"/>
        </w:rPr>
        <w:t>, Краљевини Швед</w:t>
      </w:r>
      <w:r>
        <w:rPr>
          <w:color w:val="000000"/>
        </w:rPr>
        <w:t>ској од 1995. године</w:t>
      </w:r>
      <w:r>
        <w:rPr>
          <w:color w:val="000000"/>
          <w:vertAlign w:val="superscript"/>
        </w:rPr>
        <w:t>357</w:t>
      </w:r>
      <w:r>
        <w:rPr>
          <w:color w:val="000000"/>
        </w:rPr>
        <w:t>, Републици Албанији од 1995. године</w:t>
      </w:r>
      <w:r>
        <w:rPr>
          <w:color w:val="000000"/>
          <w:vertAlign w:val="superscript"/>
        </w:rPr>
        <w:t>358</w:t>
      </w:r>
      <w:r>
        <w:rPr>
          <w:color w:val="000000"/>
        </w:rPr>
        <w:t>, у Републици Естонији од 1998. године,</w:t>
      </w:r>
      <w:r>
        <w:rPr>
          <w:color w:val="000000"/>
          <w:vertAlign w:val="superscript"/>
        </w:rPr>
        <w:t>359</w:t>
      </w:r>
      <w:r>
        <w:rPr>
          <w:color w:val="000000"/>
        </w:rPr>
        <w:t xml:space="preserve"> у Краљевини Данској од 2002. до 2007. године, Републици Литванији од 2002. до 2010. године, Републици Северној Македонији од 2003. године</w:t>
      </w:r>
      <w:r>
        <w:rPr>
          <w:color w:val="000000"/>
          <w:vertAlign w:val="superscript"/>
        </w:rPr>
        <w:t>360</w:t>
      </w:r>
      <w:r>
        <w:rPr>
          <w:color w:val="000000"/>
        </w:rPr>
        <w:t>, Краљевини</w:t>
      </w:r>
      <w:r>
        <w:rPr>
          <w:color w:val="000000"/>
        </w:rPr>
        <w:t xml:space="preserve"> Норвешкој и Републици Аустрији од 2008. године, Грузији од 2009. године, Таџикистану од 2010. године, у Украјини, Киргиској Републици и Сједињеним Америчким Државама од 2011. године</w:t>
      </w:r>
      <w:r>
        <w:rPr>
          <w:color w:val="000000"/>
          <w:vertAlign w:val="superscript"/>
        </w:rPr>
        <w:t>361</w:t>
      </w:r>
      <w:r>
        <w:rPr>
          <w:color w:val="000000"/>
        </w:rPr>
        <w:t xml:space="preserve"> и Уједињеном Краљевству од 2012. године.</w:t>
      </w:r>
      <w:r>
        <w:rPr>
          <w:color w:val="000000"/>
          <w:vertAlign w:val="superscript"/>
        </w:rPr>
        <w:t>362</w:t>
      </w:r>
    </w:p>
    <w:p w:rsidR="00BC3CE6" w:rsidRDefault="009A2DE5">
      <w:pPr>
        <w:spacing w:after="150"/>
      </w:pPr>
      <w:r>
        <w:rPr>
          <w:color w:val="000000"/>
        </w:rPr>
        <w:t>Политике усклађивања профе</w:t>
      </w:r>
      <w:r>
        <w:rPr>
          <w:color w:val="000000"/>
        </w:rPr>
        <w:t>сионалног и породичног живота кључне су за постизање родне равноправности и укључене су у ЕУ политике које промовишу учешће жена у запошљавању и учешће мушкараца у породичном животу. Европски институт за родну равноправност</w:t>
      </w:r>
      <w:r>
        <w:rPr>
          <w:color w:val="000000"/>
          <w:vertAlign w:val="superscript"/>
        </w:rPr>
        <w:t>363</w:t>
      </w:r>
      <w:r>
        <w:rPr>
          <w:color w:val="000000"/>
        </w:rPr>
        <w:t xml:space="preserve"> указује на праксе које су омо</w:t>
      </w:r>
      <w:r>
        <w:rPr>
          <w:color w:val="000000"/>
        </w:rPr>
        <w:t>гућиле искорак у правцу усклађивања пословног, породичног и приватног живота. Многе мере су добиле предност јер су биле успешне у промовисању учешћа мушкараца у нези и другим неплаћеним породичним пословима. Примери су: аустријска кампања „Четири зида, чет</w:t>
      </w:r>
      <w:r>
        <w:rPr>
          <w:color w:val="000000"/>
        </w:rPr>
        <w:t>ири руке”, дански програм „Загрљај са татом”, пољска кампања „Запослени тата – свиђа ми се!” и радионице компанија за родитељско одсуство за очеве у Републици Аустрији. Неке кампање су усмерене на јачање свести о политикама помирења и родним стереотипима к</w:t>
      </w:r>
      <w:r>
        <w:rPr>
          <w:color w:val="000000"/>
        </w:rPr>
        <w:t xml:space="preserve">оји су препрека родној равноправности у Савезној Републици Немачкој, Републици Малти и </w:t>
      </w:r>
      <w:r>
        <w:rPr>
          <w:color w:val="000000"/>
        </w:rPr>
        <w:lastRenderedPageBreak/>
        <w:t>Републици Италији. Примери добре праксе у мобилизацији више заинтересованих страна и социјалних партнера показују да успех почива на блиској сарадњи између социјалних па</w:t>
      </w:r>
      <w:r>
        <w:rPr>
          <w:color w:val="000000"/>
        </w:rPr>
        <w:t>ртнера, предузећа и локалних власти.</w:t>
      </w:r>
    </w:p>
    <w:p w:rsidR="00BC3CE6" w:rsidRDefault="009A2DE5">
      <w:pPr>
        <w:spacing w:after="150"/>
      </w:pPr>
      <w:r>
        <w:rPr>
          <w:color w:val="000000"/>
        </w:rPr>
        <w:t>Превентивна здравствена заштита илуструје се примерима позитивних последица вакцинације ХПВ и праксом скрининга грлића материце. У Аустралији, која је била међу првим земљама које су уврстиле вакцинацију четворовалентно</w:t>
      </w:r>
      <w:r>
        <w:rPr>
          <w:color w:val="000000"/>
        </w:rPr>
        <w:t>м ХПВ вакцином</w:t>
      </w:r>
      <w:r>
        <w:rPr>
          <w:color w:val="000000"/>
          <w:vertAlign w:val="superscript"/>
        </w:rPr>
        <w:t>364</w:t>
      </w:r>
      <w:r>
        <w:rPr>
          <w:color w:val="000000"/>
        </w:rPr>
        <w:t xml:space="preserve"> у свој национални програм имунизације, од 2007. године обезбеђена је бесплатна вакцинација девојчица, узраста од 12 до 13 година, а вакцинисано је 70% девојчица школског узраста. Од 2013. године програм је проширен и на дечаке истог узрас</w:t>
      </w:r>
      <w:r>
        <w:rPr>
          <w:color w:val="000000"/>
        </w:rPr>
        <w:t>та. Годину дана након увођења ХПВ вакцинације забележен значајан и брз пад учесталости гениталних брадавица код жена (за 52%) и хетеросексуалних мушкараца старости до 30 година. Слично је установљено и у САД, на Новом Зеланду, у Краљевини Шведској, Краљеви</w:t>
      </w:r>
      <w:r>
        <w:rPr>
          <w:color w:val="000000"/>
        </w:rPr>
        <w:t>ни Данској и Савезној Републици Немачкој. Примећен је и пад броја преканцерозних промена грлића материце и карцинома грлића материце. За десет година примене вакцине у Аустралији, појава ХПВ се у општој популацији смањила са 22% на 1%.</w:t>
      </w:r>
      <w:r>
        <w:rPr>
          <w:color w:val="000000"/>
          <w:vertAlign w:val="superscript"/>
        </w:rPr>
        <w:t>365</w:t>
      </w:r>
    </w:p>
    <w:p w:rsidR="00BC3CE6" w:rsidRDefault="009A2DE5">
      <w:pPr>
        <w:spacing w:after="150"/>
      </w:pPr>
      <w:r>
        <w:rPr>
          <w:color w:val="000000"/>
        </w:rPr>
        <w:t>Скрининг рака грл</w:t>
      </w:r>
      <w:r>
        <w:rPr>
          <w:color w:val="000000"/>
        </w:rPr>
        <w:t xml:space="preserve">ића материце у земљама у којима је добро организован, број оболелих и умрлих жена од рака грлића материце значајно је смањен. Изразити пад инциденција и морталитета у Енглеској, Републици Финској и Исланду повезан је са квалитетом организованог скрининга. </w:t>
      </w:r>
      <w:r>
        <w:rPr>
          <w:color w:val="000000"/>
        </w:rPr>
        <w:t>Најбољи пример је Република Финска у којој је организовани скрининг уведен пре више од пола века, а стопе морталитета снижене су за 80%.</w:t>
      </w:r>
      <w:r>
        <w:rPr>
          <w:color w:val="000000"/>
          <w:vertAlign w:val="superscript"/>
        </w:rPr>
        <w:t>366</w:t>
      </w:r>
      <w:r>
        <w:rPr>
          <w:color w:val="000000"/>
        </w:rPr>
        <w:t xml:space="preserve"> Посвећеност решавању овог проблема, Република Финска је потврдила учешћем у заједничкој акцији иновативног партнерст</w:t>
      </w:r>
      <w:r>
        <w:rPr>
          <w:color w:val="000000"/>
        </w:rPr>
        <w:t>ва за акцију против рака у коју су биле укључене 44 партнерске организације у 24 европске државе са циљем развијања нових приступа у унапређивању контроле рака, промоције здравих стилова живота и контроле како владе спроводе политике за превенцију и сузбиј</w:t>
      </w:r>
      <w:r>
        <w:rPr>
          <w:color w:val="000000"/>
        </w:rPr>
        <w:t>ање рака. Акција је била усмерена на нове мере превенције и најсавременије лечење, а Република Финска је у заједничкој акцији координирала део пројекта који се бави превенцијом и скринингом, јер сматра да је примарна превенција пресудна и најефикаснија. Ст</w:t>
      </w:r>
      <w:r>
        <w:rPr>
          <w:color w:val="000000"/>
        </w:rPr>
        <w:t>ога, истраживано је како превенцију и промоцију здравља учинити привлачнијом, а један од изазова је како препоруке о превенцији рака учинити познатијим креаторима политика који су важни за унапређење контроле рака.</w:t>
      </w:r>
      <w:r>
        <w:rPr>
          <w:color w:val="000000"/>
          <w:vertAlign w:val="superscript"/>
        </w:rPr>
        <w:t>367</w:t>
      </w:r>
    </w:p>
    <w:p w:rsidR="00BC3CE6" w:rsidRDefault="009A2DE5">
      <w:pPr>
        <w:spacing w:after="150"/>
        <w:jc w:val="both"/>
      </w:pPr>
      <w:r>
        <w:rPr>
          <w:i/>
          <w:color w:val="000000"/>
        </w:rPr>
        <w:t>––––––––</w:t>
      </w:r>
    </w:p>
    <w:p w:rsidR="00BC3CE6" w:rsidRDefault="009A2DE5">
      <w:pPr>
        <w:spacing w:after="150"/>
        <w:jc w:val="both"/>
      </w:pPr>
      <w:r>
        <w:rPr>
          <w:i/>
          <w:color w:val="000000"/>
        </w:rPr>
        <w:t>325</w:t>
      </w:r>
      <w:r>
        <w:rPr>
          <w:i/>
          <w:color w:val="000000"/>
        </w:rPr>
        <w:tab/>
        <w:t>Доступно на: https://www.</w:t>
      </w:r>
      <w:r>
        <w:rPr>
          <w:i/>
          <w:color w:val="000000"/>
        </w:rPr>
        <w:t>brettonwoodsproject.org/2019/02/the-imf-and-gender-equality-operationalising-change/ приступ 10.6.2021.</w:t>
      </w:r>
    </w:p>
    <w:p w:rsidR="00BC3CE6" w:rsidRDefault="009A2DE5">
      <w:pPr>
        <w:spacing w:after="150"/>
        <w:jc w:val="both"/>
      </w:pPr>
      <w:r>
        <w:rPr>
          <w:i/>
          <w:color w:val="000000"/>
        </w:rPr>
        <w:t>326 Доступно на: https://eige.europa.eu/gender-mainstreaming/policy-areas приступ 10.6.2021.</w:t>
      </w:r>
    </w:p>
    <w:p w:rsidR="00BC3CE6" w:rsidRDefault="009A2DE5">
      <w:pPr>
        <w:spacing w:after="150"/>
        <w:jc w:val="both"/>
      </w:pPr>
      <w:r>
        <w:rPr>
          <w:i/>
          <w:color w:val="000000"/>
        </w:rPr>
        <w:lastRenderedPageBreak/>
        <w:t>327 L. Husu, Gender Equality in Nordic Academia: Advances a</w:t>
      </w:r>
      <w:r>
        <w:rPr>
          <w:i/>
          <w:color w:val="000000"/>
        </w:rPr>
        <w:t>nd Challenges, у: Вујадиновић, Д., Антонијевић, З. (ур), оп.цит, страна 66.</w:t>
      </w:r>
    </w:p>
    <w:p w:rsidR="00BC3CE6" w:rsidRDefault="009A2DE5">
      <w:pPr>
        <w:spacing w:after="150"/>
        <w:jc w:val="both"/>
      </w:pPr>
      <w:r>
        <w:rPr>
          <w:i/>
          <w:color w:val="000000"/>
        </w:rPr>
        <w:t>328The University of Helsinki Equality and Diversity Plan 2019–2020, https://www2.helsinki.fi /sites/default/files/atoms/files/equality_and_diversity_plan_2019–2020_english.pdf, пр</w:t>
      </w:r>
      <w:r>
        <w:rPr>
          <w:i/>
          <w:color w:val="000000"/>
        </w:rPr>
        <w:t>иступ 2.6.2021; University of Cambridge Equality &amp; Diversity Strategy 2016–2021; University of Edinburgh Equality outcomes action plan 2021–2025, https://www.ed.ac.uk/files/atoms/files/equality_outcomes_2021–2025_and_mainstreaming_progress_ report_2017–202</w:t>
      </w:r>
      <w:r>
        <w:rPr>
          <w:i/>
          <w:color w:val="000000"/>
        </w:rPr>
        <w:t>1.pdf, приступ 6.6.2021; Albert-Ludwigs-Universität Freiburg Equal Opportunity Plan for 2009 to 2014. https://www.gleichstellung.uni-freiburg.de/Info/Equal_ Opportunity_Plan.pdf, приступ 7.6.2021.</w:t>
      </w:r>
    </w:p>
    <w:p w:rsidR="00BC3CE6" w:rsidRDefault="009A2DE5">
      <w:pPr>
        <w:spacing w:after="150"/>
        <w:jc w:val="both"/>
      </w:pPr>
      <w:r>
        <w:rPr>
          <w:i/>
          <w:color w:val="000000"/>
        </w:rPr>
        <w:t>329 Видети, на пример, Equal Opportunities Officer of the U</w:t>
      </w:r>
      <w:r>
        <w:rPr>
          <w:i/>
          <w:color w:val="000000"/>
        </w:rPr>
        <w:t>niversity of Freiburg and Uniklinik Freiburg. https://www.gleichstellungsbuero.uni-freiburg.de/en/UniversityEqualOpportunitiesOfficer, приступ 7.6.2021.</w:t>
      </w:r>
    </w:p>
    <w:p w:rsidR="00BC3CE6" w:rsidRDefault="009A2DE5">
      <w:pPr>
        <w:spacing w:after="150"/>
        <w:jc w:val="both"/>
      </w:pPr>
      <w:r>
        <w:rPr>
          <w:i/>
          <w:color w:val="000000"/>
        </w:rPr>
        <w:t>330 СБ УН усвојио 10 резолуција везаних за агенду Жене, мир, безбедност (WPS): 1325 (2000), 1820 (2008)</w:t>
      </w:r>
      <w:r>
        <w:rPr>
          <w:i/>
          <w:color w:val="000000"/>
        </w:rPr>
        <w:t>, 1888 (2008), 1889 (2009), 1960 (2010), 2106 (2013), 2122 (2013), 2242 (2015), 2467 (2019), и 2493 (2019).</w:t>
      </w:r>
    </w:p>
    <w:p w:rsidR="00BC3CE6" w:rsidRDefault="009A2DE5">
      <w:pPr>
        <w:spacing w:after="150"/>
        <w:jc w:val="both"/>
      </w:pPr>
      <w:r>
        <w:rPr>
          <w:i/>
          <w:color w:val="000000"/>
        </w:rPr>
        <w:t>331 Доступно на: https://www.euractiv.com/section/defence-and-security/news/global-military-spending-in-2018-reached-post-cold-war-peak/ приступ 7.6</w:t>
      </w:r>
      <w:r>
        <w:rPr>
          <w:i/>
          <w:color w:val="000000"/>
        </w:rPr>
        <w:t>.2021.</w:t>
      </w:r>
    </w:p>
    <w:p w:rsidR="00BC3CE6" w:rsidRDefault="009A2DE5">
      <w:pPr>
        <w:spacing w:after="150"/>
        <w:jc w:val="both"/>
      </w:pPr>
      <w:r>
        <w:rPr>
          <w:i/>
          <w:color w:val="000000"/>
        </w:rPr>
        <w:t>332 Доступно на: https://www.peacewomen.org/action-plan/regional-action-plan-ecowas приступ 7.6.2021.</w:t>
      </w:r>
    </w:p>
    <w:p w:rsidR="00BC3CE6" w:rsidRDefault="009A2DE5">
      <w:pPr>
        <w:spacing w:after="150"/>
        <w:jc w:val="both"/>
      </w:pPr>
      <w:r>
        <w:rPr>
          <w:i/>
          <w:color w:val="000000"/>
        </w:rPr>
        <w:t>333</w:t>
      </w:r>
      <w:r>
        <w:rPr>
          <w:i/>
          <w:color w:val="000000"/>
        </w:rPr>
        <w:tab/>
        <w:t>Доступно на: https://asiapacific.unwomen.org/en/focus-areas/peace-and-security/national-action-plans</w:t>
      </w:r>
    </w:p>
    <w:p w:rsidR="00BC3CE6" w:rsidRDefault="009A2DE5">
      <w:pPr>
        <w:spacing w:after="150"/>
        <w:jc w:val="both"/>
      </w:pPr>
      <w:r>
        <w:rPr>
          <w:i/>
          <w:color w:val="000000"/>
        </w:rPr>
        <w:t>334 Доступно на: https://data.consilium.eu</w:t>
      </w:r>
      <w:r>
        <w:rPr>
          <w:i/>
          <w:color w:val="000000"/>
        </w:rPr>
        <w:t>ropa.eu/doc/document/ST-11031-2019-INIT/en/pdf приступ 7.6.2021.</w:t>
      </w:r>
    </w:p>
    <w:p w:rsidR="00BC3CE6" w:rsidRDefault="009A2DE5">
      <w:pPr>
        <w:spacing w:after="150"/>
        <w:jc w:val="both"/>
      </w:pPr>
      <w:r>
        <w:rPr>
          <w:i/>
          <w:color w:val="000000"/>
        </w:rPr>
        <w:t>335 Доступно на: https://www.osce.org/files/f/documents/3/4/444577.pdf Жене, мир, безбедност: регионална перспектива, Министарство за рад, запошљавање, борачка и социјална питања, доступно на</w:t>
      </w:r>
      <w:r>
        <w:rPr>
          <w:i/>
          <w:color w:val="000000"/>
        </w:rPr>
        <w:t>: https://www. minrzs.gov.rs/sr/aktuelnosti/vesti/zene-mir-i-bezbednostregionalna-perspektiva приступ 7.6.2021.</w:t>
      </w:r>
    </w:p>
    <w:p w:rsidR="00BC3CE6" w:rsidRDefault="009A2DE5">
      <w:pPr>
        <w:spacing w:after="150"/>
        <w:jc w:val="both"/>
      </w:pPr>
      <w:r>
        <w:rPr>
          <w:i/>
          <w:color w:val="000000"/>
        </w:rPr>
        <w:t>336 Доступно на: https://www.wpsnaps.org/nap/irish-national-action-plan-iii/ приступ 7.6.2021.</w:t>
      </w:r>
    </w:p>
    <w:p w:rsidR="00BC3CE6" w:rsidRDefault="009A2DE5">
      <w:pPr>
        <w:spacing w:after="150"/>
        <w:jc w:val="both"/>
      </w:pPr>
      <w:r>
        <w:rPr>
          <w:i/>
          <w:color w:val="000000"/>
        </w:rPr>
        <w:t xml:space="preserve">337 То се констатује у извештају CEDAW Комитета. </w:t>
      </w:r>
      <w:r>
        <w:rPr>
          <w:i/>
          <w:color w:val="000000"/>
        </w:rPr>
        <w:t>Видети CEDAW/C/AUT/CO/7-8, 2013, став 24</w:t>
      </w:r>
    </w:p>
    <w:p w:rsidR="00BC3CE6" w:rsidRDefault="009A2DE5">
      <w:pPr>
        <w:spacing w:after="150"/>
        <w:jc w:val="both"/>
      </w:pPr>
      <w:r>
        <w:rPr>
          <w:i/>
          <w:color w:val="000000"/>
        </w:rPr>
        <w:t xml:space="preserve">338 Шире: Logar, R. Austrijski model intervencije u slučajevima nasilja u porodici. Beograd: Autonomni ženski centar, 2005. Доступно на: </w:t>
      </w:r>
      <w:r>
        <w:rPr>
          <w:i/>
          <w:color w:val="000000"/>
        </w:rPr>
        <w:lastRenderedPageBreak/>
        <w:t xml:space="preserve">http://www.womenngo.org.rs/publikacije-dp/Austrijski%20model.pdf. приступ 7.6 </w:t>
      </w:r>
      <w:r>
        <w:rPr>
          <w:i/>
          <w:color w:val="000000"/>
        </w:rPr>
        <w:t>2021.</w:t>
      </w:r>
    </w:p>
    <w:p w:rsidR="00BC3CE6" w:rsidRDefault="009A2DE5">
      <w:pPr>
        <w:spacing w:after="150"/>
        <w:jc w:val="both"/>
      </w:pPr>
      <w:r>
        <w:rPr>
          <w:i/>
          <w:color w:val="000000"/>
        </w:rPr>
        <w:t>339 Доступно на: https://www.parlament.gv.at/PAKT/VHG/XXIII/ME/ME_00193/index.shtml приступ 7.6.2021</w:t>
      </w:r>
    </w:p>
    <w:p w:rsidR="00BC3CE6" w:rsidRDefault="009A2DE5">
      <w:pPr>
        <w:spacing w:after="150"/>
        <w:jc w:val="both"/>
      </w:pPr>
      <w:r>
        <w:rPr>
          <w:i/>
          <w:color w:val="000000"/>
        </w:rPr>
        <w:t>340 Bundesgesetzblatt Nr. BGBl. I Nr. 105/2019. Доступно на: https://www.ris.bka.gv.at/eli/ bgbl/I/2019/105 приступ 7.6.2021.</w:t>
      </w:r>
    </w:p>
    <w:p w:rsidR="00BC3CE6" w:rsidRDefault="009A2DE5">
      <w:pPr>
        <w:spacing w:after="150"/>
        <w:jc w:val="both"/>
      </w:pPr>
      <w:r>
        <w:rPr>
          <w:i/>
          <w:color w:val="000000"/>
        </w:rPr>
        <w:t>341</w:t>
      </w:r>
      <w:r>
        <w:rPr>
          <w:i/>
          <w:color w:val="000000"/>
        </w:rPr>
        <w:tab/>
        <w:t>Подаци о центрима доступни су на: https://www.aoef.at/index.php/gewaltschutzzentren, а подаци о интервентним центрима на: https://www.interventionsstelle-wien.at. приступ 7.6.2021.</w:t>
      </w:r>
    </w:p>
    <w:p w:rsidR="00BC3CE6" w:rsidRDefault="009A2DE5">
      <w:pPr>
        <w:spacing w:after="150"/>
        <w:jc w:val="both"/>
      </w:pPr>
      <w:r>
        <w:rPr>
          <w:i/>
          <w:color w:val="000000"/>
        </w:rPr>
        <w:t>342 Исто.</w:t>
      </w:r>
    </w:p>
    <w:p w:rsidR="00BC3CE6" w:rsidRDefault="009A2DE5">
      <w:pPr>
        <w:spacing w:after="150"/>
        <w:jc w:val="both"/>
      </w:pPr>
      <w:r>
        <w:rPr>
          <w:i/>
          <w:color w:val="000000"/>
        </w:rPr>
        <w:t>343 Исто.</w:t>
      </w:r>
    </w:p>
    <w:p w:rsidR="00BC3CE6" w:rsidRDefault="009A2DE5">
      <w:pPr>
        <w:spacing w:after="150"/>
        <w:jc w:val="both"/>
      </w:pPr>
      <w:r>
        <w:rPr>
          <w:i/>
          <w:color w:val="000000"/>
        </w:rPr>
        <w:t xml:space="preserve">344 Пример упитника по MARAC (Multiagency Risk </w:t>
      </w:r>
      <w:r>
        <w:rPr>
          <w:i/>
          <w:color w:val="000000"/>
        </w:rPr>
        <w:t>Assessment Conference) моделу процене ризика доступан на: https://www.safershetland.com/assets/files/ RIC%20Without%20Guidance.pdf приступ 7.6.2021.</w:t>
      </w:r>
    </w:p>
    <w:p w:rsidR="00BC3CE6" w:rsidRDefault="009A2DE5">
      <w:pPr>
        <w:spacing w:after="150"/>
        <w:jc w:val="both"/>
      </w:pPr>
      <w:r>
        <w:rPr>
          <w:i/>
          <w:color w:val="000000"/>
        </w:rPr>
        <w:t>345 Report submitted by the Netherlands pursuant to Article 68, paragraph 1 of the Council of Europe Conven</w:t>
      </w:r>
      <w:r>
        <w:rPr>
          <w:i/>
          <w:color w:val="000000"/>
        </w:rPr>
        <w:t>tion on preventing and combating violence against women and domestic violence (Baseline Report). Доступно на: https://rm.coe.int/netherlands-state-repot-grevio/16808d91ac приступ 7.6.2021.</w:t>
      </w:r>
    </w:p>
    <w:p w:rsidR="00BC3CE6" w:rsidRDefault="009A2DE5">
      <w:pPr>
        <w:spacing w:after="150"/>
        <w:jc w:val="both"/>
      </w:pPr>
      <w:r>
        <w:rPr>
          <w:i/>
          <w:color w:val="000000"/>
        </w:rPr>
        <w:t>346 Исто.</w:t>
      </w:r>
    </w:p>
    <w:p w:rsidR="00BC3CE6" w:rsidRDefault="009A2DE5">
      <w:pPr>
        <w:spacing w:after="150"/>
        <w:jc w:val="both"/>
      </w:pPr>
      <w:r>
        <w:rPr>
          <w:i/>
          <w:color w:val="000000"/>
        </w:rPr>
        <w:t>347 Spanish Government Report on the implementation of th</w:t>
      </w:r>
      <w:r>
        <w:rPr>
          <w:i/>
          <w:color w:val="000000"/>
        </w:rPr>
        <w:t>e Council of Europe convention on Preventing and Combating Violence against Women and Domestic Violence (Istanbul Convention), 31.1.2019.</w:t>
      </w:r>
    </w:p>
    <w:p w:rsidR="00BC3CE6" w:rsidRDefault="009A2DE5">
      <w:pPr>
        <w:spacing w:after="150"/>
        <w:jc w:val="both"/>
      </w:pPr>
      <w:r>
        <w:rPr>
          <w:i/>
          <w:color w:val="000000"/>
        </w:rPr>
        <w:t>348 Стање на дан 1. јануар 2020. године – председнице држава (10/152 = 6.6%) и председнице влада (12/193 = 6.2%): Банг</w:t>
      </w:r>
      <w:r>
        <w:rPr>
          <w:i/>
          <w:color w:val="000000"/>
        </w:rPr>
        <w:t xml:space="preserve">ладеш (ПВ), Барбадос (ПВ), Белгија (ПВ), Боливија (ПД и ПВ), Данска (ПВ), Естонија (ПД), Етиопија (ПД), Финска (ПВ), Грузија (ПД), Немачка (ПВ), Исланд (ПВ), Непал (ПД), Нови Зеланд (ПВ), Норвешка (ПВ), Сан Марино (ПД), Србија(ПВ), Сингапур (ПД), Словачка </w:t>
      </w:r>
      <w:r>
        <w:rPr>
          <w:i/>
          <w:color w:val="000000"/>
        </w:rPr>
        <w:t>(ПД), Швајцарска (ПД и ПВ), Тринидад и Тобаго (ПД). Извор: Women in Politics: 2020, Situation on 1 January 2020, Доступно на: https://www.unwomen.org/-/media/headquarters/attachments/sections/library/publications/2020/women-in-politics-map-2020-en.pdf?la=e</w:t>
      </w:r>
      <w:r>
        <w:rPr>
          <w:i/>
          <w:color w:val="000000"/>
        </w:rPr>
        <w:t>n&amp;vs=827 приступ 4.6.2021.</w:t>
      </w:r>
    </w:p>
    <w:p w:rsidR="00BC3CE6" w:rsidRDefault="009A2DE5">
      <w:pPr>
        <w:spacing w:after="150"/>
        <w:jc w:val="both"/>
      </w:pPr>
      <w:r>
        <w:rPr>
          <w:i/>
          <w:color w:val="000000"/>
        </w:rPr>
        <w:t>349 Подаци Интерпарламентарне уније: Global and regional averages of women in national parliaments, Parline, December 2020 – доступно на: https://data.ipu.org/women-averages?month=12&amp;year=2020 приступ 4.6.2021.</w:t>
      </w:r>
    </w:p>
    <w:p w:rsidR="00BC3CE6" w:rsidRDefault="009A2DE5">
      <w:pPr>
        <w:spacing w:after="150"/>
        <w:jc w:val="both"/>
      </w:pPr>
      <w:r>
        <w:rPr>
          <w:i/>
          <w:color w:val="000000"/>
        </w:rPr>
        <w:lastRenderedPageBreak/>
        <w:t>350 Уједињени Арап</w:t>
      </w:r>
      <w:r>
        <w:rPr>
          <w:i/>
          <w:color w:val="000000"/>
        </w:rPr>
        <w:t>ски Емирати 50%, Куба 53,4% и Руанда 61,3%.</w:t>
      </w:r>
    </w:p>
    <w:p w:rsidR="00BC3CE6" w:rsidRDefault="009A2DE5">
      <w:pPr>
        <w:spacing w:after="150"/>
        <w:jc w:val="both"/>
      </w:pPr>
      <w:r>
        <w:rPr>
          <w:i/>
          <w:color w:val="000000"/>
        </w:rPr>
        <w:t>351 Извор: Women’s leadership and political participation, UN Women, 2020 – доступно на: https://www.unwomen.org/en/what-we-do/leadership-and-political-participation/facts-and-figures#_edn3 приступ 4.6.2021.</w:t>
      </w:r>
    </w:p>
    <w:p w:rsidR="00BC3CE6" w:rsidRDefault="009A2DE5">
      <w:pPr>
        <w:spacing w:after="150"/>
        <w:jc w:val="both"/>
      </w:pPr>
      <w:r>
        <w:rPr>
          <w:i/>
          <w:color w:val="000000"/>
        </w:rPr>
        <w:t xml:space="preserve">352 </w:t>
      </w:r>
      <w:r>
        <w:rPr>
          <w:i/>
          <w:color w:val="000000"/>
        </w:rPr>
        <w:t>Видети: Пајванчић, М. Неформални облици деловања у парламенту, (ур. Орловић, С. Ковачевић Д.) Зборник Тридесет година обновљеног вишепартизма у Србији – (не)научене лекције, ФПН, Hanns Zеidel Štiftung, 2020. str. 157–175. доступно на: https://www.fpn.bg.ac</w:t>
      </w:r>
      <w:r>
        <w:rPr>
          <w:i/>
          <w:color w:val="000000"/>
        </w:rPr>
        <w:t xml:space="preserve">.rs/wp-content/uploads/pdfjoiner.pdf приступ 9.6.2021. Џамбаширевић, Н, Јовановић Д, Улога неформалних парламентарних група у законодавној и контролној функцији парламента Зборник (ур. Стојиљковић, З, Лончар, Ј., Спасојевић, Д.) „Парламент и демократија”, </w:t>
      </w:r>
      <w:r>
        <w:rPr>
          <w:i/>
          <w:color w:val="000000"/>
        </w:rPr>
        <w:t>2015. стр. 69–74. Драшковић, Б. Женска парламентарна мрежа, Зборник (ур. Пајванчић, М. Урошевић Б.) 2020. оп. цит. стр. 107–125.</w:t>
      </w:r>
    </w:p>
    <w:p w:rsidR="00BC3CE6" w:rsidRDefault="009A2DE5">
      <w:pPr>
        <w:spacing w:after="150"/>
        <w:jc w:val="both"/>
      </w:pPr>
      <w:r>
        <w:rPr>
          <w:i/>
          <w:color w:val="000000"/>
        </w:rPr>
        <w:t>353</w:t>
      </w:r>
      <w:r>
        <w:rPr>
          <w:i/>
          <w:color w:val="000000"/>
        </w:rPr>
        <w:tab/>
        <w:t>Видети: Women’s Caucuses Fact Sheet, Washington, NDI; доступно на: http://archive.ipu.org/pdf/publications/caucus-e.pdf, ht</w:t>
      </w:r>
      <w:r>
        <w:rPr>
          <w:i/>
          <w:color w:val="000000"/>
        </w:rPr>
        <w:t>tp://www.ipu.org/pdf/publications/equality08–e.pdf, Equality in Politics: A Sur-vey of Women and Men in Parliaments. Geneva. Inter-Parliamentary Union, 2008. доступно на: http://www.ipu.org/english/surveys.htm#equality08; http://www.ipu.org/pdf/publication</w:t>
      </w:r>
      <w:r>
        <w:rPr>
          <w:i/>
          <w:color w:val="000000"/>
        </w:rPr>
        <w:t>s/equality08–e.pdf, Компаративна студија радних тела парламентарки у државама чланицама ОЕСС (2014) доступно на: https://www.osce.org/hr/odihr/118575?download=true приступљено 4.3.2020.</w:t>
      </w:r>
    </w:p>
    <w:p w:rsidR="00BC3CE6" w:rsidRDefault="009A2DE5">
      <w:pPr>
        <w:spacing w:after="150"/>
        <w:jc w:val="both"/>
      </w:pPr>
      <w:r>
        <w:rPr>
          <w:i/>
          <w:color w:val="000000"/>
        </w:rPr>
        <w:t>354 Видети. Марковић, Ј. и др.: Женске парламентарне мреже приредила Б</w:t>
      </w:r>
      <w:r>
        <w:rPr>
          <w:i/>
          <w:color w:val="000000"/>
        </w:rPr>
        <w:t>иблиотека Народнс Скупштине РС, 2012. доступно на: http://www.parlament.gov.rs/narodna-skupstina-/organizacija-i-strucna-sluzba/biblioteka-narodne skupštine приступ 7.3.2020.</w:t>
      </w:r>
    </w:p>
    <w:p w:rsidR="00BC3CE6" w:rsidRDefault="009A2DE5">
      <w:pPr>
        <w:spacing w:after="150"/>
        <w:jc w:val="both"/>
      </w:pPr>
      <w:r>
        <w:rPr>
          <w:i/>
          <w:color w:val="000000"/>
        </w:rPr>
        <w:t>355</w:t>
      </w:r>
      <w:r>
        <w:rPr>
          <w:i/>
          <w:color w:val="000000"/>
        </w:rPr>
        <w:tab/>
        <w:t>Оп. цит. (2012) страна 67. доступно на: https://www.osce.org/hr/odihr/118575?</w:t>
      </w:r>
      <w:r>
        <w:rPr>
          <w:i/>
          <w:color w:val="000000"/>
        </w:rPr>
        <w:t>download=true приступ 4.3.2020.</w:t>
      </w:r>
    </w:p>
    <w:p w:rsidR="00BC3CE6" w:rsidRDefault="009A2DE5">
      <w:pPr>
        <w:spacing w:after="150"/>
        <w:jc w:val="both"/>
      </w:pPr>
      <w:r>
        <w:rPr>
          <w:i/>
          <w:color w:val="000000"/>
        </w:rPr>
        <w:t>356</w:t>
      </w:r>
      <w:r>
        <w:rPr>
          <w:i/>
          <w:color w:val="000000"/>
        </w:rPr>
        <w:tab/>
        <w:t>У сваком дому Националне скупштине постоји стално радно тело – Делегација за права жена и равноправност полова, доступно на: http://www.assem-blee-nationale.fr/connaissance/delegation-femmes.asp као и на http://www.senat</w:t>
      </w:r>
      <w:r>
        <w:rPr>
          <w:i/>
          <w:color w:val="000000"/>
        </w:rPr>
        <w:t>.fr/commission/femmes/ приступ 8.3.2020.</w:t>
      </w:r>
    </w:p>
    <w:p w:rsidR="00BC3CE6" w:rsidRDefault="009A2DE5">
      <w:pPr>
        <w:spacing w:after="150"/>
        <w:jc w:val="both"/>
      </w:pPr>
      <w:r>
        <w:rPr>
          <w:i/>
          <w:color w:val="000000"/>
        </w:rPr>
        <w:t>357 У Риксдагу делује више женских мрежа (нпр. Q-осам која окупља парламентарке, Krikon која окупља секретарке радних тела) као и мушка парламентарна мрежа. Доступно на: http://www.europarl.europa.eu/meetdocs/2009_2</w:t>
      </w:r>
      <w:r>
        <w:rPr>
          <w:i/>
          <w:color w:val="000000"/>
        </w:rPr>
        <w:t>014/documents/femm/dv/contribution_sweden_/contribution_sweden_en.pdf приступ 7.3.2020.</w:t>
      </w:r>
    </w:p>
    <w:p w:rsidR="00BC3CE6" w:rsidRDefault="009A2DE5">
      <w:pPr>
        <w:spacing w:after="150"/>
        <w:jc w:val="both"/>
      </w:pPr>
      <w:r>
        <w:rPr>
          <w:i/>
          <w:color w:val="000000"/>
        </w:rPr>
        <w:t>358</w:t>
      </w:r>
      <w:r>
        <w:rPr>
          <w:i/>
          <w:color w:val="000000"/>
        </w:rPr>
        <w:tab/>
        <w:t>Оп. цит. страна 36 доступно на: https://www.osce.org/hr/odihr/118575?download=true приступ 4.3.2020.</w:t>
      </w:r>
    </w:p>
    <w:p w:rsidR="00BC3CE6" w:rsidRDefault="009A2DE5">
      <w:pPr>
        <w:spacing w:after="150"/>
        <w:jc w:val="both"/>
      </w:pPr>
      <w:r>
        <w:rPr>
          <w:i/>
          <w:color w:val="000000"/>
        </w:rPr>
        <w:lastRenderedPageBreak/>
        <w:t>359</w:t>
      </w:r>
      <w:r>
        <w:rPr>
          <w:i/>
          <w:color w:val="000000"/>
        </w:rPr>
        <w:tab/>
        <w:t>Оп. цит. страна 57. доступно на: https://www.osce.org/hr/od</w:t>
      </w:r>
      <w:r>
        <w:rPr>
          <w:i/>
          <w:color w:val="000000"/>
        </w:rPr>
        <w:t>ihr/118575?download=true приступ 4.3.2020.</w:t>
      </w:r>
    </w:p>
    <w:p w:rsidR="00BC3CE6" w:rsidRDefault="009A2DE5">
      <w:pPr>
        <w:spacing w:after="150"/>
        <w:jc w:val="both"/>
      </w:pPr>
      <w:r>
        <w:rPr>
          <w:i/>
          <w:color w:val="000000"/>
        </w:rPr>
        <w:t>360 Доступно на: http://www.sobranie.mk/?ItemID=9C370FCE2282B24995726AD076E6F6D5; http://www.sozm.org.mk/ приступљено 7.3.2020.</w:t>
      </w:r>
    </w:p>
    <w:p w:rsidR="00BC3CE6" w:rsidRDefault="009A2DE5">
      <w:pPr>
        <w:spacing w:after="150"/>
        <w:jc w:val="both"/>
      </w:pPr>
      <w:r>
        <w:rPr>
          <w:i/>
          <w:color w:val="000000"/>
        </w:rPr>
        <w:t>361 Први састанак женског кокуса одржан је 19.4.1977. године у малој просторији на Ка</w:t>
      </w:r>
      <w:r>
        <w:rPr>
          <w:i/>
          <w:color w:val="000000"/>
        </w:rPr>
        <w:t>птолу која се називала читаоница. Данас носи име по првој секретарки женског кокуса Линди Бокс (Corrine „Lindy” Boggs Congressional Women’s Reading Room). Марковић, Ј. Остојић, Оп. цит. (2012) стр. 7–8.</w:t>
      </w:r>
    </w:p>
    <w:p w:rsidR="00BC3CE6" w:rsidRDefault="009A2DE5">
      <w:pPr>
        <w:spacing w:after="150"/>
        <w:jc w:val="both"/>
      </w:pPr>
      <w:r>
        <w:rPr>
          <w:i/>
          <w:color w:val="000000"/>
        </w:rPr>
        <w:t>362 У Парламенту Уједињеног Краљевства делује група з</w:t>
      </w:r>
      <w:r>
        <w:rPr>
          <w:i/>
          <w:color w:val="000000"/>
        </w:rPr>
        <w:t>а жене као једна од више више тзв. свепартијских група за различите области равноправности. Марковић, Ј. Остојић, и др. Оп. цит. (2012) стр. 9–10.</w:t>
      </w:r>
    </w:p>
    <w:p w:rsidR="00BC3CE6" w:rsidRDefault="009A2DE5">
      <w:pPr>
        <w:spacing w:after="150"/>
        <w:jc w:val="both"/>
      </w:pPr>
      <w:r>
        <w:rPr>
          <w:i/>
          <w:color w:val="000000"/>
        </w:rPr>
        <w:t>363</w:t>
      </w:r>
      <w:r>
        <w:rPr>
          <w:i/>
          <w:color w:val="000000"/>
        </w:rPr>
        <w:tab/>
        <w:t>Supporting reconciliation of work, family and private life, Good practices, стр. 21–22, доступно на: http</w:t>
      </w:r>
      <w:r>
        <w:rPr>
          <w:i/>
          <w:color w:val="000000"/>
        </w:rPr>
        <w:t>s://eige.europa.eu/publications/supporting-reconciliation-work-family-and-private-life-good-practices, приступ: 19.6.2021.</w:t>
      </w:r>
    </w:p>
    <w:p w:rsidR="00BC3CE6" w:rsidRDefault="009A2DE5">
      <w:pPr>
        <w:spacing w:after="150"/>
        <w:jc w:val="both"/>
      </w:pPr>
      <w:r>
        <w:rPr>
          <w:i/>
          <w:color w:val="000000"/>
        </w:rPr>
        <w:t>364 Хумани папилома вирус (HPV) – око 40 типова овог болести могу да инфицирају гениталне органе, а неки изазазивају промене на грлић</w:t>
      </w:r>
      <w:r>
        <w:rPr>
          <w:i/>
          <w:color w:val="000000"/>
        </w:rPr>
        <w:t>у материце које могу прерасти у рак грлића материце, а неки појаву гениталних брадавица.</w:t>
      </w:r>
    </w:p>
    <w:p w:rsidR="00BC3CE6" w:rsidRDefault="009A2DE5">
      <w:pPr>
        <w:spacing w:after="150"/>
        <w:jc w:val="both"/>
      </w:pPr>
      <w:r>
        <w:rPr>
          <w:i/>
          <w:color w:val="000000"/>
        </w:rPr>
        <w:t>365 Извор: Институт за јавно здравље Војводине, доступно на: http://www.izjzv.org.rs/uploads/74163419-f49-3ff2-946-5958efc77a97/HPV_brosura_roditelji.pdf приступ: 18.6</w:t>
      </w:r>
      <w:r>
        <w:rPr>
          <w:i/>
          <w:color w:val="000000"/>
        </w:rPr>
        <w:t>.2021.</w:t>
      </w:r>
    </w:p>
    <w:p w:rsidR="00BC3CE6" w:rsidRDefault="009A2DE5">
      <w:pPr>
        <w:spacing w:after="150"/>
        <w:jc w:val="both"/>
      </w:pPr>
      <w:r>
        <w:rPr>
          <w:i/>
          <w:color w:val="000000"/>
        </w:rPr>
        <w:t>366 Видети: Национални водич добре клиничке праксе за дијагностиковање и лечење рака грлића материце, доступно на: https://www.zdravlje.gov.rs/view_file.php?file_id=657&amp;cache=sr, приступ: 18.6.2021.</w:t>
      </w:r>
    </w:p>
    <w:p w:rsidR="00BC3CE6" w:rsidRDefault="009A2DE5">
      <w:pPr>
        <w:spacing w:after="150"/>
        <w:jc w:val="both"/>
      </w:pPr>
      <w:r>
        <w:rPr>
          <w:i/>
          <w:color w:val="000000"/>
        </w:rPr>
        <w:t>367 Извор: Друштво за канцер Финске (Cancer Societ</w:t>
      </w:r>
      <w:r>
        <w:rPr>
          <w:i/>
          <w:color w:val="000000"/>
        </w:rPr>
        <w:t>y of Finland,), доступно на: https://www.cancersociety.fi/news/releases/finland-helps-boost-cancer-prevention-and-early-detection-in-ipaac-joint-action/, приступ: 18.6.2021.</w:t>
      </w:r>
    </w:p>
    <w:p w:rsidR="00BC3CE6" w:rsidRDefault="009A2DE5">
      <w:pPr>
        <w:spacing w:after="120"/>
        <w:jc w:val="center"/>
      </w:pPr>
      <w:r>
        <w:rPr>
          <w:color w:val="000000"/>
        </w:rPr>
        <w:t>5. ОПИС И АНАЛИЗА СТАЊА</w:t>
      </w:r>
    </w:p>
    <w:p w:rsidR="00BC3CE6" w:rsidRDefault="009A2DE5">
      <w:pPr>
        <w:spacing w:after="150"/>
      </w:pPr>
      <w:r>
        <w:rPr>
          <w:color w:val="000000"/>
        </w:rPr>
        <w:t xml:space="preserve">Опис стања и анализа проблема структурирани тако да прате </w:t>
      </w:r>
      <w:r>
        <w:rPr>
          <w:color w:val="000000"/>
        </w:rPr>
        <w:t>приоритетне области које су утврђене овом стратегијом. Поред тога, област људске безбедности садржи и посебан додатак који се односи на родне аспекте пандемије болести COVID-19.</w:t>
      </w:r>
    </w:p>
    <w:p w:rsidR="00BC3CE6" w:rsidRDefault="009A2DE5">
      <w:pPr>
        <w:spacing w:after="120"/>
        <w:jc w:val="center"/>
      </w:pPr>
      <w:r>
        <w:rPr>
          <w:b/>
          <w:color w:val="000000"/>
        </w:rPr>
        <w:t>5.1. Развојни чиниоци – економија и знање</w:t>
      </w:r>
    </w:p>
    <w:p w:rsidR="00BC3CE6" w:rsidRDefault="009A2DE5">
      <w:pPr>
        <w:spacing w:after="120"/>
        <w:jc w:val="center"/>
      </w:pPr>
      <w:r>
        <w:rPr>
          <w:i/>
          <w:color w:val="000000"/>
        </w:rPr>
        <w:t>5.1.1. Економија као подстицај и пре</w:t>
      </w:r>
      <w:r>
        <w:rPr>
          <w:i/>
          <w:color w:val="000000"/>
        </w:rPr>
        <w:t>дуслов развоја друштва</w:t>
      </w:r>
    </w:p>
    <w:p w:rsidR="00BC3CE6" w:rsidRDefault="009A2DE5">
      <w:pPr>
        <w:spacing w:after="150"/>
      </w:pPr>
      <w:r>
        <w:rPr>
          <w:color w:val="000000"/>
        </w:rPr>
        <w:t xml:space="preserve">Ова приоритетна област везана је за чиниоце који подстичу развој и укључује: економију, а посебно родни јаз у економији, интегрисање родне перспективе у областима зелене и циркуларне економије, тржиште рада, </w:t>
      </w:r>
      <w:r>
        <w:rPr>
          <w:color w:val="000000"/>
        </w:rPr>
        <w:lastRenderedPageBreak/>
        <w:t>предузетништво жена, подр</w:t>
      </w:r>
      <w:r>
        <w:rPr>
          <w:color w:val="000000"/>
        </w:rPr>
        <w:t>шку иновацијама и учешћу жена, као и знање као развојни чинилац, а посебно образовање и науку.</w:t>
      </w:r>
    </w:p>
    <w:p w:rsidR="00BC3CE6" w:rsidRDefault="009A2DE5">
      <w:pPr>
        <w:spacing w:after="120"/>
        <w:jc w:val="center"/>
      </w:pPr>
      <w:r>
        <w:rPr>
          <w:color w:val="000000"/>
        </w:rPr>
        <w:t>5.1.1.1. Родни јаз у економији</w:t>
      </w:r>
    </w:p>
    <w:p w:rsidR="00BC3CE6" w:rsidRDefault="009A2DE5">
      <w:pPr>
        <w:spacing w:after="150"/>
      </w:pPr>
      <w:r>
        <w:rPr>
          <w:color w:val="000000"/>
        </w:rPr>
        <w:t>Смањење родног јаза у економији и унапређење економског положаја жена у непосредној је вези са више циљева дефинисаних Агендом 203</w:t>
      </w:r>
      <w:r>
        <w:rPr>
          <w:color w:val="000000"/>
        </w:rPr>
        <w:t>0, а нарочито: Свет без сиромаштва, Свет без глади, Квалитетно образовање, Родна равноправност, Доступна и обновљива енергија, Достојанствен рад и економски раст, Индустрија иновације и инфраструктура, Смањење неједнакости, Одрживи градови и заједнице, Одг</w:t>
      </w:r>
      <w:r>
        <w:rPr>
          <w:color w:val="000000"/>
        </w:rPr>
        <w:t>оворна потрошња и производња. Унапређење родне равноправности допринеће реализацији циљева из Агенде 2030, а реализација ових циљева створиће претпоставке за смањење родног јаза у економији. Ови процеси су међусобно изразито тесно повезани. Родни јаз значи</w:t>
      </w:r>
      <w:r>
        <w:rPr>
          <w:color w:val="000000"/>
        </w:rPr>
        <w:t xml:space="preserve"> да жене и мушкарци немају једнаке приступе ресурсима, не учествују једнако у расподели ресурса нити имају једнаке користи од употребе ресурса, а као резултат различитих друштвених улога, неједнаког положаја и родно засноване дискриминације. Тако се на при</w:t>
      </w:r>
      <w:r>
        <w:rPr>
          <w:color w:val="000000"/>
        </w:rPr>
        <w:t>мер у извештају „Глобални родни јаз” Светског економског форума, који оцењује родни јаз кроз четири кључне димензије, у 156 земаља објављеном 2021. године указује да се услед глобалне пандемије бележи значајан корак уназад када се ради о смањењу родног јаз</w:t>
      </w:r>
      <w:r>
        <w:rPr>
          <w:color w:val="000000"/>
        </w:rPr>
        <w:t>а и да се време потребно да се глобално родни јаз елиминише овим темпом са 99,5 повећало на 135,6 година. Када је у питању смањење родног јаза у економији ситуација је још неповоњнија и биће потребно још 267,6 година за елиминсање родног јаза. Разлог за то</w:t>
      </w:r>
      <w:r>
        <w:rPr>
          <w:color w:val="000000"/>
        </w:rPr>
        <w:t>, како се наводи, видљив је у два супротна тренда. Са једне стране, удео жена међу образованим професионалцима континуирано расте, као и смањење платног јаза, док са друге стране општа неједнакост у приходима упорно опстаје као и слабије учешће жена на мен</w:t>
      </w:r>
      <w:r>
        <w:rPr>
          <w:color w:val="000000"/>
        </w:rPr>
        <w:t>аџерским позицијама које износи свега 27%. У овом извештају Република Србија је рангирана на 19. месту, али када су у питању димензије учешћа и шансе у економији, налази се чак на 54. месту, док су подиндикатори унутар ове димензије још нижи (76. за учешће</w:t>
      </w:r>
      <w:r>
        <w:rPr>
          <w:color w:val="000000"/>
        </w:rPr>
        <w:t xml:space="preserve"> на тржишту рада и једнакост у платама и 79. место за менаџерске позиције).</w:t>
      </w:r>
    </w:p>
    <w:p w:rsidR="00BC3CE6" w:rsidRDefault="009A2DE5">
      <w:pPr>
        <w:spacing w:after="150"/>
      </w:pPr>
      <w:r>
        <w:rPr>
          <w:color w:val="000000"/>
        </w:rPr>
        <w:t>Родни јаз у економији у Републици Србији видљив је кроз неједнак положај жена и мушкараца на тржишту рада, разликама у висини зараде, пензије и уопште прихода, разликама у предузет</w:t>
      </w:r>
      <w:r>
        <w:rPr>
          <w:color w:val="000000"/>
        </w:rPr>
        <w:t>ничкој активности, приступу ресурсима за подршку запошљавању и самозапошљавању, учешћу у неформалној економији, разликама у власништву над непокретностима и земљом као и учешће у одлучивању у економији. У сваком од ових посматраних елемената жене су и даље</w:t>
      </w:r>
      <w:r>
        <w:rPr>
          <w:color w:val="000000"/>
        </w:rPr>
        <w:t xml:space="preserve"> у далеко неповољнијем положају, док у групи међу женама постоје нарочито осетљиве</w:t>
      </w:r>
      <w:r>
        <w:rPr>
          <w:color w:val="000000"/>
          <w:vertAlign w:val="superscript"/>
        </w:rPr>
        <w:t>368</w:t>
      </w:r>
      <w:r>
        <w:rPr>
          <w:color w:val="000000"/>
        </w:rPr>
        <w:t xml:space="preserve"> групе жена чија је економска ситуација још неповољнија.</w:t>
      </w:r>
    </w:p>
    <w:p w:rsidR="00BC3CE6" w:rsidRDefault="009A2DE5">
      <w:pPr>
        <w:spacing w:after="150"/>
      </w:pPr>
      <w:r>
        <w:rPr>
          <w:color w:val="000000"/>
        </w:rPr>
        <w:t>Према најновијим подацима Индекса родне равноправности у Републици Србији. у односу на просек ЕУ–28. Република Срб</w:t>
      </w:r>
      <w:r>
        <w:rPr>
          <w:color w:val="000000"/>
        </w:rPr>
        <w:t xml:space="preserve">ија бележи нижу вредност </w:t>
      </w:r>
      <w:r>
        <w:rPr>
          <w:color w:val="000000"/>
        </w:rPr>
        <w:lastRenderedPageBreak/>
        <w:t>у два домена која су кључна за економски положај: у домену рада 3,3 и заузима 22. место, и домен новца где је рангирана као претпоследња. Постоје велике разлике у домену новца за различите групе па тако једночлана домаћинства, само</w:t>
      </w:r>
      <w:r>
        <w:rPr>
          <w:color w:val="000000"/>
        </w:rPr>
        <w:t>храни родитељи са децом, и породице са више деце имају додатне неповољне карактеристике и изложене су већим ризицима од финансијског сиромаштва. Када је у питању приступ ресурсима у посебно се неповољном положају налазе младе жене и мушкарци, и жене и мушк</w:t>
      </w:r>
      <w:r>
        <w:rPr>
          <w:color w:val="000000"/>
        </w:rPr>
        <w:t>арци из сеоских подручја. У ризику од финансијског сиромаштва су нарочито старије жене преко 65 година, мушкарци нижег образовања, младе жене и мушкарци.</w:t>
      </w:r>
    </w:p>
    <w:p w:rsidR="00BC3CE6" w:rsidRDefault="009A2DE5">
      <w:pPr>
        <w:spacing w:after="150"/>
      </w:pPr>
      <w:r>
        <w:rPr>
          <w:color w:val="000000"/>
        </w:rPr>
        <w:t>За домен времена, односно учешће жена и мушкараца у неплаћеном кућном раду за Републику Србију нови по</w:t>
      </w:r>
      <w:r>
        <w:rPr>
          <w:color w:val="000000"/>
        </w:rPr>
        <w:t>даци биће доступни 2022. године, јер је у току Истраживање о коришћењу времена које, сваких десет година, спроводи РЗС према методологији Еуростата</w:t>
      </w:r>
      <w:r>
        <w:rPr>
          <w:color w:val="000000"/>
          <w:vertAlign w:val="superscript"/>
        </w:rPr>
        <w:t>369</w:t>
      </w:r>
      <w:r>
        <w:rPr>
          <w:color w:val="000000"/>
        </w:rPr>
        <w:t>. Према најновијим доступним подацима, без обзира на то да ли су запослене или не, жене у односу на мушкар</w:t>
      </w:r>
      <w:r>
        <w:rPr>
          <w:color w:val="000000"/>
        </w:rPr>
        <w:t>це двоструко више времена раде у кући, а упола мање проводе на плаћеним пословима. Највише времена у неплаћеним активностима проводе жене и мушкарци у браку са дететом до седам година (нешто мање од осам сати дневно жене и три сата дневно мушкарци). Неплаћ</w:t>
      </w:r>
      <w:r>
        <w:rPr>
          <w:color w:val="000000"/>
        </w:rPr>
        <w:t>ени кућни рад, економија неге и бриге и начин на који жене и мушкарци користе своје време од великог значаја је и за њихов економски положај и смањење родног јаза у економији. Законом о родној равноправности (члан 28), предвиђено је редовно праћење и вредн</w:t>
      </w:r>
      <w:r>
        <w:rPr>
          <w:color w:val="000000"/>
        </w:rPr>
        <w:t>овање неплаћеног кућног рада,</w:t>
      </w:r>
      <w:r>
        <w:rPr>
          <w:color w:val="000000"/>
          <w:vertAlign w:val="superscript"/>
        </w:rPr>
        <w:t>370</w:t>
      </w:r>
      <w:r>
        <w:rPr>
          <w:color w:val="000000"/>
        </w:rPr>
        <w:t xml:space="preserve"> док је узимање у обзир неплаћеног рада кључно код креирања мера подршке економским активностима, програмима запошљавања и самозапошљавања, а стварање услова за боље усклађивање рада и приватног и породичног живота важно је </w:t>
      </w:r>
      <w:r>
        <w:rPr>
          <w:color w:val="000000"/>
        </w:rPr>
        <w:t>за све запослене, нарочито за жене, на којима је још увек највећи терет неплаћеног кућног рада.</w:t>
      </w:r>
    </w:p>
    <w:p w:rsidR="00BC3CE6" w:rsidRDefault="009A2DE5">
      <w:pPr>
        <w:spacing w:after="120"/>
        <w:jc w:val="center"/>
      </w:pPr>
      <w:r>
        <w:rPr>
          <w:color w:val="000000"/>
        </w:rPr>
        <w:t>5.1.1.2. Тржиште рада и зараде</w:t>
      </w:r>
    </w:p>
    <w:p w:rsidR="00BC3CE6" w:rsidRDefault="009A2DE5">
      <w:pPr>
        <w:spacing w:after="150"/>
      </w:pPr>
      <w:r>
        <w:rPr>
          <w:color w:val="000000"/>
        </w:rPr>
        <w:t>Стратегија запошљавања у Републици Србији за период од 2021. до 2026. године (СЗЗ) усвојена је као мултисекторска стратегија, как</w:t>
      </w:r>
      <w:r>
        <w:rPr>
          <w:color w:val="000000"/>
        </w:rPr>
        <w:t>о би се постигли бољи резултати кроз координацију са другим релевантним политикама које имају утицај на исходе када је у питању запошљавање. То су образовне, пореске, политике привредног и регионалног развоја као и социјална политика. Како је и родна равно</w:t>
      </w:r>
      <w:r>
        <w:rPr>
          <w:color w:val="000000"/>
        </w:rPr>
        <w:t>правност међусекторско питање, неопходно је да се у имплементацији ова стратегија и будући АП повежу са већ усвојеном СЗЗ како би се осигурао родно одговорни приступ у планирању, спровођењу и извештавању по свим мерама из СЗЗ и побољшао положај жена и мушк</w:t>
      </w:r>
      <w:r>
        <w:rPr>
          <w:color w:val="000000"/>
        </w:rPr>
        <w:t>араца на тржишту рада.</w:t>
      </w:r>
    </w:p>
    <w:p w:rsidR="00BC3CE6" w:rsidRDefault="009A2DE5">
      <w:pPr>
        <w:spacing w:after="150"/>
      </w:pPr>
      <w:r>
        <w:rPr>
          <w:color w:val="000000"/>
        </w:rPr>
        <w:t xml:space="preserve">Платни јаз за 2018. годину износио је 8,8%, колико су жене биле мање плаћене од мушкараца у Републици Србији. Када се подаци анализирају по степену образовања, платни јаз је много дубљи, па тако за жене без школе и са непотпуном </w:t>
      </w:r>
      <w:r>
        <w:rPr>
          <w:color w:val="000000"/>
        </w:rPr>
        <w:t xml:space="preserve">основном школом или основним образовањем износи </w:t>
      </w:r>
      <w:r>
        <w:rPr>
          <w:color w:val="000000"/>
        </w:rPr>
        <w:lastRenderedPageBreak/>
        <w:t>21,2%. Посматрано по занимањима највећи платни јаз је у следећим занимањима: занатлије (23,8%), стручњаци и уметници (19%), инжењери, стручни сарадници и техничари (19,3%), и у једноставним занимањима (15,45%</w:t>
      </w:r>
      <w:r>
        <w:rPr>
          <w:color w:val="000000"/>
        </w:rPr>
        <w:t>). Посматрано по годинама старости најдубљи платни јаз је за жене од 30–49 година. Чак и међу младим женама и мушкарцима од 15–29 година присутан је платни јаз од 4,6%.</w:t>
      </w:r>
    </w:p>
    <w:p w:rsidR="00BC3CE6" w:rsidRDefault="009A2DE5">
      <w:pPr>
        <w:spacing w:after="150"/>
      </w:pPr>
      <w:r>
        <w:rPr>
          <w:color w:val="000000"/>
        </w:rPr>
        <w:t>Просечна годишња зарада жена износила је 2018. године 917.000 РСД, а просечна годишња з</w:t>
      </w:r>
      <w:r>
        <w:rPr>
          <w:color w:val="000000"/>
        </w:rPr>
        <w:t xml:space="preserve">арада мушкараца 1.008.000 РСД, што чини 9% платног јаза у корист мушкараца. Међутим, медијана годишње зараде износи 752.000 РСД за жене и 779.000 РСД за мушкарце па је за 50% жена и мушкараца разлика 3%. Посматрано по секторима делатности најнижа просечна </w:t>
      </w:r>
      <w:r>
        <w:rPr>
          <w:color w:val="000000"/>
        </w:rPr>
        <w:t>годишња зарада је у три сектора: услуге смештаја и хране (662.000 РСД за жене и 785.000 РСД за мушкарце), административне и помоћне услужне делатности (722.000 РСД за жене и 863.000 РСД за мушкарце) и трговина на велико и мало (735.000 РСД за жене и 848.00</w:t>
      </w:r>
      <w:r>
        <w:rPr>
          <w:color w:val="000000"/>
        </w:rPr>
        <w:t xml:space="preserve">0 РСД за мушкарце). Највиша просечна годишња зарада је у следећа три сектора: финансијске делатности (1.588.000 РСД за жене и 2.011.000 РСД за мушкарце) па је платни јаз овде чак 21%, снабдевање електричном енергијом (1.474.000 РСД за жене и 1.600.000 РСД </w:t>
      </w:r>
      <w:r>
        <w:rPr>
          <w:color w:val="000000"/>
        </w:rPr>
        <w:t>мушкарци), а платни јаз 8%, и стручне, научне и техничке делатности (1.306.000 РСД за жене, и 1.471.000 РСД за мушкарце), а платни јаз је 11%. Жене су мање плаћене и у сектору образовања (платни јаз 13%) и здравственој и социјалној заштити (15%). У сектору</w:t>
      </w:r>
      <w:r>
        <w:rPr>
          <w:color w:val="000000"/>
        </w:rPr>
        <w:t xml:space="preserve"> државна управа, одбрана и обавезно социјално осигурање просечна годишња зарада је 2018. године износила 1.060.000 РСД за жене и 1.055.000 РСД за мушкарце, па је ту платни јаз 1% у корист жена. Међутим ако се погледа медијана годишње зараде види се да пост</w:t>
      </w:r>
      <w:r>
        <w:rPr>
          <w:color w:val="000000"/>
        </w:rPr>
        <w:t>оји разлика од 5% у корист мушкараца.</w:t>
      </w:r>
    </w:p>
    <w:p w:rsidR="00BC3CE6" w:rsidRDefault="009A2DE5">
      <w:pPr>
        <w:spacing w:after="150"/>
      </w:pPr>
      <w:r>
        <w:rPr>
          <w:color w:val="000000"/>
        </w:rPr>
        <w:t>Када су у питању пензије, у 2019. години у свим категоријама просечна старосна пензија жена нижа је за 20% и 16% код инвалидских пензија. Платни јаз постоји и у односу на врсту пензије. Најниже просечне пензије у номин</w:t>
      </w:r>
      <w:r>
        <w:rPr>
          <w:color w:val="000000"/>
        </w:rPr>
        <w:t>алној вредности имају корисници/це пољопривредних пензија (11.567 РСД месечно жене и 12.623 РСД мушкарци) што је 45% просечне пензије за жене, или 47% просечне пензије за мушкарце.</w:t>
      </w:r>
    </w:p>
    <w:p w:rsidR="00BC3CE6" w:rsidRDefault="009A2DE5">
      <w:pPr>
        <w:spacing w:after="150"/>
      </w:pPr>
      <w:r>
        <w:rPr>
          <w:color w:val="000000"/>
        </w:rPr>
        <w:t>Активност и неактивност. Родни јаз у стопи активности износи (13,6). Посмат</w:t>
      </w:r>
      <w:r>
        <w:rPr>
          <w:color w:val="000000"/>
        </w:rPr>
        <w:t>рано према полу у радно способном становништву жене имају нижу стопу активности на тржишту рада 61,3% (мушкарци 74,9%). Ове су стопе, међутим, различите ако се погледа и степен образовања. Тако, најнижу стопу активности имају жене без школе 6% (мушкарци 16</w:t>
      </w:r>
      <w:r>
        <w:rPr>
          <w:color w:val="000000"/>
        </w:rPr>
        <w:t>,6%), жене са нижим образовањем 25,5% (мушкарци 45,1%), жене са средњим образовањем 51,9% (мушкарци 67,6%), док је код жена са високим образовањем стопа активности виша него код мушкараца и износи 72,3% (мушкарци 71%). Посматрано по годинама старости, најв</w:t>
      </w:r>
      <w:r>
        <w:rPr>
          <w:color w:val="000000"/>
        </w:rPr>
        <w:t xml:space="preserve">ишу стопу активности имају жене и мушкарци 25–54 и она за жене износи 77,8%, а за мушкарце 88,5%. У периоду од 2015–2019. године, стопа активности жена </w:t>
      </w:r>
      <w:r>
        <w:rPr>
          <w:color w:val="000000"/>
        </w:rPr>
        <w:lastRenderedPageBreak/>
        <w:t xml:space="preserve">повећала се за 5,7 процентних поена. На побољшање перформанси жена на тржишту рада, пре свега у погледу </w:t>
      </w:r>
      <w:r>
        <w:rPr>
          <w:color w:val="000000"/>
        </w:rPr>
        <w:t>активности и запослености, дошло је и услед институционалних промена. Најнепосреднији утицај на активност жена на тржишту рада имала је законска измена у временској граници за остваривање права на пензију, али и увођење пенала за одлазак у превремену пензи</w:t>
      </w:r>
      <w:r>
        <w:rPr>
          <w:color w:val="000000"/>
        </w:rPr>
        <w:t>ју. Континуирано повећање старосне границе за одлазак у пензију несумњиво је повећавало активност и запосленост жена продуживши, вољно или невољно, везаност кохорти старијих жена за тржиште рада.</w:t>
      </w:r>
    </w:p>
    <w:p w:rsidR="00BC3CE6" w:rsidRDefault="009A2DE5">
      <w:pPr>
        <w:spacing w:after="150"/>
      </w:pPr>
      <w:r>
        <w:rPr>
          <w:color w:val="000000"/>
        </w:rPr>
        <w:t>План да се до 2032. године изједначи одлазак у пензију за же</w:t>
      </w:r>
      <w:r>
        <w:rPr>
          <w:color w:val="000000"/>
        </w:rPr>
        <w:t>не и мушкарце, не прати и одговарајућа редистрибуција неплаћеног рада, а којим су жене још увек више оптерећене, а што је била до сада нека врста компензације и разлог за разлике које су до сада постојале код пензионисања. С тим у вези, потребно је извршит</w:t>
      </w:r>
      <w:r>
        <w:rPr>
          <w:color w:val="000000"/>
        </w:rPr>
        <w:t>и прилагођавања у пензионом систему и предвидети повећање додатка на осигурање стажа жена све док се терет неплаћеног рада не изједначи.</w:t>
      </w:r>
    </w:p>
    <w:p w:rsidR="00BC3CE6" w:rsidRDefault="009A2DE5">
      <w:pPr>
        <w:spacing w:after="150"/>
      </w:pPr>
      <w:r>
        <w:rPr>
          <w:color w:val="000000"/>
        </w:rPr>
        <w:t>Родни јаз у стопи неактивности износи (13,6). У 2019. години стопа неактивности износила је 25,1% за мушкарце и 38,7% з</w:t>
      </w:r>
      <w:r>
        <w:rPr>
          <w:color w:val="000000"/>
        </w:rPr>
        <w:t>а жене.</w:t>
      </w:r>
    </w:p>
    <w:p w:rsidR="00BC3CE6" w:rsidRDefault="009A2DE5">
      <w:pPr>
        <w:spacing w:after="150"/>
      </w:pPr>
      <w:r>
        <w:rPr>
          <w:color w:val="000000"/>
        </w:rPr>
        <w:t>Запосленост. Родни јаз у запослености износи (12,8).</w:t>
      </w:r>
    </w:p>
    <w:p w:rsidR="00BC3CE6" w:rsidRDefault="009A2DE5">
      <w:pPr>
        <w:spacing w:after="150"/>
      </w:pPr>
      <w:r>
        <w:rPr>
          <w:color w:val="000000"/>
        </w:rPr>
        <w:t>Посматрано према радном статусу у старосној групи 15–64 година запослено је 54,3% жена и 67,1% мушкараца. Посматрано по годинама старости, у групи 25–54 година међу запосленима било је 69,1% жена</w:t>
      </w:r>
      <w:r>
        <w:rPr>
          <w:color w:val="000000"/>
        </w:rPr>
        <w:t xml:space="preserve"> и 79,9% мушкараца. Код младих у старосној групи 15–24 година међу запосленима је 15,9% девојака и 26,7% младића. У групи преко 55 година међу запосленима било је 20,5% жена и 36,5% мушкараца. Запосленост према сектору делатности у 2019. години показује да</w:t>
      </w:r>
      <w:r>
        <w:rPr>
          <w:color w:val="000000"/>
        </w:rPr>
        <w:t xml:space="preserve"> су жене биле запослене у секторима услуга (74,9%), индустрије (22,6%), пољопривреде (1,5%) и грађевине (1%). У истом периоду, мушкарци су били запослени у секторима услуга (53,1%), индустрије (34,8%), грађевине (8,1%), и пољопривреде (4%). У државном сект</w:t>
      </w:r>
      <w:r>
        <w:rPr>
          <w:color w:val="000000"/>
        </w:rPr>
        <w:t>ору жене чине већину (53%) у односу на мушкарце (47%).</w:t>
      </w:r>
    </w:p>
    <w:p w:rsidR="00BC3CE6" w:rsidRDefault="009A2DE5">
      <w:pPr>
        <w:spacing w:after="150"/>
      </w:pPr>
      <w:r>
        <w:rPr>
          <w:color w:val="000000"/>
        </w:rPr>
        <w:t>Посматрано према занимању жене чине већину запослених у услужним и трговачким занимањима (57%), међу инжењерима, стручним сарадницима и техничарима (53%), стручњацима и уметницима (59%), као и админист</w:t>
      </w:r>
      <w:r>
        <w:rPr>
          <w:color w:val="000000"/>
        </w:rPr>
        <w:t>ративним службеницима (60%), а у једноставним занимањима чине половину запослених. Мушкарци су већина међу руководиоцима (директорима), функционерима и законодавцима (67%), руковаоцима машина (78%), пољопривредницима (58%), и међу занатлијама (83%).</w:t>
      </w:r>
    </w:p>
    <w:p w:rsidR="00BC3CE6" w:rsidRDefault="009A2DE5">
      <w:pPr>
        <w:spacing w:after="150"/>
      </w:pPr>
      <w:r>
        <w:rPr>
          <w:color w:val="000000"/>
        </w:rPr>
        <w:t>Посмат</w:t>
      </w:r>
      <w:r>
        <w:rPr>
          <w:color w:val="000000"/>
        </w:rPr>
        <w:t>рано по дужини радног времена међу запосленима који раде са непуним радним временом жене чине већину (50%–62%) у свим старосним групама. Најчешћи разлози због којих раде непуно радно време су брига о деци, или неспособним старијим лицима (87%), породични и</w:t>
      </w:r>
      <w:r>
        <w:rPr>
          <w:color w:val="000000"/>
        </w:rPr>
        <w:t xml:space="preserve">ли лични </w:t>
      </w:r>
      <w:r>
        <w:rPr>
          <w:color w:val="000000"/>
        </w:rPr>
        <w:lastRenderedPageBreak/>
        <w:t>разлози (61%), болест или инвалидитет (51%). Најчешћи разлози због којих мушкарци раде са непуним радним временом су немогућност налажења посла с пуним радним временом (62%), школовање или обука (61%) и остали разлози (54%).</w:t>
      </w:r>
    </w:p>
    <w:p w:rsidR="00BC3CE6" w:rsidRDefault="009A2DE5">
      <w:pPr>
        <w:spacing w:after="150"/>
      </w:pPr>
      <w:r>
        <w:rPr>
          <w:color w:val="000000"/>
        </w:rPr>
        <w:t>У укупној запослености</w:t>
      </w:r>
      <w:r>
        <w:rPr>
          <w:color w:val="000000"/>
        </w:rPr>
        <w:t xml:space="preserve"> неформална запосленост износи 5,8% за жене и 10,2% за мушкарце. Међу неформално запосленима у старосној групи 15–64 година је 36% жена и 64% мушкараца. Највећи проценат неформално запослених жена је у старосној групи преко 55 година (41,8%), док је највећ</w:t>
      </w:r>
      <w:r>
        <w:rPr>
          <w:color w:val="000000"/>
        </w:rPr>
        <w:t>и проценат неформално запослених мушкараца међу младима од 15–24 године старости (69%). Посматрано према радном статусу у старосној групи 15–64 године самозапослено је 31% жена и 69% мушкараца. Приближно је и у другим старосним групама, осим код младих 15–</w:t>
      </w:r>
      <w:r>
        <w:rPr>
          <w:color w:val="000000"/>
        </w:rPr>
        <w:t xml:space="preserve">24 године, у којој је проценат самозапослених младића 78% према 22% девојака. Жене су самозапослене највише у сектору услуга (64,6%) и сектору пољопривреде (30,1%), док је индустрија на трећем месту (4,8%). Мушкарци су самозапослени у сектору пољопривреде </w:t>
      </w:r>
      <w:r>
        <w:rPr>
          <w:color w:val="000000"/>
        </w:rPr>
        <w:t>(43,7%), сектору услуга (40,4%), сектору грађевине (8,2%) и индустрији (7,7%).</w:t>
      </w:r>
    </w:p>
    <w:p w:rsidR="00BC3CE6" w:rsidRDefault="009A2DE5">
      <w:pPr>
        <w:spacing w:after="150"/>
      </w:pPr>
      <w:r>
        <w:rPr>
          <w:color w:val="000000"/>
        </w:rPr>
        <w:t>Жене су више него мушкарци самозапослене у нерегеристровним предузећима односно тзв. неформалној економији (44,4% жена према 34,1% мушкараца).</w:t>
      </w:r>
    </w:p>
    <w:p w:rsidR="00BC3CE6" w:rsidRDefault="009A2DE5">
      <w:pPr>
        <w:spacing w:after="150"/>
      </w:pPr>
      <w:r>
        <w:rPr>
          <w:color w:val="000000"/>
        </w:rPr>
        <w:t>Незапосленост. Родни јаз у стопи н</w:t>
      </w:r>
      <w:r>
        <w:rPr>
          <w:color w:val="000000"/>
        </w:rPr>
        <w:t>езапослености износи (–1,1).</w:t>
      </w:r>
    </w:p>
    <w:p w:rsidR="00BC3CE6" w:rsidRDefault="009A2DE5">
      <w:pPr>
        <w:spacing w:after="150"/>
      </w:pPr>
      <w:r>
        <w:rPr>
          <w:color w:val="000000"/>
        </w:rPr>
        <w:t>Стопа незапослености у 2019. години износила је 11,5% за жене, и 10.4% за мушкарце. Код укупне регистроване незапослености од 529.508 незапослених у 2019. години 54,2% биле у жене и 45,8% мушкарци. Број незапослених жена на еви</w:t>
      </w:r>
      <w:r>
        <w:rPr>
          <w:color w:val="000000"/>
        </w:rPr>
        <w:t>денцији НСЗ у 2019. години износио је око 287.000 лица, што је мање за око 93.000 (24,6%) у односу на период 2015–2019. године. Иако се број незапослених жена на евиденцији смањио током посматраног периода, учешће незапослених жена у укупном броју незапосл</w:t>
      </w:r>
      <w:r>
        <w:rPr>
          <w:color w:val="000000"/>
        </w:rPr>
        <w:t>ених лица се повећало за 3% (са 51,2% у 2015. на 54,2% у 2019. години). Разлог повећања учешћа жена је то што се незапосленост мушкараца у посматраном периоду смањила (за око 120.000 лица или 33,1%) више него незапосленост жена. Стопа незапослености младих</w:t>
      </w:r>
      <w:r>
        <w:rPr>
          <w:color w:val="000000"/>
        </w:rPr>
        <w:t xml:space="preserve"> жена (15–29 година) износила је 37,4% у 2015. години (виша за 5 п.п. од стопе незапослености младих мушкараца). У периоду 2015–2019. године младе жене су поправиле свој релативан положај на тржишту рада, па је стопа њихове незапослености опала за чак 14,9</w:t>
      </w:r>
      <w:r>
        <w:rPr>
          <w:color w:val="000000"/>
        </w:rPr>
        <w:t xml:space="preserve"> п.п. чиме је родни јаз смањен на 1,7 п.п. у 2019. години (са 5 п.п. колико је износио у 2015. години). И према стопи запослености младе жене су поправиле свој положај, па је стопа запослености повећана за 6,1 п.п. у поменутом периоду, али то није било дов</w:t>
      </w:r>
      <w:r>
        <w:rPr>
          <w:color w:val="000000"/>
        </w:rPr>
        <w:t>ољно да се смањи родни јаз, јер је запосленост младих мушкараца расла брже (за 7,2 п.п.). У односу на своје вршњаке, младе жене имају веће потешкоће са активацијом на тржишту рада, с обзиром на то да њихова стопа активности износи 40,1% у 2019. години (ниж</w:t>
      </w:r>
      <w:r>
        <w:rPr>
          <w:color w:val="000000"/>
        </w:rPr>
        <w:t xml:space="preserve">а за 13,4 п.п. од стопе </w:t>
      </w:r>
      <w:r>
        <w:rPr>
          <w:color w:val="000000"/>
        </w:rPr>
        <w:lastRenderedPageBreak/>
        <w:t>активности младих мушкараца) и није се мењала током посматраног периода.</w:t>
      </w:r>
    </w:p>
    <w:p w:rsidR="00BC3CE6" w:rsidRDefault="009A2DE5">
      <w:pPr>
        <w:spacing w:after="150"/>
      </w:pPr>
      <w:r>
        <w:rPr>
          <w:color w:val="000000"/>
        </w:rPr>
        <w:t xml:space="preserve">Подаци о незапослености особа са инвалидитетом показују да је у 2020. години на евиденцији НСЗ било 12.528 незапослених, активних у тражењу посла, од којих су </w:t>
      </w:r>
      <w:r>
        <w:rPr>
          <w:color w:val="000000"/>
        </w:rPr>
        <w:t>42,6% жене. Према нивоу образовања 54,7% има завршену средњу школу, 38,8% су лица без завршене средње школе, а само 6,6% незапослених особа са инвалидитетом има високо образовање. Према годинама старости, 46,7% незапослених особа са инвалидитетом има 50 ил</w:t>
      </w:r>
      <w:r>
        <w:rPr>
          <w:color w:val="000000"/>
        </w:rPr>
        <w:t>и више година, 41,8% је између 30–49 година, а 11,6% су млади до 30 година. Дуже од 12 месеци посао тражи 76,4% незапослених особа са инвалидитетом, а њих 61,9% посао тражи дуже од две године. Неповољна образовна и старосна структура, као и високо учешће у</w:t>
      </w:r>
      <w:r>
        <w:rPr>
          <w:color w:val="000000"/>
        </w:rPr>
        <w:t xml:space="preserve"> дугорочној незапослености, карактеристике су незапослених особа са инвалидитетом.</w:t>
      </w:r>
    </w:p>
    <w:p w:rsidR="00BC3CE6" w:rsidRDefault="009A2DE5">
      <w:pPr>
        <w:spacing w:after="150"/>
      </w:pPr>
      <w:r>
        <w:rPr>
          <w:color w:val="000000"/>
        </w:rPr>
        <w:t xml:space="preserve">Када су у питању Роми и Ромкиње као једне од рањивих група подаци за 2020. годину, показују да се на евиденцији НСЗ налази 27.595 незапослених Рома, од којих су 50,2% жене. </w:t>
      </w:r>
      <w:r>
        <w:rPr>
          <w:color w:val="000000"/>
        </w:rPr>
        <w:t xml:space="preserve">Високо учешће лица без квалификација и нискоквалификованих од 89,5% главно је обележје образовне структуре ове групе незапослених. Средњи ниво образовања има 10%, а високо образовање свега 0,6% Ромкиња. У структури незапослених посматрано и према годинама </w:t>
      </w:r>
      <w:r>
        <w:rPr>
          <w:color w:val="000000"/>
        </w:rPr>
        <w:t>старости 28,3% су млади до 30 година, 48,6% су лица од 30–49 година, док 23,1% има 50 или више година. Дугорочна незапосленост Рома и Ромкиња на евиденцији НСЗ је 68,4%, а у веома дугој незапослености налази се 53,7% ових лица.</w:t>
      </w:r>
    </w:p>
    <w:p w:rsidR="00BC3CE6" w:rsidRDefault="009A2DE5">
      <w:pPr>
        <w:spacing w:after="120"/>
        <w:jc w:val="center"/>
      </w:pPr>
      <w:r>
        <w:rPr>
          <w:color w:val="000000"/>
        </w:rPr>
        <w:t>5.1.1.3. Предузетништво жена</w:t>
      </w:r>
    </w:p>
    <w:p w:rsidR="00BC3CE6" w:rsidRDefault="009A2DE5">
      <w:pPr>
        <w:spacing w:after="150"/>
      </w:pPr>
      <w:r>
        <w:rPr>
          <w:color w:val="000000"/>
        </w:rPr>
        <w:t xml:space="preserve">Стратегије за подршку развоја малих и средњих предузећа, предузетништва и конкурентности за период од 2015. до 2020. године (ММСП) и Национална стратегија за родну равноправност (2016–2020) препознале су значај интервенција у затварању родног јаза у </w:t>
      </w:r>
      <w:r>
        <w:rPr>
          <w:color w:val="000000"/>
        </w:rPr>
        <w:t>економији, укључујући развој предузетништва. Недовољно је учињено на системском родно одговорном планирању политика и програма за развој предузетништва. Годишњи извештаји о стању ММСП немају исказане податке о предузетништву жена па нема података како посл</w:t>
      </w:r>
      <w:r>
        <w:rPr>
          <w:color w:val="000000"/>
        </w:rPr>
        <w:t xml:space="preserve">ују предузећа у односу на пол власника, а не постоји ни јавно доступан извештај о напретку у односу на примену Стратегије за ММСП и њен стуб број 6. који се односи на предузетништво жена. И даље не постоји системска родна статистика о предузетништву жена. </w:t>
      </w:r>
      <w:r>
        <w:rPr>
          <w:color w:val="000000"/>
        </w:rPr>
        <w:t>Потребно је учинити више, посебно када је реч о различитим регистрима, а посебно оним при Агенцији за привредне регистре.</w:t>
      </w:r>
    </w:p>
    <w:p w:rsidR="00BC3CE6" w:rsidRDefault="009A2DE5">
      <w:pPr>
        <w:spacing w:after="150"/>
      </w:pPr>
      <w:r>
        <w:rPr>
          <w:color w:val="000000"/>
        </w:rPr>
        <w:t>Одређени напредак постигнут је као резултат процеса родно одговорног буџетирања у РЗС, уз увођење нових родних индикатора у пословну с</w:t>
      </w:r>
      <w:r>
        <w:rPr>
          <w:color w:val="000000"/>
        </w:rPr>
        <w:t>татистику. Напредак је постигнут и код Канцеларије за јавне набавке (КЈН) која је од 2020. године почела да прати учешће предузећа у власништву жена у укупном броју закључених уговора или оквирних споразума кроз поступке јавних набавки на годишњем нивоу. У</w:t>
      </w:r>
      <w:r>
        <w:rPr>
          <w:color w:val="000000"/>
        </w:rPr>
        <w:t xml:space="preserve"> Извештају о учинку за 2020. </w:t>
      </w:r>
      <w:r>
        <w:rPr>
          <w:color w:val="000000"/>
        </w:rPr>
        <w:lastRenderedPageBreak/>
        <w:t>годину КЈН наводи да је тај проценат износио 23% што је 8% више од процене. За сада најпоузданија процена о учешћу жена у бизнису 31,7% приказана је у истраживању о положају жене у пословном сектору у Републици Србији (Бабовић,</w:t>
      </w:r>
      <w:r>
        <w:rPr>
          <w:color w:val="000000"/>
        </w:rPr>
        <w:t xml:space="preserve"> 2014), која разликује учешће жена у предузећима (24%) и међу регистрованим предузетницима (32%)</w:t>
      </w:r>
      <w:r>
        <w:rPr>
          <w:color w:val="000000"/>
          <w:vertAlign w:val="superscript"/>
        </w:rPr>
        <w:t>372</w:t>
      </w:r>
      <w:r>
        <w:rPr>
          <w:color w:val="000000"/>
        </w:rPr>
        <w:t>.</w:t>
      </w:r>
    </w:p>
    <w:p w:rsidR="00BC3CE6" w:rsidRDefault="009A2DE5">
      <w:pPr>
        <w:spacing w:after="150"/>
      </w:pPr>
      <w:r>
        <w:rPr>
          <w:color w:val="000000"/>
        </w:rPr>
        <w:t>На успешност предузетништва као важног аспекта економске активности утиче више фактора: приступ финансијама, афирмативно и повољно пословно окружење, култу</w:t>
      </w:r>
      <w:r>
        <w:rPr>
          <w:color w:val="000000"/>
        </w:rPr>
        <w:t>ролошке баријере, избор и врста бизниса и сектора, приступ информацијама и обукама, пословни контакти и приступ мрежама за социјалну подршку, сегрегација по полу у образовању и двоструки терет кућних обавеза и одговорности на радном месту (усклађивање посл</w:t>
      </w:r>
      <w:r>
        <w:rPr>
          <w:color w:val="000000"/>
        </w:rPr>
        <w:t>а, приватног и породичног живота). Ови фактори могу бити изазов и за жене и мушкарце, али чињенице указују на то да су баријере са којима суочавају жене предузетнице често знатно веће, јер теже приступају кредитима, финансијама и капиталу, имају мање могућ</w:t>
      </w:r>
      <w:r>
        <w:rPr>
          <w:color w:val="000000"/>
        </w:rPr>
        <w:t xml:space="preserve">ности за умрежавање, присутна је родна сегреација у образовању, теже усклађују рад, приватни и породични живот и често отежано послују услед предрасуда и стереотипа о женама у бизнису, а нема развијених мера које би системски отклањале ове баријере. То је </w:t>
      </w:r>
      <w:r>
        <w:rPr>
          <w:color w:val="000000"/>
        </w:rPr>
        <w:t>препознато у Стратегији за ММСП, где је наведено да „иако је већина ових тешкоћа заједничка за оба пола, постоји посебан утицај на предузетнице које су условљене избором сектора, родном дискриминацијом и постојањем стереотипа, недовољно развијеном и нефлек</w:t>
      </w:r>
      <w:r>
        <w:rPr>
          <w:color w:val="000000"/>
        </w:rPr>
        <w:t>сибилном бригом о деци, потешкоћама у усклађивању породичних, приватних и радних обавеза, или разлика у ставовима жена и мушкараца према предузетништву. Жене такође имају мање имовине и непокретности уписаних на своје име, а што им отежава приступ финансиј</w:t>
      </w:r>
      <w:r>
        <w:rPr>
          <w:color w:val="000000"/>
        </w:rPr>
        <w:t>ама.”</w:t>
      </w:r>
      <w:r>
        <w:rPr>
          <w:color w:val="000000"/>
          <w:vertAlign w:val="superscript"/>
        </w:rPr>
        <w:t>373</w:t>
      </w:r>
      <w:r>
        <w:rPr>
          <w:color w:val="000000"/>
        </w:rPr>
        <w:t xml:space="preserve"> Развијање одговарајућих мера да се одговори на те изазове важни су за наредни период.</w:t>
      </w:r>
    </w:p>
    <w:p w:rsidR="00BC3CE6" w:rsidRDefault="009A2DE5">
      <w:pPr>
        <w:spacing w:after="150"/>
      </w:pPr>
      <w:r>
        <w:rPr>
          <w:color w:val="000000"/>
        </w:rPr>
        <w:t>У оквиру РОБ-а, Републички геодетски завод (РГЗ) је унапредио родну статистику својих евиденција о непокретностима. Према доступним подацима у 2019. години 25% н</w:t>
      </w:r>
      <w:r>
        <w:rPr>
          <w:color w:val="000000"/>
        </w:rPr>
        <w:t>епокретности је у искључивом власништву жена, 65% у искључивом власништву мушкарца и 10% су у заједничком власништву. Министарство привреде је известило</w:t>
      </w:r>
      <w:r>
        <w:rPr>
          <w:color w:val="000000"/>
          <w:vertAlign w:val="superscript"/>
        </w:rPr>
        <w:t>374</w:t>
      </w:r>
      <w:r>
        <w:rPr>
          <w:color w:val="000000"/>
        </w:rPr>
        <w:t xml:space="preserve"> да је у 2020. години за започињање пословања подржано 251 пословних субјеката од чега су 100 или 39.</w:t>
      </w:r>
      <w:r>
        <w:rPr>
          <w:color w:val="000000"/>
        </w:rPr>
        <w:t>8% жене.</w:t>
      </w:r>
      <w:r>
        <w:rPr>
          <w:color w:val="000000"/>
          <w:vertAlign w:val="superscript"/>
        </w:rPr>
        <w:t>375</w:t>
      </w:r>
    </w:p>
    <w:p w:rsidR="00BC3CE6" w:rsidRDefault="009A2DE5">
      <w:pPr>
        <w:spacing w:after="150"/>
      </w:pPr>
      <w:r>
        <w:rPr>
          <w:color w:val="000000"/>
        </w:rPr>
        <w:t>У 2019. години спроведено је неколико родних анализа</w:t>
      </w:r>
      <w:r>
        <w:rPr>
          <w:color w:val="000000"/>
          <w:vertAlign w:val="superscript"/>
        </w:rPr>
        <w:t>376</w:t>
      </w:r>
      <w:r>
        <w:rPr>
          <w:color w:val="000000"/>
        </w:rPr>
        <w:t xml:space="preserve"> програма подршке предузетништву у Републици Србији које су указале на кључне препреке за жене у коришћењу постојећих мера за подршку предузетништву, између осталог, и због тога што је подр</w:t>
      </w:r>
      <w:r>
        <w:rPr>
          <w:color w:val="000000"/>
        </w:rPr>
        <w:t>шка предузетништву у Републици Србији које су указале на кључне препреке за жене у коришћењу постојећих мера усмерена на секторе у којима је мање учешће предузетница, док је највећи део подршке усмерен на производњу у секторима у којој су предузећа у власн</w:t>
      </w:r>
      <w:r>
        <w:rPr>
          <w:color w:val="000000"/>
        </w:rPr>
        <w:t xml:space="preserve">иштву жена мање заступљена. Нема континуираних циљаних мера подршке женама за укључивање у иновативне делатности, брзо растуће </w:t>
      </w:r>
      <w:r>
        <w:rPr>
          <w:color w:val="000000"/>
        </w:rPr>
        <w:lastRenderedPageBreak/>
        <w:t>бизнисе, зелену и циркуларну економију које би омогућиле укључивање жена и превазилажење родно условљених препрека. Родна aнализа</w:t>
      </w:r>
      <w:r>
        <w:rPr>
          <w:color w:val="000000"/>
        </w:rPr>
        <w:t xml:space="preserve"> програма спроведених 2018. године преко Развојне агенције Србије указују да је удео жена у програмима подршке предузетништву (22,7% и 17,9%) био испод нивоа њиховог учешћа у укупној економији (31,7 %). Кључни покретач „посредне дискриминације” који је дов</w:t>
      </w:r>
      <w:r>
        <w:rPr>
          <w:color w:val="000000"/>
        </w:rPr>
        <w:t>ео до мањег учешћа бизниса у власништву жена у програмима јесте то што је предност дата производним и прерађивачким активностима, тј. секторима у којима је учешће жена традиционално испод нивоа за остале секторске економије. Основни подаци за програме чест</w:t>
      </w:r>
      <w:r>
        <w:rPr>
          <w:color w:val="000000"/>
        </w:rPr>
        <w:t>о нису доступни по полу, што отежава њихову родну анализу, а недостатак података у тренутку покретања новог програма онемогућава унапређење програма из угла родне равноправности. То је отежало и родно одговорно планирање мера током пандемије. Родна анализа</w:t>
      </w:r>
      <w:r>
        <w:rPr>
          <w:color w:val="000000"/>
        </w:rPr>
        <w:t xml:space="preserve"> буџетских реалокација у 2020. години која укључује и промене у буџету министарства привреде чији се буџет у 2020. години увећао за 695%, а за потребе одговора на кризу изазвану пандемијом COVID-19, показала је да је брза реакција погодовала посебно ММСП с</w:t>
      </w:r>
      <w:r>
        <w:rPr>
          <w:color w:val="000000"/>
        </w:rPr>
        <w:t>ектору, да је обухват био широк што је погодовало и предузетницама, али и онима који обично нису обухваћени, а посебно жене на селу, Ромкиње, пољопривреднице и велики број сезонских радника и радница као и ангажованих у неформалној економији. Анализа је по</w:t>
      </w:r>
      <w:r>
        <w:rPr>
          <w:color w:val="000000"/>
        </w:rPr>
        <w:t>казала да је у првој години пандемије изостао фокус на посебно погођене услужне секторе којима је била потребна много шира подршка, а у којем је ангажован велики број жена, као и да је већина мера била родно недовољно осетљива.</w:t>
      </w:r>
    </w:p>
    <w:p w:rsidR="00BC3CE6" w:rsidRDefault="009A2DE5">
      <w:pPr>
        <w:spacing w:after="150"/>
      </w:pPr>
      <w:r>
        <w:rPr>
          <w:color w:val="000000"/>
        </w:rPr>
        <w:t>Водећа препорука из родне ан</w:t>
      </w:r>
      <w:r>
        <w:rPr>
          <w:color w:val="000000"/>
        </w:rPr>
        <w:t>ализе је неопходност родно одговорног економског опоравка привреде од пандемије кроз унапређење мера из угла родне равноправности и увођење комплементарних додатних мера за подршку предузетништву жена.</w:t>
      </w:r>
    </w:p>
    <w:p w:rsidR="00BC3CE6" w:rsidRDefault="009A2DE5">
      <w:pPr>
        <w:spacing w:after="120"/>
        <w:jc w:val="center"/>
      </w:pPr>
      <w:r>
        <w:rPr>
          <w:color w:val="000000"/>
        </w:rPr>
        <w:t>5.1.1.4. Подршка иновацијама и учешће жена</w:t>
      </w:r>
    </w:p>
    <w:p w:rsidR="00BC3CE6" w:rsidRDefault="009A2DE5">
      <w:pPr>
        <w:spacing w:after="150"/>
      </w:pPr>
      <w:r>
        <w:rPr>
          <w:color w:val="000000"/>
        </w:rPr>
        <w:t>Пословне, т</w:t>
      </w:r>
      <w:r>
        <w:rPr>
          <w:color w:val="000000"/>
        </w:rPr>
        <w:t>ехнолошке и друштвене иновације су од великог значаја за развој друштва јер доприносе креирању нових одрживијих радних места, развоју и расту предузећа и предузетништва где се креира нова вредност и где се у предузетништво улази ради шансе на тржишту, а не</w:t>
      </w:r>
      <w:r>
        <w:rPr>
          <w:color w:val="000000"/>
        </w:rPr>
        <w:t xml:space="preserve"> из нужде. Иновације су важне и за традиционалне секторе попут пољопривреде где је нарочито важно да се подстичу. Развој и подршка иновационој делатности уређена је Законом о иновационој делатности. Успостављен је континуирани систем подршке кроз Фонд за и</w:t>
      </w:r>
      <w:r>
        <w:rPr>
          <w:color w:val="000000"/>
        </w:rPr>
        <w:t>новациону делатност (ФИД) и доступне информације о мерама за подршку развоју иновативне привреде. Подржани су научно технолошки паркови и start–up центри. У Закону о јавним набавкама препознат је модел „партнерство за иновације”, чији циљ је развој иновати</w:t>
      </w:r>
      <w:r>
        <w:rPr>
          <w:color w:val="000000"/>
        </w:rPr>
        <w:t>вних добара, услуга или радова и њихову накнадну набавку. Ово је велика промена која омогућава инвестиције у нова иновативна решења и може да допринесе развоју и привреде и друштва. Родна перспектива међутим, није уткана у подршку иновацијама, а посебне ме</w:t>
      </w:r>
      <w:r>
        <w:rPr>
          <w:color w:val="000000"/>
        </w:rPr>
        <w:t xml:space="preserve">ре </w:t>
      </w:r>
      <w:r>
        <w:rPr>
          <w:color w:val="000000"/>
        </w:rPr>
        <w:lastRenderedPageBreak/>
        <w:t>једва да се користе упркос значајним разликама и приступу ресурсима, па је потребно да се надаље циљано, системски и дугорочно подстиче и учешће жена и предузећа у већинском власништву жена у програмима подршке који подстичу иновације у свим секторима д</w:t>
      </w:r>
      <w:r>
        <w:rPr>
          <w:color w:val="000000"/>
        </w:rPr>
        <w:t xml:space="preserve">елатности. Програми који су се спроводили као подршка иновационом предузетништву жена углавном су били </w:t>
      </w:r>
      <w:r>
        <w:rPr>
          <w:i/>
          <w:color w:val="000000"/>
        </w:rPr>
        <w:t>ad hoc</w:t>
      </w:r>
      <w:r>
        <w:rPr>
          <w:color w:val="000000"/>
        </w:rPr>
        <w:t xml:space="preserve"> и са мањим појединачним додељеним износима. За иновације које долазе из непрофитног сектора и укључују и технолошке и друштвено иновативне аспекте</w:t>
      </w:r>
      <w:r>
        <w:rPr>
          <w:color w:val="000000"/>
        </w:rPr>
        <w:t xml:space="preserve"> нема одговарајућих програма. Неопходно је развити инфраструктуру за подршку иновацијама да обухвати различите форме организовања, а које погодују и женама (ОЦД, задруге, регистроване предузетнице). Родна анализа програма ФИД показала је да се новац из буџ</w:t>
      </w:r>
      <w:r>
        <w:rPr>
          <w:color w:val="000000"/>
        </w:rPr>
        <w:t>ета и грантова улаже на начин који продубљује родни јаз. На пример, кроз грант шему фирме у већинском власништву мушкараца добиле су подршку у једној години колико су предузећа у већинском власништву жена добила током пет година. Као одговор на резултате р</w:t>
      </w:r>
      <w:r>
        <w:rPr>
          <w:color w:val="000000"/>
        </w:rPr>
        <w:t>одне анализе ФИД је у својим информативним кампањама почео да води рачуна о обухвату предузећа чије су власнице жене, али је то још далеко од отклањања свих баријера за веће учешће жена. Помак је направљен и у Заводу за заштиту интелектуалне својине који ј</w:t>
      </w:r>
      <w:r>
        <w:rPr>
          <w:color w:val="000000"/>
        </w:rPr>
        <w:t>е на 100-ту годишњицу оснивања Завода припремио монографију Кратак преглед изумитељки ХХ века које су у том заводу заштитиле своје патенте, а у настојању да учини видљивим доприносе жена у овој области. Друштвене иновације у Републици Србији нису препознат</w:t>
      </w:r>
      <w:r>
        <w:rPr>
          <w:color w:val="000000"/>
        </w:rPr>
        <w:t xml:space="preserve">е кроз стратешки и законски оквир нити се подржавају кроз ФИД и недовољно се препознаје значај који у решавању проблема у друштву могу да имају друштвени иноватори и иноваторке ангажовани у привреди али и у ОЦД, задругама, социјалним задругама, социјалним </w:t>
      </w:r>
      <w:r>
        <w:rPr>
          <w:color w:val="000000"/>
        </w:rPr>
        <w:t>предузећима или мултисекторским „хибридним” структурама, а чији је допринос важан за формулисање иновативних решења којима се решавају различити проблеми у друштву. Подршка иновацијама требало би да се усмери и на друге секторе у којима жене чине велику ве</w:t>
      </w:r>
      <w:r>
        <w:rPr>
          <w:color w:val="000000"/>
        </w:rPr>
        <w:t>ћину: образовање, здравље, услуге у области социјалне заштите, посебно у сегменту неге и бриге, а што је поље које вапи за другачијим и одрживијим решењима. Видљив помак је и то што је Тим за социјално укључивање и смањење сиромаштва Владе препознао значај</w:t>
      </w:r>
      <w:r>
        <w:rPr>
          <w:color w:val="000000"/>
        </w:rPr>
        <w:t xml:space="preserve"> друштвених иновација за поспешивање инклузивног развоја, па се од 2016. године спроводи програм раног развоја, пилотирања/тестирања и ширења друштвено иновативних решења у области запошљавања</w:t>
      </w:r>
      <w:r>
        <w:rPr>
          <w:color w:val="000000"/>
          <w:vertAlign w:val="superscript"/>
        </w:rPr>
        <w:t>377</w:t>
      </w:r>
      <w:r>
        <w:rPr>
          <w:color w:val="000000"/>
        </w:rPr>
        <w:t xml:space="preserve"> младих, а посебно младих из осетљивих група, као и у услугам</w:t>
      </w:r>
      <w:r>
        <w:rPr>
          <w:color w:val="000000"/>
        </w:rPr>
        <w:t>а социјалне заштите на локалном нивоу</w:t>
      </w:r>
      <w:r>
        <w:rPr>
          <w:color w:val="000000"/>
          <w:vertAlign w:val="superscript"/>
        </w:rPr>
        <w:t>378</w:t>
      </w:r>
      <w:r>
        <w:rPr>
          <w:color w:val="000000"/>
        </w:rPr>
        <w:t>. Друштвене иновације примењиве су у свим областима и за најразличитије друштвене изазове и представљају добар начин да се одговори на потребе и да се оснаже различите друштвене групе што се већ показало кроз добре р</w:t>
      </w:r>
      <w:r>
        <w:rPr>
          <w:color w:val="000000"/>
        </w:rPr>
        <w:t>езултате посебно у иницијативама за запошљавање и самозапошљавање, а на којима је радио Тим за социјално укључивање и смањење сиромаштва Владе, као и велики број ОЦД.</w:t>
      </w:r>
    </w:p>
    <w:p w:rsidR="00BC3CE6" w:rsidRDefault="009A2DE5">
      <w:pPr>
        <w:spacing w:after="120"/>
        <w:jc w:val="center"/>
      </w:pPr>
      <w:r>
        <w:rPr>
          <w:color w:val="000000"/>
        </w:rPr>
        <w:lastRenderedPageBreak/>
        <w:t>5.1.1.5. Интегрисање родне перспективе у области заштите животне средине, циркуларне и зе</w:t>
      </w:r>
      <w:r>
        <w:rPr>
          <w:color w:val="000000"/>
        </w:rPr>
        <w:t>лене економије, и информационих технологија/дигиталне економије</w:t>
      </w:r>
    </w:p>
    <w:p w:rsidR="00BC3CE6" w:rsidRDefault="009A2DE5">
      <w:pPr>
        <w:spacing w:after="150"/>
      </w:pPr>
      <w:r>
        <w:rPr>
          <w:color w:val="000000"/>
        </w:rPr>
        <w:t>Нови Закон о родној равноправности (члан 42) регулише примену политике једнаких могућности за жене и мушкарце у области заштите животне средине и обавезу интегрисања родне перспективе и овој и</w:t>
      </w:r>
      <w:r>
        <w:rPr>
          <w:color w:val="000000"/>
        </w:rPr>
        <w:t>нтерсекторској области. То је нарочито важно сада када се промовишу нови развојни правци, а који укључују зелену и циркуларну</w:t>
      </w:r>
      <w:r>
        <w:rPr>
          <w:color w:val="000000"/>
          <w:vertAlign w:val="superscript"/>
        </w:rPr>
        <w:t>379</w:t>
      </w:r>
      <w:r>
        <w:rPr>
          <w:color w:val="000000"/>
        </w:rPr>
        <w:t xml:space="preserve"> економију о чему постоји и мапа пута која прецизира активности у том смеру, а које ће бити реализоване у наредном периоду у Реп</w:t>
      </w:r>
      <w:r>
        <w:rPr>
          <w:color w:val="000000"/>
        </w:rPr>
        <w:t>ублици Србији. Прелазак са линеарне на циркуларну економију донеће промене у начину функционисања привреде, као и шансе за отварање нових радних места, развој предузетништва и социјалног предузетништва. Велике промене очекују се као резултат започетих проц</w:t>
      </w:r>
      <w:r>
        <w:rPr>
          <w:color w:val="000000"/>
        </w:rPr>
        <w:t>еса декарбонизације</w:t>
      </w:r>
      <w:r>
        <w:rPr>
          <w:color w:val="000000"/>
          <w:vertAlign w:val="superscript"/>
        </w:rPr>
        <w:t>380</w:t>
      </w:r>
      <w:r>
        <w:rPr>
          <w:color w:val="000000"/>
        </w:rPr>
        <w:t xml:space="preserve"> економије у Европи</w:t>
      </w:r>
      <w:r>
        <w:rPr>
          <w:color w:val="000000"/>
          <w:vertAlign w:val="superscript"/>
        </w:rPr>
        <w:t>381</w:t>
      </w:r>
      <w:r>
        <w:rPr>
          <w:color w:val="000000"/>
        </w:rPr>
        <w:t xml:space="preserve"> и односе се на готово све секторе укључујући и секторе у којима су жене мање заступљене попут енергетике, или попут заштите животне средине, на пример у делу управљања отпадом и отпадним водама, као и управљања </w:t>
      </w:r>
      <w:r>
        <w:rPr>
          <w:color w:val="000000"/>
        </w:rPr>
        <w:t>природним ресурсима. Од великог је значаја да се од почетка осигура равноправно укључивање жена и мушкараца у овај процес, једнак приступ знањима, информацијама и ресурсима како би имали и једнаке шансе услед промена у економији. Стратешки документи који с</w:t>
      </w:r>
      <w:r>
        <w:rPr>
          <w:color w:val="000000"/>
        </w:rPr>
        <w:t>е буду припремали у овој области требало би да укључе и аспект родне равноправности. За повећање шанси у запошљавању и самозапошљавању значајно је и укључивање жена а посебно жена из осетљивих група у дигиталну економију, зелену економију, циркуларну еконо</w:t>
      </w:r>
      <w:r>
        <w:rPr>
          <w:color w:val="000000"/>
        </w:rPr>
        <w:t>мију, као и примену нових технологија, на пример у области рециклаже отпада и третмана отпадних вода. Посебно је важно препознати и досадашње пионирске напоре у сфери циркуларне и зелене економије које долазе из ОЦД сектора, као и улогу које ОЦД имају у ов</w:t>
      </w:r>
      <w:r>
        <w:rPr>
          <w:color w:val="000000"/>
        </w:rPr>
        <w:t>им областима.</w:t>
      </w:r>
    </w:p>
    <w:p w:rsidR="00BC3CE6" w:rsidRDefault="009A2DE5">
      <w:pPr>
        <w:spacing w:after="150"/>
      </w:pPr>
      <w:r>
        <w:rPr>
          <w:color w:val="000000"/>
        </w:rPr>
        <w:t xml:space="preserve">Увођење родне димензије у политике климатских промена такође је посебно важно. Крајем 2019. године припремљен је Нацрт извештаја за успостављање мониторинга родно осетљивог извештавања у област климатских промена, у оквиру кога је припремљен </w:t>
      </w:r>
      <w:r>
        <w:rPr>
          <w:color w:val="000000"/>
        </w:rPr>
        <w:t>Предлог оквира за мониторинг родно осетљивих података у области климатских промена (развијен у оквиру пројекта „Успостављање оквира транспарентности у Републици Србији” који спроводи Министарство заштите животне средине, уз подршку UNDP/GEF), који пружа см</w:t>
      </w:r>
      <w:r>
        <w:rPr>
          <w:color w:val="000000"/>
        </w:rPr>
        <w:t>ернице у којим областима је потребно интегрисати родну димензију и аспекте животне средине и у оквиру њега је идентификовано седам ширих области (приступ ресурсима, учешће у домену доношења одлука, привреда и економија, потрошња и стилови живота, образовањ</w:t>
      </w:r>
      <w:r>
        <w:rPr>
          <w:color w:val="000000"/>
        </w:rPr>
        <w:t>е, здравље и знање, ставови и понашање у вези са животном средином). Све ово ће послужити за финализацију првог Акционог плана за род и климатске промене (Gender Action Plan – GAP) за Републику Србију, према UNFCCC смерницама</w:t>
      </w:r>
      <w:r>
        <w:rPr>
          <w:color w:val="000000"/>
          <w:vertAlign w:val="superscript"/>
        </w:rPr>
        <w:t>382</w:t>
      </w:r>
      <w:r>
        <w:rPr>
          <w:color w:val="000000"/>
        </w:rPr>
        <w:t>.</w:t>
      </w:r>
    </w:p>
    <w:p w:rsidR="00BC3CE6" w:rsidRDefault="009A2DE5">
      <w:pPr>
        <w:spacing w:after="150"/>
      </w:pPr>
      <w:r>
        <w:rPr>
          <w:color w:val="000000"/>
        </w:rPr>
        <w:lastRenderedPageBreak/>
        <w:t>Потребно је наставити акти</w:t>
      </w:r>
      <w:r>
        <w:rPr>
          <w:color w:val="000000"/>
        </w:rPr>
        <w:t>вности на укључивању родног аспекта у области јавних политика управљања хемикалијама, поготово када је реч о изложености POPs хемикалијама, и то не искључиво у смислу токсиколошких анализа него и социо-економских аспеката који детерминишу различиту изложен</w:t>
      </w:r>
      <w:r>
        <w:rPr>
          <w:color w:val="000000"/>
        </w:rPr>
        <w:t>ост мушкараца и жена у Републици Србији. Ово посебно треба нагласити стога што су претходне родно-сензитивне анализе у овој области показале да: мушкарци мање од жена учествују у активностима и институционалним активностима управљања хемикалијама и заштито</w:t>
      </w:r>
      <w:r>
        <w:rPr>
          <w:color w:val="000000"/>
        </w:rPr>
        <w:t>м животне средине; као и да су, међу професионалним корисницима у појединим секторима индустрије, транспорта, безбедности, мушкарци потенцијално изложенији POPs хемикалијама.</w:t>
      </w:r>
    </w:p>
    <w:p w:rsidR="00BC3CE6" w:rsidRDefault="009A2DE5">
      <w:pPr>
        <w:spacing w:after="150"/>
      </w:pPr>
      <w:r>
        <w:rPr>
          <w:color w:val="000000"/>
        </w:rPr>
        <w:t>Родни дисбаланс је високо изражен у технолошком, односно ИКТ сектору, који предст</w:t>
      </w:r>
      <w:r>
        <w:rPr>
          <w:color w:val="000000"/>
        </w:rPr>
        <w:t>авља најбоље перспективе за напредовање и у економском погледу и у погледу учешћа у креирању будућности. Подаци о родној структури указују на доминантно учешће мушкараца у ИКТ сектору, који чине две трећине запослених у целом сектору. У ужој области информ</w:t>
      </w:r>
      <w:r>
        <w:rPr>
          <w:color w:val="000000"/>
        </w:rPr>
        <w:t>ационих технологија мушкарци заузимају чак 70% радних места, односно учешће жена у ИКТ-у је 30%. Процењује се да је мање од 20% жена на менаџерским позицијама, док је мање од 10% жена на лидерској позицији директора фирме.</w:t>
      </w:r>
      <w:r>
        <w:rPr>
          <w:color w:val="000000"/>
          <w:vertAlign w:val="superscript"/>
        </w:rPr>
        <w:t>383</w:t>
      </w:r>
    </w:p>
    <w:p w:rsidR="00BC3CE6" w:rsidRDefault="009A2DE5">
      <w:pPr>
        <w:spacing w:after="150"/>
      </w:pPr>
      <w:r>
        <w:rPr>
          <w:color w:val="000000"/>
        </w:rPr>
        <w:t xml:space="preserve">Резолуција Европског </w:t>
      </w:r>
      <w:r>
        <w:rPr>
          <w:color w:val="000000"/>
        </w:rPr>
        <w:t>парламента од 21. јануара 2021. године о премошћивању дигиталног јаза између полова: учешће жена у дигиталној економији (2019/2168(INI)) наглашава да дигитална транзиција не би смела да запостави никога.</w:t>
      </w:r>
      <w:r>
        <w:rPr>
          <w:color w:val="000000"/>
          <w:vertAlign w:val="superscript"/>
        </w:rPr>
        <w:t>384</w:t>
      </w:r>
    </w:p>
    <w:p w:rsidR="00BC3CE6" w:rsidRDefault="009A2DE5">
      <w:pPr>
        <w:spacing w:after="150"/>
      </w:pPr>
      <w:r>
        <w:rPr>
          <w:color w:val="000000"/>
        </w:rPr>
        <w:t>Стратегијом развоја дигиталних вештина у Републиц</w:t>
      </w:r>
      <w:r>
        <w:rPr>
          <w:color w:val="000000"/>
        </w:rPr>
        <w:t>и Србији за период од 2020. до 2024. године планиране су и активности на афирмацији области ИКТ међу женама и девојчицама, увођењу посебних програма развоја напредних дигиталних вештина за младе жене, жене из руралних подручја и друге рањиве групе, нарочит</w:t>
      </w:r>
      <w:r>
        <w:rPr>
          <w:color w:val="000000"/>
        </w:rPr>
        <w:t>о у срединама у којима је незапосленост или дигитални родни јаз већи, промоција већег укључивања младих, нарочито девојчица и девојака у ИКТ сектор и др.</w:t>
      </w:r>
    </w:p>
    <w:p w:rsidR="00BC3CE6" w:rsidRDefault="009A2DE5">
      <w:pPr>
        <w:spacing w:after="120"/>
        <w:jc w:val="center"/>
      </w:pPr>
      <w:r>
        <w:rPr>
          <w:color w:val="000000"/>
        </w:rPr>
        <w:t>5.1.1.6. Економски положај жена на селу</w:t>
      </w:r>
    </w:p>
    <w:p w:rsidR="00BC3CE6" w:rsidRDefault="009A2DE5">
      <w:pPr>
        <w:spacing w:after="150"/>
      </w:pPr>
      <w:r>
        <w:rPr>
          <w:color w:val="000000"/>
        </w:rPr>
        <w:t xml:space="preserve">На неповољан економски положај жена на селу, а који се огледа </w:t>
      </w:r>
      <w:r>
        <w:rPr>
          <w:color w:val="000000"/>
        </w:rPr>
        <w:t>у мањим шансама за одрживо запошљавање, поред мањег власништва над приватним ресурсима попут земље, обрадивог земљишта и непокретности утиче и неадекватан приступ услугама у заједници које би повећале њихове шансе на тржишту рада (услуге неге и бриге и дец</w:t>
      </w:r>
      <w:r>
        <w:rPr>
          <w:color w:val="000000"/>
        </w:rPr>
        <w:t>и, болеснима и старијима), превоз, приступ информацијама о правима и доступним видовима подршке, приступ информационим технологијама, приступ знањима и програмима доживотног учења који би створили шансе за одрживо запошљавање, самозапошљавање, задругарство</w:t>
      </w:r>
      <w:r>
        <w:rPr>
          <w:color w:val="000000"/>
        </w:rPr>
        <w:t xml:space="preserve"> и социјално предузетништво. Постојећа подршка женама у пољопривреди и у руралном развоју је недовољна и неопходно је да се замени системском подршком која доприноси одрживим </w:t>
      </w:r>
      <w:r>
        <w:rPr>
          <w:color w:val="000000"/>
        </w:rPr>
        <w:lastRenderedPageBreak/>
        <w:t>променама и побољшањем квалитета свакодневног живота на селу. Све мере које се пр</w:t>
      </w:r>
      <w:r>
        <w:rPr>
          <w:color w:val="000000"/>
        </w:rPr>
        <w:t>едлажу за смањење родног јаза у економији у оквиру ове стратегије нарочито треба да укључе и жене из свих старосних група на селу.</w:t>
      </w:r>
    </w:p>
    <w:p w:rsidR="00BC3CE6" w:rsidRDefault="009A2DE5">
      <w:pPr>
        <w:spacing w:after="150"/>
        <w:jc w:val="both"/>
      </w:pPr>
      <w:r>
        <w:rPr>
          <w:i/>
          <w:color w:val="000000"/>
        </w:rPr>
        <w:t>––––––––</w:t>
      </w:r>
    </w:p>
    <w:p w:rsidR="00BC3CE6" w:rsidRDefault="009A2DE5">
      <w:pPr>
        <w:spacing w:after="150"/>
        <w:jc w:val="both"/>
      </w:pPr>
      <w:r>
        <w:rPr>
          <w:i/>
          <w:color w:val="000000"/>
        </w:rPr>
        <w:t>368 Жене са села, жртве насиља, као и групе лица које се због друштвеног порекла, националне припадности, имовног ст</w:t>
      </w:r>
      <w:r>
        <w:rPr>
          <w:i/>
          <w:color w:val="000000"/>
        </w:rPr>
        <w:t>ања, пола, родног идентитета, сексуалне оријентације, старости, психичког и/или физичког инвалидитета, живота у неразвијеном подручју или из другог разлога налазе у неједнаком положају.</w:t>
      </w:r>
    </w:p>
    <w:p w:rsidR="00BC3CE6" w:rsidRDefault="009A2DE5">
      <w:pPr>
        <w:spacing w:after="150"/>
        <w:jc w:val="both"/>
      </w:pPr>
      <w:r>
        <w:rPr>
          <w:i/>
          <w:color w:val="000000"/>
        </w:rPr>
        <w:t>369 Према информацији коју је РЗС доставио радној групи „уколико се об</w:t>
      </w:r>
      <w:r>
        <w:rPr>
          <w:i/>
          <w:color w:val="000000"/>
        </w:rPr>
        <w:t>езбеде финансијска средства РЗС може да понови Сезонско истраживање о коришћењу времена а које је спроведено 2015. године и које се спроводи у четири временске тачке и на мањем узорку.</w:t>
      </w:r>
    </w:p>
    <w:p w:rsidR="00BC3CE6" w:rsidRDefault="009A2DE5">
      <w:pPr>
        <w:spacing w:after="150"/>
        <w:jc w:val="both"/>
      </w:pPr>
      <w:r>
        <w:rPr>
          <w:i/>
          <w:color w:val="000000"/>
        </w:rPr>
        <w:t xml:space="preserve">370 Анкета о коришћењу времена према Еуростат методологији се спроводи </w:t>
      </w:r>
      <w:r>
        <w:rPr>
          <w:i/>
          <w:color w:val="000000"/>
        </w:rPr>
        <w:t>на десет година, али РЗС може да спроводи Сезонска истраживања о коришћењу времена а за шта је неопходно планирати средства. (Извор: сугестија РЗС достављена радној групи).</w:t>
      </w:r>
    </w:p>
    <w:p w:rsidR="00BC3CE6" w:rsidRDefault="009A2DE5">
      <w:pPr>
        <w:spacing w:after="150"/>
        <w:jc w:val="both"/>
      </w:pPr>
      <w:r>
        <w:rPr>
          <w:i/>
          <w:color w:val="000000"/>
        </w:rPr>
        <w:t>371 Жене и мушкарци у Републици Србији, РЗС, страна 76.</w:t>
      </w:r>
    </w:p>
    <w:p w:rsidR="00BC3CE6" w:rsidRDefault="009A2DE5">
      <w:pPr>
        <w:spacing w:after="150"/>
        <w:jc w:val="both"/>
      </w:pPr>
      <w:r>
        <w:rPr>
          <w:i/>
          <w:color w:val="000000"/>
        </w:rPr>
        <w:t>372 Користимо ауторкин комп</w:t>
      </w:r>
      <w:r>
        <w:rPr>
          <w:i/>
          <w:color w:val="000000"/>
        </w:rPr>
        <w:t>озитни удео од 31,7% као процену учешћа жене у бизнису у Србији док се не ураде нова истраживања и статистика не усагласи са Законом о родној равноправности усвојеним маја 2021. године.</w:t>
      </w:r>
    </w:p>
    <w:p w:rsidR="00BC3CE6" w:rsidRDefault="009A2DE5">
      <w:pPr>
        <w:spacing w:after="150"/>
        <w:jc w:val="both"/>
      </w:pPr>
      <w:r>
        <w:rPr>
          <w:i/>
          <w:color w:val="000000"/>
        </w:rPr>
        <w:t>373 https://www.pravno-informacioni-sistem.rs/SlGlasnikPortal/eli/rep/</w:t>
      </w:r>
      <w:r>
        <w:rPr>
          <w:i/>
          <w:color w:val="000000"/>
        </w:rPr>
        <w:t>sgrs/vlada/strategija/2015/35/1/reg, приступ мај 2021.</w:t>
      </w:r>
    </w:p>
    <w:p w:rsidR="00BC3CE6" w:rsidRDefault="009A2DE5">
      <w:pPr>
        <w:spacing w:after="150"/>
        <w:jc w:val="both"/>
      </w:pPr>
      <w:r>
        <w:rPr>
          <w:i/>
          <w:color w:val="000000"/>
        </w:rPr>
        <w:t>374 Податак је радној групи доставило Министарство привреде.</w:t>
      </w:r>
    </w:p>
    <w:p w:rsidR="00BC3CE6" w:rsidRDefault="009A2DE5">
      <w:pPr>
        <w:spacing w:after="150"/>
        <w:jc w:val="both"/>
      </w:pPr>
      <w:r>
        <w:rPr>
          <w:i/>
          <w:color w:val="000000"/>
        </w:rPr>
        <w:t>375 Женама су одобрена бесповратна средства у износу од 88.007.122,95 РСД (42,8% од укупно опредељених буџетских средстава по овом програму)</w:t>
      </w:r>
      <w:r>
        <w:rPr>
          <w:i/>
          <w:color w:val="000000"/>
        </w:rPr>
        <w:t>.</w:t>
      </w:r>
    </w:p>
    <w:p w:rsidR="00BC3CE6" w:rsidRDefault="009A2DE5">
      <w:pPr>
        <w:spacing w:after="150"/>
        <w:jc w:val="both"/>
      </w:pPr>
      <w:r>
        <w:rPr>
          <w:i/>
          <w:color w:val="000000"/>
        </w:rPr>
        <w:t>376 Родна анализа економских програма и финансијских мера у Србији, НАЛЕД и Агенција UN WOMEN, 2019.</w:t>
      </w:r>
    </w:p>
    <w:p w:rsidR="00BC3CE6" w:rsidRDefault="009A2DE5">
      <w:pPr>
        <w:spacing w:after="150"/>
        <w:jc w:val="both"/>
      </w:pPr>
      <w:r>
        <w:rPr>
          <w:i/>
          <w:color w:val="000000"/>
        </w:rPr>
        <w:t>377 Више информација доступно на: http://socijalnoukljucivanje.gov.rs/rs/o-nama/inicijativa-za-zaposljavanje-mladih/ приступ мај 2021.</w:t>
      </w:r>
    </w:p>
    <w:p w:rsidR="00BC3CE6" w:rsidRDefault="009A2DE5">
      <w:pPr>
        <w:spacing w:after="150"/>
        <w:jc w:val="both"/>
      </w:pPr>
      <w:r>
        <w:rPr>
          <w:i/>
          <w:color w:val="000000"/>
        </w:rPr>
        <w:t xml:space="preserve">378 Више </w:t>
      </w:r>
      <w:r>
        <w:rPr>
          <w:i/>
          <w:color w:val="000000"/>
        </w:rPr>
        <w:t>информација доступно на: http://socijalnoukljucivanje.gov.rs/rs/rezultati-programa-program-lokalnih-inicijativa-za-socijalno-ukljucivanje-i-smanjenje-siromastva-podrska-razvoju-inovativnih-modela-za-socijalno-ukljucivanje-lip-2/ приступ мај 2021.</w:t>
      </w:r>
    </w:p>
    <w:p w:rsidR="00BC3CE6" w:rsidRDefault="009A2DE5">
      <w:pPr>
        <w:spacing w:after="150"/>
        <w:jc w:val="both"/>
      </w:pPr>
      <w:r>
        <w:rPr>
          <w:i/>
          <w:color w:val="000000"/>
        </w:rPr>
        <w:t>379 Цирку</w:t>
      </w:r>
      <w:r>
        <w:rPr>
          <w:i/>
          <w:color w:val="000000"/>
        </w:rPr>
        <w:t xml:space="preserve">ларна економија је обновљива индустријска економија која има промењени концепт производње и потрошње према дизајну, употреби ресурса и односу према стварању отпада. У концепту циркуларне економије </w:t>
      </w:r>
      <w:r>
        <w:rPr>
          <w:i/>
          <w:color w:val="000000"/>
        </w:rPr>
        <w:lastRenderedPageBreak/>
        <w:t>отпад не постоји, већ само сировина која се опет може понов</w:t>
      </w:r>
      <w:r>
        <w:rPr>
          <w:i/>
          <w:color w:val="000000"/>
        </w:rPr>
        <w:t>о употребити за исте или друге производне процесе. Такође, обновљиви извори енергије имају приоритет, енергија се користи ефикасно, подстичу се иновативне технологије, зелене јавне набавке, замена опасних хемикалија мање опасним, а промене у навикама потро</w:t>
      </w:r>
      <w:r>
        <w:rPr>
          <w:i/>
          <w:color w:val="000000"/>
        </w:rPr>
        <w:t>шача су неминовне. Доступно на: https://www.ekologija.gov.rs/sites/default/files/2021-01/mapa-puta-za-cirkularnu-ekonomiju-u-srbiji.pdf приступ мај 2021.</w:t>
      </w:r>
    </w:p>
    <w:p w:rsidR="00BC3CE6" w:rsidRDefault="009A2DE5">
      <w:pPr>
        <w:spacing w:after="150"/>
        <w:jc w:val="both"/>
      </w:pPr>
      <w:r>
        <w:rPr>
          <w:i/>
          <w:color w:val="000000"/>
        </w:rPr>
        <w:t>380 Декарбонизација је процес смањења количине угљеника, углавном угљен-диоксида (СО</w:t>
      </w:r>
      <w:r>
        <w:rPr>
          <w:i/>
          <w:color w:val="000000"/>
          <w:vertAlign w:val="subscript"/>
        </w:rPr>
        <w:t>2</w:t>
      </w:r>
      <w:r>
        <w:rPr>
          <w:i/>
          <w:color w:val="000000"/>
        </w:rPr>
        <w:t>), који се шаље у</w:t>
      </w:r>
      <w:r>
        <w:rPr>
          <w:i/>
          <w:color w:val="000000"/>
        </w:rPr>
        <w:t xml:space="preserve"> атмосферу. Његов циљ је постићи глобалну економију са ниским емисијама како би се енергетском транзицијом постигла климатска неутралност.</w:t>
      </w:r>
    </w:p>
    <w:p w:rsidR="00BC3CE6" w:rsidRDefault="009A2DE5">
      <w:pPr>
        <w:spacing w:after="150"/>
        <w:jc w:val="both"/>
      </w:pPr>
      <w:r>
        <w:rPr>
          <w:i/>
          <w:color w:val="000000"/>
        </w:rPr>
        <w:t>381</w:t>
      </w:r>
      <w:r>
        <w:rPr>
          <w:i/>
          <w:color w:val="000000"/>
        </w:rPr>
        <w:tab/>
        <w:t>Доступно на: https://www.europarl.europa.eu/legislative-train/theme-a-european-green-deal/file-revised-regulatory</w:t>
      </w:r>
      <w:r>
        <w:rPr>
          <w:i/>
          <w:color w:val="000000"/>
        </w:rPr>
        <w:t>-framework-for-competitive-decarbonised-gas-markets приступ мај 2021.</w:t>
      </w:r>
    </w:p>
    <w:p w:rsidR="00BC3CE6" w:rsidRDefault="009A2DE5">
      <w:pPr>
        <w:spacing w:after="150"/>
        <w:jc w:val="both"/>
      </w:pPr>
      <w:r>
        <w:rPr>
          <w:i/>
          <w:color w:val="000000"/>
        </w:rPr>
        <w:t>382</w:t>
      </w:r>
      <w:r>
        <w:rPr>
          <w:i/>
          <w:color w:val="000000"/>
        </w:rPr>
        <w:tab/>
        <w:t>доступно на: https://www.klimatskepromene.rs/wp-content/uploads/2020/08/Gender-and-Climate-Change-monitoring-framework-DRAFT-18122019.pdf, приступ: 8.10.2021.</w:t>
      </w:r>
    </w:p>
    <w:p w:rsidR="00BC3CE6" w:rsidRDefault="009A2DE5">
      <w:pPr>
        <w:spacing w:after="150"/>
        <w:jc w:val="both"/>
      </w:pPr>
      <w:r>
        <w:rPr>
          <w:i/>
          <w:color w:val="000000"/>
        </w:rPr>
        <w:t>383 Информација достављ</w:t>
      </w:r>
      <w:r>
        <w:rPr>
          <w:i/>
          <w:color w:val="000000"/>
        </w:rPr>
        <w:t>ена радној групи од стране Министарства туризма, трговине и телекомуникација</w:t>
      </w:r>
    </w:p>
    <w:p w:rsidR="00BC3CE6" w:rsidRDefault="009A2DE5">
      <w:pPr>
        <w:spacing w:after="150"/>
        <w:jc w:val="both"/>
      </w:pPr>
      <w:r>
        <w:rPr>
          <w:i/>
          <w:color w:val="000000"/>
        </w:rPr>
        <w:t>384 У резолуцији се поздравља посвећеност Комисије повећању учешћа жена у дигиталној економији и информационом друштву која је део Стратегије за родну равноправност за период 2020</w:t>
      </w:r>
      <w:r>
        <w:rPr>
          <w:i/>
          <w:color w:val="000000"/>
        </w:rPr>
        <w:t xml:space="preserve">–2025. године позива Комисију да у оквиру дигиталне агенде, Европске дигиталне стратегије и свих других политика и иницијатива у области вештина дигитализације и образовања настави да решава проблем великог родног јаза у сектору ИКТ помоћу конкретних мера </w:t>
      </w:r>
      <w:r>
        <w:rPr>
          <w:i/>
          <w:color w:val="000000"/>
        </w:rPr>
        <w:t>посебно усмерених на повећање учешћа жена и девојака у том сектору; наглашава да повећање учешћа жена у дигиталном сектору може имати значајан утицај на борбу против родних неједнакости, стереотипа и дискриминације, побољшање приступа жена тржишту рада и њ</w:t>
      </w:r>
      <w:r>
        <w:rPr>
          <w:i/>
          <w:color w:val="000000"/>
        </w:rPr>
        <w:t>ихових радних услова, као и решавање проблема разлике у платама између жена и мушкараца; позива Комисију и државе чланице да осигурају одговарајућа финансијска средства за програме којима је циљ да привуку више девојака и жена да студирају и раде у области</w:t>
      </w:r>
      <w:r>
        <w:rPr>
          <w:i/>
          <w:color w:val="000000"/>
        </w:rPr>
        <w:t xml:space="preserve"> науке, технологије, инжењерства и математике, да успоставе предузетничке програме којима се финансирају жене и девојке које покрећу технолошке пројекте или нова предузећа, да развију стратегије усмерене на повећање дигиталне укључености и дигиталне финанс</w:t>
      </w:r>
      <w:r>
        <w:rPr>
          <w:i/>
          <w:color w:val="000000"/>
        </w:rPr>
        <w:t xml:space="preserve">ијске укључености девојака и жена у областима повезанима са науком, технологијом, инжењерством и математиком, вештачком интелигенцијом и сектором истраживања и иновација и да заузму приступ на више нивоа у решавању родних јазова на свим нивоима образовања </w:t>
      </w:r>
      <w:r>
        <w:rPr>
          <w:i/>
          <w:color w:val="000000"/>
        </w:rPr>
        <w:t xml:space="preserve">и запошљавања у дигиталном сектору; позива Комисију да приликом преговарања о програмима у оквиру следећег вишегодишњег финансијског оквира и о средствима и зајмовима у оквиру </w:t>
      </w:r>
      <w:r>
        <w:rPr>
          <w:i/>
          <w:color w:val="000000"/>
        </w:rPr>
        <w:lastRenderedPageBreak/>
        <w:t xml:space="preserve">Плана опоравка узме у обзир једнаке могућности жена и мушкараца и дигитални јаз </w:t>
      </w:r>
      <w:r>
        <w:rPr>
          <w:i/>
          <w:color w:val="000000"/>
        </w:rPr>
        <w:t>међу половима и да повећа свест жена о тим механизмима; наглашава да укључивање начела родне равноправности у главне токове и доношење родно осетљивог буџета са мерљивим показатељима морају бити део политика којима се подстиче развој ИКТ; позива Комисију д</w:t>
      </w:r>
      <w:r>
        <w:rPr>
          <w:i/>
          <w:color w:val="000000"/>
        </w:rPr>
        <w:t>а обезбеди укључивање начела родне равноправности у Закон о дигиталним услугама и све будуће предлоге који се односе на дигитални домен; позива Комисију и државе чланице да обезбеде пуно спровођење Министарске изјаве о преузимању обавезе о „Женама у дигита</w:t>
      </w:r>
      <w:r>
        <w:rPr>
          <w:i/>
          <w:color w:val="000000"/>
        </w:rPr>
        <w:t>лној сфери”; позива Комисију да прати спровођење међусекторских националних планова држава чланица у погледу жена у дигиталној сфери. Извор: Информација достављена радној групи од стране Министарства туризма, трговине и телекомуникација.</w:t>
      </w:r>
    </w:p>
    <w:p w:rsidR="00BC3CE6" w:rsidRDefault="009A2DE5">
      <w:pPr>
        <w:spacing w:after="120"/>
        <w:jc w:val="center"/>
      </w:pPr>
      <w:r>
        <w:rPr>
          <w:i/>
          <w:color w:val="000000"/>
        </w:rPr>
        <w:t>5.1.2. Знање као ч</w:t>
      </w:r>
      <w:r>
        <w:rPr>
          <w:i/>
          <w:color w:val="000000"/>
        </w:rPr>
        <w:t>инилац развоја</w:t>
      </w:r>
    </w:p>
    <w:p w:rsidR="00BC3CE6" w:rsidRDefault="009A2DE5">
      <w:pPr>
        <w:spacing w:after="120"/>
        <w:jc w:val="center"/>
      </w:pPr>
      <w:r>
        <w:rPr>
          <w:color w:val="000000"/>
        </w:rPr>
        <w:t>5.1.2.1. Образовање</w:t>
      </w:r>
    </w:p>
    <w:p w:rsidR="00BC3CE6" w:rsidRDefault="009A2DE5">
      <w:pPr>
        <w:spacing w:after="150"/>
      </w:pPr>
      <w:r>
        <w:rPr>
          <w:color w:val="000000"/>
        </w:rPr>
        <w:t>Родно осетљиво образовање је суштински покретач одрживог развоја и кључни услов изградње инклузивног друштва заснованог на људским правима и социјалној правди. Искуство потврђује да остваривање родне равноправности није м</w:t>
      </w:r>
      <w:r>
        <w:rPr>
          <w:color w:val="000000"/>
        </w:rPr>
        <w:t>огуће без увођења родне перспективе у све нивое и све аспекте образовања. Увођење родне перспективе у образовање подразумева повећање родне осетљивости образовних планова и програма, наставног материјала и образовног процеса, као и унапређење родних компет</w:t>
      </w:r>
      <w:r>
        <w:rPr>
          <w:color w:val="000000"/>
        </w:rPr>
        <w:t>енција наставног особља. Образовање има кључну трансформативну и оснажујућу улогу у промовисању људских права, превазилажењу родних стереотипа и предрасуда, и препознато је као пут ка родној равноправности и оснаживању жена.</w:t>
      </w:r>
      <w:r>
        <w:rPr>
          <w:color w:val="000000"/>
          <w:vertAlign w:val="superscript"/>
        </w:rPr>
        <w:t>385</w:t>
      </w:r>
      <w:r>
        <w:rPr>
          <w:color w:val="000000"/>
        </w:rPr>
        <w:t xml:space="preserve"> Kвалитетно инкулузивно образ</w:t>
      </w:r>
      <w:r>
        <w:rPr>
          <w:color w:val="000000"/>
        </w:rPr>
        <w:t>овање, које је предуслов одрживог развоја и унапређења квалитета живота жена и мушкараца, подразумева једнаку доступност образовања и интегрисање родне перспективе у образовне програме, наставне материјале и образовну праксу. На глобалном нивоу обезбеђивањ</w:t>
      </w:r>
      <w:r>
        <w:rPr>
          <w:color w:val="000000"/>
        </w:rPr>
        <w:t>е инклузивног, квалитетног и праведног образовања и промовисање целоживотног учења постављено је као један од циљева (циљ 4.) Агенде 2030.</w:t>
      </w:r>
      <w:r>
        <w:rPr>
          <w:color w:val="000000"/>
          <w:vertAlign w:val="superscript"/>
        </w:rPr>
        <w:t>386</w:t>
      </w:r>
      <w:r>
        <w:rPr>
          <w:color w:val="000000"/>
        </w:rPr>
        <w:t xml:space="preserve"> У оквиру овог циља, један од потциљева (потциљ 4.3) односи се на једнаку доступност квалитетног техничког, стручно</w:t>
      </w:r>
      <w:r>
        <w:rPr>
          <w:color w:val="000000"/>
        </w:rPr>
        <w:t>г и терцијарног образовања, као и универзитетског образовања за све жене и мушкарце, а други (потциљ 4.5) на елиминисање родне неједнакости у образовању и обезбеђивање једнаког приступа свим нивоима образовања и стручним обукама за рањиве групе, укључујући</w:t>
      </w:r>
      <w:r>
        <w:rPr>
          <w:color w:val="000000"/>
        </w:rPr>
        <w:t xml:space="preserve"> особе са инвалидитетом, аутохтоно становништво и децу у рањивим ситуацијама. У Стратегији Европа 2020, образовање је препознато као један од стубова „Паметног раста” који почива на знању и науци, а акценат стављен je на борбу против дискриминације, која п</w:t>
      </w:r>
      <w:r>
        <w:rPr>
          <w:color w:val="000000"/>
        </w:rPr>
        <w:t>одразумева унапређење родне равноправности, права особа са инвалидитетом и Рома и Ромкиња, као посебно угрожене и маргинализоване групе.</w:t>
      </w:r>
      <w:r>
        <w:rPr>
          <w:color w:val="000000"/>
          <w:vertAlign w:val="superscript"/>
        </w:rPr>
        <w:t>387</w:t>
      </w:r>
    </w:p>
    <w:p w:rsidR="00BC3CE6" w:rsidRDefault="009A2DE5">
      <w:pPr>
        <w:spacing w:after="150"/>
      </w:pPr>
      <w:r>
        <w:rPr>
          <w:color w:val="000000"/>
        </w:rPr>
        <w:lastRenderedPageBreak/>
        <w:t>Република Србија стратешки је опредељена да развија родно инклузивно образовање, у чије је садржаје и образовну прак</w:t>
      </w:r>
      <w:r>
        <w:rPr>
          <w:color w:val="000000"/>
        </w:rPr>
        <w:t>су уграђена родна перспектива. Кључни стратешки документ била је Национална стратегија за родну равноправност за период од 2016. до 2020. године,</w:t>
      </w:r>
      <w:r>
        <w:rPr>
          <w:color w:val="000000"/>
          <w:vertAlign w:val="superscript"/>
        </w:rPr>
        <w:t>388</w:t>
      </w:r>
      <w:r>
        <w:rPr>
          <w:color w:val="000000"/>
        </w:rPr>
        <w:t xml:space="preserve"> којом је родно осетљиво образовање било утврђено као један од посебних циљева у оквиру првог стратешког циљ</w:t>
      </w:r>
      <w:r>
        <w:rPr>
          <w:color w:val="000000"/>
        </w:rPr>
        <w:t>а: „Промењени родни обрасци и унапређена култура родне равноправности”. У тој стратегији је констатовано да образовни програми и наставни садржаји на свим нивоима формалног образовања нису родно осетљиви, а у циљу уродњавања образовања утврђено је неколико</w:t>
      </w:r>
      <w:r>
        <w:rPr>
          <w:color w:val="000000"/>
        </w:rPr>
        <w:t xml:space="preserve"> мера, релевантних и за област високог образовања.</w:t>
      </w:r>
      <w:r>
        <w:rPr>
          <w:color w:val="000000"/>
          <w:vertAlign w:val="superscript"/>
        </w:rPr>
        <w:t>389</w:t>
      </w:r>
      <w:r>
        <w:rPr>
          <w:color w:val="000000"/>
        </w:rPr>
        <w:t xml:space="preserve"> Поред тога, као посебан стратешки циљ, предметном стратегијом је утврђено и развијање знања и видљивост академских резултата у области студија рода.</w:t>
      </w:r>
    </w:p>
    <w:p w:rsidR="00BC3CE6" w:rsidRDefault="009A2DE5">
      <w:pPr>
        <w:spacing w:after="150"/>
      </w:pPr>
      <w:r>
        <w:rPr>
          <w:color w:val="000000"/>
        </w:rPr>
        <w:t xml:space="preserve">Иако се бележи известан напредак на плану уродњавања </w:t>
      </w:r>
      <w:r>
        <w:rPr>
          <w:color w:val="000000"/>
        </w:rPr>
        <w:t>образовања, оно је, у целини посматрано, још увек недовољно родно сензибилисано, што потврђују и подаци из Стратегије за родну равноправност (2016–2020) и извештаји независних тела.</w:t>
      </w:r>
      <w:r>
        <w:rPr>
          <w:color w:val="000000"/>
          <w:vertAlign w:val="superscript"/>
        </w:rPr>
        <w:t>390</w:t>
      </w:r>
      <w:r>
        <w:rPr>
          <w:color w:val="000000"/>
        </w:rPr>
        <w:t xml:space="preserve"> У тој стратегији, родно осетљиво образовање било је један од посебних ц</w:t>
      </w:r>
      <w:r>
        <w:rPr>
          <w:color w:val="000000"/>
        </w:rPr>
        <w:t>иљева (1.2), а низ мера у овој области планиран је у оквиру циља који се односи на побољшање економског положаја и статуса жена на тржишту рада (2.3), укључујући и охрабривање и подржавање образовања девојчица, девојака и жена за занимања у којима се оства</w:t>
      </w:r>
      <w:r>
        <w:rPr>
          <w:color w:val="000000"/>
        </w:rPr>
        <w:t>рује велика додатна вредност, као што су инжењерство и нове технологије. АП за спровођење ове стратегије за 2016–2018 садржао је низ мера за унапређивање родне осетљивости образовања: унапређивање родних компетенција запослених у образовању и васпитању кро</w:t>
      </w:r>
      <w:r>
        <w:rPr>
          <w:color w:val="000000"/>
        </w:rPr>
        <w:t>з увођење обавезних образовних програма о родној равноправности, укључивање садржаја о родној равноправности у испит за добијање лиценце за рад у школама/настави, као и иницирањем ревизије наставних садржаја и уџбеника ради елиминисања родних стереотипа, д</w:t>
      </w:r>
      <w:r>
        <w:rPr>
          <w:color w:val="000000"/>
        </w:rPr>
        <w:t>искриминаторних садржаја и дискриминаторног језика.</w:t>
      </w:r>
      <w:r>
        <w:rPr>
          <w:color w:val="000000"/>
          <w:vertAlign w:val="superscript"/>
        </w:rPr>
        <w:t>391</w:t>
      </w:r>
      <w:r>
        <w:rPr>
          <w:color w:val="000000"/>
        </w:rPr>
        <w:t xml:space="preserve"> Према налазима евалуације АП за спровођење Националне стратегије за родну равноправност за период од 2016. до 2018. године,</w:t>
      </w:r>
      <w:r>
        <w:rPr>
          <w:color w:val="000000"/>
          <w:vertAlign w:val="superscript"/>
        </w:rPr>
        <w:t>392</w:t>
      </w:r>
      <w:r>
        <w:rPr>
          <w:color w:val="000000"/>
        </w:rPr>
        <w:t xml:space="preserve"> очекивани резултати нису остварени, а интервенције у области образовања сп</w:t>
      </w:r>
      <w:r>
        <w:rPr>
          <w:color w:val="000000"/>
        </w:rPr>
        <w:t>адају у области ниске делотворности,</w:t>
      </w:r>
      <w:r>
        <w:rPr>
          <w:color w:val="000000"/>
          <w:vertAlign w:val="superscript"/>
        </w:rPr>
        <w:t>393</w:t>
      </w:r>
      <w:r>
        <w:rPr>
          <w:color w:val="000000"/>
        </w:rPr>
        <w:t xml:space="preserve"> што је последица одсуства експлицитне и свеобухватне теорије промене у овој области. Због тога, у остваривању родне равноправности у образовању треба применити приступ увођења родне перспективе у секторске политике</w:t>
      </w:r>
      <w:r>
        <w:rPr>
          <w:color w:val="000000"/>
          <w:vertAlign w:val="superscript"/>
        </w:rPr>
        <w:t>39</w:t>
      </w:r>
      <w:r>
        <w:rPr>
          <w:color w:val="000000"/>
          <w:vertAlign w:val="superscript"/>
        </w:rPr>
        <w:t>4</w:t>
      </w:r>
      <w:r>
        <w:rPr>
          <w:color w:val="000000"/>
        </w:rPr>
        <w:t xml:space="preserve"> и укључити циљеве и мере који се односе на родну сегрегацију у образовању.</w:t>
      </w:r>
    </w:p>
    <w:p w:rsidR="00BC3CE6" w:rsidRDefault="009A2DE5">
      <w:pPr>
        <w:spacing w:after="150"/>
      </w:pPr>
      <w:r>
        <w:rPr>
          <w:color w:val="000000"/>
        </w:rPr>
        <w:t>У Стратегију развоја образовања у Републици Србији до 2020. године</w:t>
      </w:r>
      <w:r>
        <w:rPr>
          <w:color w:val="000000"/>
          <w:vertAlign w:val="superscript"/>
        </w:rPr>
        <w:t>395</w:t>
      </w:r>
      <w:r>
        <w:rPr>
          <w:color w:val="000000"/>
        </w:rPr>
        <w:t xml:space="preserve"> којом су дефинисани циљеви, правци и приоритети развоја свих нивоа образовања, укључујући и високошколско обр</w:t>
      </w:r>
      <w:r>
        <w:rPr>
          <w:color w:val="000000"/>
        </w:rPr>
        <w:t>азовање, нису укључене родне неједнакости у образовању, нити је уродњавање постављено као стратешки приоритет. Закони у области образовања и науке углавном су родно неутрални, иако има закона у које се постепено интегрише родна перспектива. Анализа ових за</w:t>
      </w:r>
      <w:r>
        <w:rPr>
          <w:color w:val="000000"/>
        </w:rPr>
        <w:t xml:space="preserve">кона показује да у већини закона постоје </w:t>
      </w:r>
      <w:r>
        <w:rPr>
          <w:color w:val="000000"/>
        </w:rPr>
        <w:lastRenderedPageBreak/>
        <w:t>одредбе о забрани дискриминације и употреби родно осетљиве терминологије, али је евидентан изостанак посебних мера намењених женама и девојчицама, како у вези са школовањем на различитим нивоима образовања, тако и у</w:t>
      </w:r>
      <w:r>
        <w:rPr>
          <w:color w:val="000000"/>
        </w:rPr>
        <w:t xml:space="preserve"> вези са радом у установама образовања.</w:t>
      </w:r>
      <w:r>
        <w:rPr>
          <w:color w:val="000000"/>
          <w:vertAlign w:val="superscript"/>
        </w:rPr>
        <w:t>396</w:t>
      </w:r>
      <w:r>
        <w:rPr>
          <w:color w:val="000000"/>
        </w:rPr>
        <w:t xml:space="preserve"> На пример, Законом о високом образовању</w:t>
      </w:r>
      <w:r>
        <w:rPr>
          <w:color w:val="000000"/>
          <w:vertAlign w:val="superscript"/>
        </w:rPr>
        <w:t>397</w:t>
      </w:r>
      <w:r>
        <w:rPr>
          <w:color w:val="000000"/>
        </w:rPr>
        <w:t xml:space="preserve"> прописано је да се мора водити рачуна о заступљености жена и мушкараца приликом именовања чланова Управног одбора, Комисије за акредитацију, Националног акредитационог тела, као и код именовања представника оснивача за савете високошколских установа чији </w:t>
      </w:r>
      <w:r>
        <w:rPr>
          <w:color w:val="000000"/>
        </w:rPr>
        <w:t>је оснивач Република Србија.</w:t>
      </w:r>
      <w:r>
        <w:rPr>
          <w:color w:val="000000"/>
          <w:vertAlign w:val="superscript"/>
        </w:rPr>
        <w:t>398</w:t>
      </w:r>
    </w:p>
    <w:p w:rsidR="00BC3CE6" w:rsidRDefault="009A2DE5">
      <w:pPr>
        <w:spacing w:after="150"/>
      </w:pPr>
      <w:r>
        <w:rPr>
          <w:color w:val="000000"/>
        </w:rPr>
        <w:t>У Закључним запажањима CEDAW комитета у вези са Четвртим периодичним извештајем о примени CEDAW кoнвенције,</w:t>
      </w:r>
      <w:r>
        <w:rPr>
          <w:color w:val="000000"/>
          <w:vertAlign w:val="superscript"/>
        </w:rPr>
        <w:t>399</w:t>
      </w:r>
      <w:r>
        <w:rPr>
          <w:color w:val="000000"/>
        </w:rPr>
        <w:t xml:space="preserve"> Комитет је похвалио напредак који је Србија постигла у сектору образовања, посебно повећањем стипендија за девојч</w:t>
      </w:r>
      <w:r>
        <w:rPr>
          <w:color w:val="000000"/>
        </w:rPr>
        <w:t>ице и признавањем потребе да се спречи напуштање школовања, али и забринутост због утицаја све доминантније политичке агенде против родне равноправности, која се преводи у стереотипне садржаје наставног материјала, широко распрострањене дискриминаторне род</w:t>
      </w:r>
      <w:r>
        <w:rPr>
          <w:color w:val="000000"/>
        </w:rPr>
        <w:t>не стереотипе, родну сегрегацију у образовању, напуштање школа Ромкиња и пре завршетка основне школе и њиховог одсуства у образовном систему након навршене 18. године живота, мање укључености девојчица са инвалидитетом у инклузивно образовање у односу на д</w:t>
      </w:r>
      <w:r>
        <w:rPr>
          <w:color w:val="000000"/>
        </w:rPr>
        <w:t>ечаке, родно засновано насиље у образовним установама и прекид спровођења едукативног програма о сексуалности и сексуалном насиљу.</w:t>
      </w:r>
      <w:r>
        <w:rPr>
          <w:color w:val="000000"/>
          <w:vertAlign w:val="superscript"/>
        </w:rPr>
        <w:t>400</w:t>
      </w:r>
      <w:r>
        <w:rPr>
          <w:color w:val="000000"/>
        </w:rPr>
        <w:t xml:space="preserve"> Републици Србији је упућен низ препорука: развијање садржаја о родној дискриминацији и родној равноправности и увођење род</w:t>
      </w:r>
      <w:r>
        <w:rPr>
          <w:color w:val="000000"/>
        </w:rPr>
        <w:t>но осетљивих садржаја у наставне планове и програме и уџбенике на свим нивоима образовања, прилагођене узрасту; интегрисање образовања о сексуалном и репродуктивном здрављу и правима у складу са узрастом, укључујући питања сексуално одговорног понашања; см</w:t>
      </w:r>
      <w:r>
        <w:rPr>
          <w:color w:val="000000"/>
        </w:rPr>
        <w:t>ањење родне сегрегације на свим нивоима образовања и охрабривање девојчица и дечака за нетрадиционална женска/мушка занимања; јачање механизама за задржавање Ромкиња у образовном систему; јачање напора на промовисању и осигуравању инклузивног школског и пр</w:t>
      </w:r>
      <w:r>
        <w:rPr>
          <w:color w:val="000000"/>
        </w:rPr>
        <w:t>едшколског образовања у редовним одељењима за ромску децу, посебно девојчице и девојчице са инвалидитетом, прилагођавање школске инфраструктуре и места за спорт и слободно време за девојчице са инвалидитетом и усвајање и примену Националног оквира за праће</w:t>
      </w:r>
      <w:r>
        <w:rPr>
          <w:color w:val="000000"/>
        </w:rPr>
        <w:t>ње инклузивног образовања и индикатора квалитета образовања.</w:t>
      </w:r>
      <w:r>
        <w:rPr>
          <w:color w:val="000000"/>
          <w:vertAlign w:val="superscript"/>
        </w:rPr>
        <w:t>401</w:t>
      </w:r>
    </w:p>
    <w:p w:rsidR="00BC3CE6" w:rsidRDefault="009A2DE5">
      <w:pPr>
        <w:spacing w:after="150"/>
      </w:pPr>
      <w:r>
        <w:rPr>
          <w:color w:val="000000"/>
        </w:rPr>
        <w:t>Стратегија развоја образовања и васпитања у Републици Србији до 2030. године</w:t>
      </w:r>
      <w:r>
        <w:rPr>
          <w:color w:val="000000"/>
          <w:vertAlign w:val="superscript"/>
        </w:rPr>
        <w:t>402</w:t>
      </w:r>
      <w:r>
        <w:rPr>
          <w:color w:val="000000"/>
        </w:rPr>
        <w:t xml:space="preserve"> предвиђа, између осталог, да нови програми буду осетљиви на питања родне равноправности и специфичности различит</w:t>
      </w:r>
      <w:r>
        <w:rPr>
          <w:color w:val="000000"/>
        </w:rPr>
        <w:t>их друштвених група, укључујући оне које нису заступљене у довољној мери, као и да се овај приступ примени у уџбеницима и унапређивању капацитета запослених у образовању. Предвиђа се и успостављање Оквира за праћење и вредновање квалитета високошколских ус</w:t>
      </w:r>
      <w:r>
        <w:rPr>
          <w:color w:val="000000"/>
        </w:rPr>
        <w:t xml:space="preserve">танова, чији део су и индикатори </w:t>
      </w:r>
      <w:r>
        <w:rPr>
          <w:color w:val="000000"/>
        </w:rPr>
        <w:lastRenderedPageBreak/>
        <w:t>који се односе на антидискриминацију, родну равноправност и осетљиве групе. АП за спровођење ове стратегије (2021–2023) не садржи специфичне мере за остваривање циљева везаних за увођење родне перспективе у наставне програм</w:t>
      </w:r>
      <w:r>
        <w:rPr>
          <w:color w:val="000000"/>
        </w:rPr>
        <w:t>е и материјале, осим преиспитивања статуса предмета Грађанско васпитање у образовно-васпитном систему и редефинисање начина стручног оспособљавања наставника грађанског васпитања, што је релевантно, имајући у виду да се у оквиру овог предмета изучава родна</w:t>
      </w:r>
      <w:r>
        <w:rPr>
          <w:color w:val="000000"/>
        </w:rPr>
        <w:t xml:space="preserve"> равноправност. Стратегијом развоја дигиталних вештина у Републици Србији за период од 2020. до 2024. године</w:t>
      </w:r>
      <w:r>
        <w:rPr>
          <w:color w:val="000000"/>
          <w:vertAlign w:val="superscript"/>
        </w:rPr>
        <w:t>403</w:t>
      </w:r>
      <w:r>
        <w:rPr>
          <w:color w:val="000000"/>
        </w:rPr>
        <w:t xml:space="preserve"> планиране су и активности на афирмацији области ИКТ међу женама и девојчицама, увођењу посебних програма развоја напредних дигиталних вештина за</w:t>
      </w:r>
      <w:r>
        <w:rPr>
          <w:color w:val="000000"/>
        </w:rPr>
        <w:t xml:space="preserve"> младе жене, жене из руралних подручја и друге рањиве групе, нарочито у срединама у којима је незапосленост или дигитални родни јаз већи, промоција већег укључивања младих, нарочито девојчица и девојака у ИКТ сектор и др.</w:t>
      </w:r>
    </w:p>
    <w:p w:rsidR="00BC3CE6" w:rsidRDefault="009A2DE5">
      <w:pPr>
        <w:spacing w:after="150"/>
      </w:pPr>
      <w:r>
        <w:rPr>
          <w:color w:val="000000"/>
        </w:rPr>
        <w:t>Закон о родној равноправности по п</w:t>
      </w:r>
      <w:r>
        <w:rPr>
          <w:color w:val="000000"/>
        </w:rPr>
        <w:t>рви пут утврђује конкретне обавезе органа јавне власти и других субјеката који обављају послове у области образовања и васпитања на плану интегрисања родне равноправности у све аспекте образовног процеса, што подразумева искључивање родно стереотипних, сек</w:t>
      </w:r>
      <w:r>
        <w:rPr>
          <w:color w:val="000000"/>
        </w:rPr>
        <w:t>систичких садржаја и укључивање у програме и уџбенике садржаја везаних за родну равноправност, који афирмишу равноправност и повећају видљивост осетљивих друштвених група, употребу родно осетљивог језика, интегрисање родне перспективе у програме образовања</w:t>
      </w:r>
      <w:r>
        <w:rPr>
          <w:color w:val="000000"/>
        </w:rPr>
        <w:t xml:space="preserve"> наставног кадра, процењивање садржаја уџбеника и другог наставног материјала са аспекта њиховог утицаја на промоцију родне равноправност и др.</w:t>
      </w:r>
      <w:r>
        <w:rPr>
          <w:color w:val="000000"/>
          <w:vertAlign w:val="superscript"/>
        </w:rPr>
        <w:t>404</w:t>
      </w:r>
    </w:p>
    <w:p w:rsidR="00BC3CE6" w:rsidRDefault="009A2DE5">
      <w:pPr>
        <w:spacing w:after="150"/>
      </w:pPr>
      <w:r>
        <w:rPr>
          <w:color w:val="000000"/>
        </w:rPr>
        <w:t xml:space="preserve">Иако су видљиви позитивни помаци у домену интегрисања родне перспективе у образовање, још увек постоје родни </w:t>
      </w:r>
      <w:r>
        <w:rPr>
          <w:color w:val="000000"/>
        </w:rPr>
        <w:t>диспаритети и хоризонтална родна сегрегација у приступу образовању, посебно међу рањивим групама. Образовни програми и наставни материјали су недовољно родно осетљиви и засновани су на традиционалној родној матрици. Постоје значајни родни дисбаланси у погл</w:t>
      </w:r>
      <w:r>
        <w:rPr>
          <w:color w:val="000000"/>
        </w:rPr>
        <w:t>еду положаја жена и мушкараца запослених у образовним установама и њиховог учешћа у управљачким структурама.</w:t>
      </w:r>
    </w:p>
    <w:p w:rsidR="00BC3CE6" w:rsidRDefault="009A2DE5">
      <w:pPr>
        <w:spacing w:after="150"/>
      </w:pPr>
      <w:r>
        <w:rPr>
          <w:color w:val="000000"/>
        </w:rPr>
        <w:t>Приступ свим нивоима образовања у Републици Србији заснован је на принципу једнакости, али постоје значајне разлике и родни диспаритети у погледу о</w:t>
      </w:r>
      <w:r>
        <w:rPr>
          <w:color w:val="000000"/>
        </w:rPr>
        <w:t>бразовања деце и младих из појединих маргинализованих и депривираних група. Ради унапређења таквог стања, изменама више закона у области образовања</w:t>
      </w:r>
      <w:r>
        <w:rPr>
          <w:color w:val="000000"/>
          <w:vertAlign w:val="superscript"/>
        </w:rPr>
        <w:t>405</w:t>
      </w:r>
      <w:r>
        <w:rPr>
          <w:color w:val="000000"/>
        </w:rPr>
        <w:t xml:space="preserve"> створени су предуслови за побољшање приступа образовању и наставка школовања за жене и девојчице из осетљ</w:t>
      </w:r>
      <w:r>
        <w:rPr>
          <w:color w:val="000000"/>
        </w:rPr>
        <w:t>ивих група кроз унапређену процедуру</w:t>
      </w:r>
      <w:r>
        <w:rPr>
          <w:color w:val="000000"/>
          <w:vertAlign w:val="superscript"/>
        </w:rPr>
        <w:t>406</w:t>
      </w:r>
      <w:r>
        <w:rPr>
          <w:color w:val="000000"/>
        </w:rPr>
        <w:t xml:space="preserve"> и примену посебних мера</w:t>
      </w:r>
      <w:r>
        <w:rPr>
          <w:color w:val="000000"/>
          <w:vertAlign w:val="superscript"/>
        </w:rPr>
        <w:t>407</w:t>
      </w:r>
      <w:r>
        <w:rPr>
          <w:color w:val="000000"/>
        </w:rPr>
        <w:t xml:space="preserve"> у образовању које укључују: олакшане процедуре за упис у основну школу и повећање обухвата Ромкиња и Рома основним образовањем, афирмативне мере за упис у средње школе и повећање обухвата с</w:t>
      </w:r>
      <w:r>
        <w:rPr>
          <w:color w:val="000000"/>
        </w:rPr>
        <w:t xml:space="preserve">редњим образовањем, индивидуални образовни план, педагошке асистенте, обуке за наставнике, стипендије, </w:t>
      </w:r>
      <w:r>
        <w:rPr>
          <w:color w:val="000000"/>
        </w:rPr>
        <w:lastRenderedPageBreak/>
        <w:t>кредите, смештај и исхрану (10% капацитета за девојчице и дечаке, девојке и младиће из осетљивих група); афирмативне мере за упис Рома и Ромкиња на висок</w:t>
      </w:r>
      <w:r>
        <w:rPr>
          <w:color w:val="000000"/>
        </w:rPr>
        <w:t>ошколске установе.</w:t>
      </w:r>
      <w:r>
        <w:rPr>
          <w:color w:val="000000"/>
          <w:vertAlign w:val="superscript"/>
        </w:rPr>
        <w:t>408</w:t>
      </w:r>
      <w:r>
        <w:rPr>
          <w:color w:val="000000"/>
        </w:rPr>
        <w:t xml:space="preserve"> Према подацима из Националног прегледа о оствареном напретку у спровођењу Пекиншке декларације и Платформе за акцију +25</w:t>
      </w:r>
      <w:r>
        <w:rPr>
          <w:color w:val="000000"/>
          <w:vertAlign w:val="superscript"/>
        </w:rPr>
        <w:t>409</w:t>
      </w:r>
      <w:r>
        <w:rPr>
          <w:color w:val="000000"/>
        </w:rPr>
        <w:t xml:space="preserve"> евидентни су резултати у погледу повећања приступа девојчица образовању и њиховог задржавања у систему образов</w:t>
      </w:r>
      <w:r>
        <w:rPr>
          <w:color w:val="000000"/>
        </w:rPr>
        <w:t xml:space="preserve">ања, чему је допринело додељивање стипендија из буџета за средњошколце/ке ромске националности, које прима 930 деце, од чега је 65% девојчица. Обезбеђена је менторска подршка средњошколцима који примају стипендије, а ангажовано је и 225 ромских педагошких </w:t>
      </w:r>
      <w:r>
        <w:rPr>
          <w:color w:val="000000"/>
        </w:rPr>
        <w:t>асистената у предшколским установама и основним школaма, а учешће жена износи 53%.</w:t>
      </w:r>
      <w:r>
        <w:rPr>
          <w:color w:val="000000"/>
          <w:vertAlign w:val="superscript"/>
        </w:rPr>
        <w:t>410</w:t>
      </w:r>
    </w:p>
    <w:p w:rsidR="00BC3CE6" w:rsidRDefault="009A2DE5">
      <w:pPr>
        <w:spacing w:after="150"/>
      </w:pPr>
      <w:r>
        <w:rPr>
          <w:color w:val="000000"/>
        </w:rPr>
        <w:t>Упркос предузетим мерама, стање и даље није потпуно задовољавајуће. У погледу уписа у предшколске установе и основне школе не постоје разлике у стопи уписа девојчица и де</w:t>
      </w:r>
      <w:r>
        <w:rPr>
          <w:color w:val="000000"/>
        </w:rPr>
        <w:t>чака, али су разлике евидентне у погледу уписа деце ромске националности и деце са инвалидитетом, деце из руралних подручја и из материјално депривираних породица. Упркос значајном повећању капацитета предшколских установа и повећаног броја објеката, према</w:t>
      </w:r>
      <w:r>
        <w:rPr>
          <w:color w:val="000000"/>
        </w:rPr>
        <w:t xml:space="preserve"> подацима РЗС у 2019/20. години 6.902 деце је остало неуписано у предшколске установе због попуњености капацитета. У контексту праведности и даље су приметне две негативне појаве: разлике између ЈЛС у погледу обухвата деце уопште и обухвата деце из ромских</w:t>
      </w:r>
      <w:r>
        <w:rPr>
          <w:color w:val="000000"/>
        </w:rPr>
        <w:t xml:space="preserve"> насеља, која су у најмањој мери укључена у предшколско образовање.</w:t>
      </w:r>
      <w:r>
        <w:rPr>
          <w:color w:val="000000"/>
          <w:vertAlign w:val="superscript"/>
        </w:rPr>
        <w:t>411</w:t>
      </w:r>
      <w:r>
        <w:rPr>
          <w:color w:val="000000"/>
        </w:rPr>
        <w:t xml:space="preserve"> У општој популацији 58,3% дечака и 63% девојчица обухваћено је образовањем у раном детињству, док је у ромским заједницама само 6,8% дечака и 8% девојчица обухваћено овим програмима. Ск</w:t>
      </w:r>
      <w:r>
        <w:rPr>
          <w:color w:val="000000"/>
        </w:rPr>
        <w:t>оро сва деца из опште популације похађају припремни предшколски програм, али родне разлике постоје код деце из ромских насеља, међу којима је 78,4% дечака и 70,2% девојчица обухваћено овим програмом. Скоро сва деца из опште популације похађају основно обра</w:t>
      </w:r>
      <w:r>
        <w:rPr>
          <w:color w:val="000000"/>
        </w:rPr>
        <w:t>зовање (99,5% дечака и девојчица), али је стопа завршавања првог циклуса основног образовања нижа међу децом која живе у ромским насељима (88,9%), док је стопа завршавања другог циклуса основног образовања ове деце још нижа (63,7%). На нивоу средње школе с</w:t>
      </w:r>
      <w:r>
        <w:rPr>
          <w:color w:val="000000"/>
        </w:rPr>
        <w:t>топа благо пада у општој популацији у односу на основно образовање (97,7%), при чему је стопа обухвата у 2019. години за младиће била 85,9%, а за девојке 88,9%.</w:t>
      </w:r>
      <w:r>
        <w:rPr>
          <w:color w:val="000000"/>
          <w:vertAlign w:val="superscript"/>
        </w:rPr>
        <w:t>412</w:t>
      </w:r>
      <w:r>
        <w:rPr>
          <w:color w:val="000000"/>
        </w:rPr>
        <w:t xml:space="preserve"> Стопа уписа у средње школе опада и у популацији деце из ромских насеља (61%), а најнижа је к</w:t>
      </w:r>
      <w:r>
        <w:rPr>
          <w:color w:val="000000"/>
        </w:rPr>
        <w:t>од девојчица из ромских насеља (49,5%).</w:t>
      </w:r>
      <w:r>
        <w:rPr>
          <w:color w:val="000000"/>
          <w:vertAlign w:val="superscript"/>
        </w:rPr>
        <w:t>413</w:t>
      </w:r>
      <w:r>
        <w:rPr>
          <w:color w:val="000000"/>
        </w:rPr>
        <w:t xml:space="preserve"> На то превасходно утичу специфичне препреке у образовању које погађају искључиво девојчице ромске националности, које су повезане са родном улогом жена и традиционалним родним обрасцима у ромској заједници.</w:t>
      </w:r>
      <w:r>
        <w:rPr>
          <w:color w:val="000000"/>
          <w:vertAlign w:val="superscript"/>
        </w:rPr>
        <w:t>414</w:t>
      </w:r>
      <w:r>
        <w:rPr>
          <w:color w:val="000000"/>
        </w:rPr>
        <w:t xml:space="preserve"> Дев</w:t>
      </w:r>
      <w:r>
        <w:rPr>
          <w:color w:val="000000"/>
        </w:rPr>
        <w:t>ојчице су у већини међу младима који завршавају четворогодишње средње стручне школе (53% девојчица и 47% дечака).</w:t>
      </w:r>
      <w:r>
        <w:rPr>
          <w:color w:val="000000"/>
          <w:vertAlign w:val="superscript"/>
        </w:rPr>
        <w:t>415</w:t>
      </w:r>
      <w:r>
        <w:rPr>
          <w:color w:val="000000"/>
        </w:rPr>
        <w:t xml:space="preserve"> Трогодишње средње стручне школе завршава скоро два и по пута више дечака него девојчица.</w:t>
      </w:r>
      <w:r>
        <w:rPr>
          <w:color w:val="000000"/>
          <w:vertAlign w:val="superscript"/>
        </w:rPr>
        <w:t>416</w:t>
      </w:r>
      <w:r>
        <w:rPr>
          <w:color w:val="000000"/>
        </w:rPr>
        <w:t xml:space="preserve"> Неједнакости су евидентне и у погледу образовањ</w:t>
      </w:r>
      <w:r>
        <w:rPr>
          <w:color w:val="000000"/>
        </w:rPr>
        <w:t xml:space="preserve">а деце са сметњама у развоју и инвалидитетом. Од укупног броја особа са инвалидитетом у Републици Србији, 12,2% није похађало основно </w:t>
      </w:r>
      <w:r>
        <w:rPr>
          <w:color w:val="000000"/>
        </w:rPr>
        <w:lastRenderedPageBreak/>
        <w:t>образовање, што чини 41,9% укупног становништва Републике Србије које никада није ишло у основну школу. Свака осма особа с</w:t>
      </w:r>
      <w:r>
        <w:rPr>
          <w:color w:val="000000"/>
        </w:rPr>
        <w:t>а инвалидитетом старости 15 и више година никада није ишла у основну школу, док међу општом популацијом овај проценат износи 2,7%.</w:t>
      </w:r>
      <w:r>
        <w:rPr>
          <w:color w:val="000000"/>
          <w:vertAlign w:val="superscript"/>
        </w:rPr>
        <w:t>417</w:t>
      </w:r>
      <w:r>
        <w:rPr>
          <w:color w:val="000000"/>
        </w:rPr>
        <w:t xml:space="preserve"> Међутим, најмлађој старосној категорији лица која никада нису похађала основну школу (15–18 година) припада 1,6% особа са </w:t>
      </w:r>
      <w:r>
        <w:rPr>
          <w:color w:val="000000"/>
        </w:rPr>
        <w:t>инвалидитетом, 13–15% деце из једне генерације не заврши основну школу, а 25,3% младих у узрасту 18–24 година нема завршену средњу школу. Постоје значајне родне разлике: међу мушкарцима са инвалидитетом без стручне спреме је 18,6%, док је жена 81,4% од уку</w:t>
      </w:r>
      <w:r>
        <w:rPr>
          <w:color w:val="000000"/>
        </w:rPr>
        <w:t>пног броја особа са инвалидитетом које нису похађале основну школу.</w:t>
      </w:r>
      <w:r>
        <w:rPr>
          <w:color w:val="000000"/>
          <w:vertAlign w:val="superscript"/>
        </w:rPr>
        <w:t>418</w:t>
      </w:r>
      <w:r>
        <w:rPr>
          <w:color w:val="000000"/>
        </w:rPr>
        <w:t xml:space="preserve"> У периоду 2014–2019. међу децом која завршавају основну школу за децу са сметњама у развоју бележи се тренд опадања броја девојчица у односу на дечаке.</w:t>
      </w:r>
      <w:r>
        <w:rPr>
          <w:color w:val="000000"/>
          <w:vertAlign w:val="superscript"/>
        </w:rPr>
        <w:t>419</w:t>
      </w:r>
      <w:r>
        <w:rPr>
          <w:color w:val="000000"/>
        </w:rPr>
        <w:t xml:space="preserve"> У инклузивном образовању у осн</w:t>
      </w:r>
      <w:r>
        <w:rPr>
          <w:color w:val="000000"/>
        </w:rPr>
        <w:t>овним школама знатно је више дечака него девојчица (према индивидуалном образовном плану наставу похађа трећина девојчица, а скоро две трећине су дечаци).</w:t>
      </w:r>
      <w:r>
        <w:rPr>
          <w:color w:val="000000"/>
          <w:vertAlign w:val="superscript"/>
        </w:rPr>
        <w:t>420</w:t>
      </w:r>
      <w:r>
        <w:rPr>
          <w:color w:val="000000"/>
        </w:rPr>
        <w:t xml:space="preserve"> Према Извештају о напретку у остваривању Циљева одрживог развоја до 2030. године у Републици Србиј</w:t>
      </w:r>
      <w:r>
        <w:rPr>
          <w:color w:val="000000"/>
        </w:rPr>
        <w:t>и,</w:t>
      </w:r>
      <w:r>
        <w:rPr>
          <w:color w:val="000000"/>
          <w:vertAlign w:val="superscript"/>
        </w:rPr>
        <w:t>421</w:t>
      </w:r>
      <w:r>
        <w:rPr>
          <w:color w:val="000000"/>
        </w:rPr>
        <w:t xml:space="preserve"> у остваривању потциља 4.5. који се односи на елиминисање родне неједнакости у образовању и обезбеђивању једнаког приступа свим нивоима образовања и стручном оспособљавању за рањиве групе, на нивоу основне школе у периоду 2014–2019. године повећан је </w:t>
      </w:r>
      <w:r>
        <w:rPr>
          <w:color w:val="000000"/>
        </w:rPr>
        <w:t>диспаритет у корист дечака, док је на нивоу више средње школе диспаритет смањен, а стање је непромењено на нивоу ниже средње школе. Када је у питању диспаритет између деце из најсиромашнијих и најбогатијих домаћинстава, на нивоу основног образовања дошло ј</w:t>
      </w:r>
      <w:r>
        <w:rPr>
          <w:color w:val="000000"/>
        </w:rPr>
        <w:t>е до преокрета у корист деце из најсиромашнијих слојева, док се на нивоу ниже средње и више средње школе одржао диспаритет у корист деце из најбогатијих домаћинстава.</w:t>
      </w:r>
    </w:p>
    <w:p w:rsidR="00BC3CE6" w:rsidRDefault="009A2DE5">
      <w:pPr>
        <w:spacing w:after="150"/>
      </w:pPr>
      <w:r>
        <w:rPr>
          <w:color w:val="000000"/>
        </w:rPr>
        <w:t>Родну сегрегацију у образовању потврђује и чињеница да је међу младима који завршавају ср</w:t>
      </w:r>
      <w:r>
        <w:rPr>
          <w:color w:val="000000"/>
        </w:rPr>
        <w:t>едње четворогодишње опште образовање (гимназије) више девојчица (58%) него дечака (42%). Девојчице су у већини и међу младима који завршавају средње стручне четворогодишње школе (53% према 47% дечака). Дечаци су бројнији у подручјима образовања: електротех</w:t>
      </w:r>
      <w:r>
        <w:rPr>
          <w:color w:val="000000"/>
        </w:rPr>
        <w:t>ника, машинство и обрада метала, геодезија и грађевинарство, саобраћај, шумарство и обрада дрвета и геологија и рударство.</w:t>
      </w:r>
      <w:r>
        <w:rPr>
          <w:color w:val="000000"/>
          <w:vertAlign w:val="superscript"/>
        </w:rPr>
        <w:t>422</w:t>
      </w:r>
      <w:r>
        <w:rPr>
          <w:color w:val="000000"/>
        </w:rPr>
        <w:t xml:space="preserve"> Високе школе и факултете више уписују и завршавају жене: међу студентима жена је 57%, међу дипломиранима 59%, као и међу онима кој</w:t>
      </w:r>
      <w:r>
        <w:rPr>
          <w:color w:val="000000"/>
        </w:rPr>
        <w:t>и су докторирали (57% жена према 43% мушкараца).</w:t>
      </w:r>
      <w:r>
        <w:rPr>
          <w:color w:val="000000"/>
          <w:vertAlign w:val="superscript"/>
        </w:rPr>
        <w:t>423</w:t>
      </w:r>
      <w:r>
        <w:rPr>
          <w:color w:val="000000"/>
        </w:rPr>
        <w:t xml:space="preserve"> Према Индексу родне равноправности за 2014. годину, у домену знања</w:t>
      </w:r>
      <w:r>
        <w:rPr>
          <w:color w:val="000000"/>
          <w:vertAlign w:val="superscript"/>
        </w:rPr>
        <w:t>424</w:t>
      </w:r>
      <w:r>
        <w:rPr>
          <w:color w:val="000000"/>
        </w:rPr>
        <w:t xml:space="preserve"> разлика између жена и мушкараца у уделу међу дипломцима терцијарног образовања била је само 0,1%, док је 2016. године порасла на 2,5%,</w:t>
      </w:r>
      <w:r>
        <w:rPr>
          <w:color w:val="000000"/>
        </w:rPr>
        <w:t xml:space="preserve"> при чему је разлика између полова била још већа у области друштвених наука и уметности. Учешће и мушкараца и жена у доживотном учењу је ниско, а низак је и јаз између полова (0,4% током 2014. године).</w:t>
      </w:r>
      <w:r>
        <w:rPr>
          <w:color w:val="000000"/>
          <w:vertAlign w:val="superscript"/>
        </w:rPr>
        <w:t>425</w:t>
      </w:r>
      <w:r>
        <w:rPr>
          <w:color w:val="000000"/>
        </w:rPr>
        <w:t xml:space="preserve"> Индекс родне равноправности за 2016. годину</w:t>
      </w:r>
      <w:r>
        <w:rPr>
          <w:color w:val="000000"/>
          <w:vertAlign w:val="superscript"/>
        </w:rPr>
        <w:t>426</w:t>
      </w:r>
      <w:r>
        <w:rPr>
          <w:color w:val="000000"/>
        </w:rPr>
        <w:t xml:space="preserve"> пока</w:t>
      </w:r>
      <w:r>
        <w:rPr>
          <w:color w:val="000000"/>
        </w:rPr>
        <w:t xml:space="preserve">зује да и даље постоји хоризонтална родна сегрегација у погледу избора будућег занимања, која се темељи на још увек присутној традиционалној подели </w:t>
      </w:r>
      <w:r>
        <w:rPr>
          <w:color w:val="000000"/>
        </w:rPr>
        <w:lastRenderedPageBreak/>
        <w:t>занимања на мушка и женска. У домену знања забележено је благо повећање вредности индекса, захваљујући повећ</w:t>
      </w:r>
      <w:r>
        <w:rPr>
          <w:color w:val="000000"/>
        </w:rPr>
        <w:t>ању резултата у поддомену учешћа и постигнућа, док је дошло до благе негативне промене у поддомену сегрегације. Сегрегација је и даље изражена јер је међу женама које студирају већи удео оних које се образују у областима образовања, здравља, социјалне зашт</w:t>
      </w:r>
      <w:r>
        <w:rPr>
          <w:color w:val="000000"/>
        </w:rPr>
        <w:t>ите, хуманистичким наукама и уметности него што је међу мушкарцима који студирају.</w:t>
      </w:r>
      <w:r>
        <w:rPr>
          <w:color w:val="000000"/>
          <w:vertAlign w:val="superscript"/>
        </w:rPr>
        <w:t>427</w:t>
      </w:r>
      <w:r>
        <w:rPr>
          <w:color w:val="000000"/>
        </w:rPr>
        <w:t xml:space="preserve"> То потврђују и налази РЗС: жене чине већину у многим подручјима образовања, као што су здравство (71%), уметност (68%) и природне науке (66%), а мушкарци су бројнији у ин</w:t>
      </w:r>
      <w:r>
        <w:rPr>
          <w:color w:val="000000"/>
        </w:rPr>
        <w:t>жењерству, производњи и грађевинарству (57%), информационим и комуникационим технологијама (66%) и услугама (56%).</w:t>
      </w:r>
      <w:r>
        <w:rPr>
          <w:color w:val="000000"/>
          <w:vertAlign w:val="superscript"/>
        </w:rPr>
        <w:t>428</w:t>
      </w:r>
    </w:p>
    <w:p w:rsidR="00BC3CE6" w:rsidRDefault="009A2DE5">
      <w:pPr>
        <w:spacing w:after="150"/>
      </w:pPr>
      <w:r>
        <w:rPr>
          <w:color w:val="000000"/>
        </w:rPr>
        <w:t>Родна осетљивост основног и средњошколског образовања. У програмима наставе и учења основног и средњег образовања нису у довољној мери зас</w:t>
      </w:r>
      <w:r>
        <w:rPr>
          <w:color w:val="000000"/>
        </w:rPr>
        <w:t>тупљене теме које афирмишу родну равноправност и код ученика и ученица развијају знања и вештине неопходне за живот у демократском друштву заснованом на принципу недискриминације и родне равноправности, у коме се поштује и уважава разноврсност родних и дру</w:t>
      </w:r>
      <w:r>
        <w:rPr>
          <w:color w:val="000000"/>
        </w:rPr>
        <w:t>гих идентитета. Програмски садржаји који се односе на васпитање за демократију и грађанско друштво део су Плана и програма наставе и учења за основне и средње школе, а остварују се кроз наставни програм предмета Грађанско васпитање, који има статус обавезн</w:t>
      </w:r>
      <w:r>
        <w:rPr>
          <w:color w:val="000000"/>
        </w:rPr>
        <w:t>ог изборног предмета који је пандан предмету Верска настава, а бира се за сваку школску годину. У току 2017. године Завод за унапређивање образовања и васпитања припремио је нове планове и програме наставе и учења за основно образовање и васпитање. Програм</w:t>
      </w:r>
      <w:r>
        <w:rPr>
          <w:color w:val="000000"/>
        </w:rPr>
        <w:t>и су исходовно оријентисани и обезбеђују развој међупредметних компетенција од којих је једна „Одговорно учешће у демократском друштву” која се препознаје у исходима који се односе на поштовање људских права и слобода. Циљ наставе и учења нових програма из</w:t>
      </w:r>
      <w:r>
        <w:rPr>
          <w:color w:val="000000"/>
        </w:rPr>
        <w:t>борног предмета Грађанско васпитање јесте да ученик изучавањем основних принципа, вредности и процедура грађанског друштва постане свестан својих права и одговорности, осетљив за потребе појединаца и заједнице и спреман да активно делује у заједници уважав</w:t>
      </w:r>
      <w:r>
        <w:rPr>
          <w:color w:val="000000"/>
        </w:rPr>
        <w:t>ајући демократске вредности.</w:t>
      </w:r>
    </w:p>
    <w:p w:rsidR="00BC3CE6" w:rsidRDefault="009A2DE5">
      <w:pPr>
        <w:spacing w:after="150"/>
      </w:pPr>
      <w:r>
        <w:rPr>
          <w:color w:val="000000"/>
        </w:rPr>
        <w:t>Са циљем унапређивања компетенција наставника који остварују наставу Грађанског васпитања израђена су три приручника: приручник за први и други циклус основног образовања и васпитања,</w:t>
      </w:r>
      <w:r>
        <w:rPr>
          <w:color w:val="000000"/>
          <w:vertAlign w:val="superscript"/>
        </w:rPr>
        <w:t>429</w:t>
      </w:r>
      <w:r>
        <w:rPr>
          <w:color w:val="000000"/>
        </w:rPr>
        <w:t xml:space="preserve"> и за гимназију.</w:t>
      </w:r>
      <w:r>
        <w:rPr>
          <w:color w:val="000000"/>
          <w:vertAlign w:val="superscript"/>
        </w:rPr>
        <w:t>430</w:t>
      </w:r>
      <w:r>
        <w:rPr>
          <w:color w:val="000000"/>
        </w:rPr>
        <w:t xml:space="preserve"> Приручници су припрем</w:t>
      </w:r>
      <w:r>
        <w:rPr>
          <w:color w:val="000000"/>
        </w:rPr>
        <w:t>љени у складу са реформисаним програмима за Грађанско васпитање и оријентисани на достизање исхода и развој компетенција. У садржај приручника увршћене су теме толеранције, поштовања различитости, родне равноправности и недискриминације, које су најзаступљ</w:t>
      </w:r>
      <w:r>
        <w:rPr>
          <w:color w:val="000000"/>
        </w:rPr>
        <w:t>еније у програму Грађанског васпитања за VIII разред основне школе. Приручници наставницима/цама пружају основне информације о овим темама, као и инструкције о правилној употреби релевантних термина, као што су толеранција, различитост, дискриминација, пол</w:t>
      </w:r>
      <w:r>
        <w:rPr>
          <w:color w:val="000000"/>
        </w:rPr>
        <w:t xml:space="preserve">, род, родне </w:t>
      </w:r>
      <w:r>
        <w:rPr>
          <w:color w:val="000000"/>
        </w:rPr>
        <w:lastRenderedPageBreak/>
        <w:t>улоге, сексизам и др, информације о родним и другим стереотипима и предрасудама, о родној дискриминацији и дискриминацији по другим основима и начину реаговања на дискриминацију. Приручници садрже и теме из области родно заснованог насиља прем</w:t>
      </w:r>
      <w:r>
        <w:rPr>
          <w:color w:val="000000"/>
        </w:rPr>
        <w:t>а женама и пратећим феноменима, као и информације о прописима и институционалним механизмима за остваривање равноправности. Да ли је дошло до смањења родних стереотипа и предрасуда, који су у ранијем периоду били прилично раширени, није познато, јер је пос</w:t>
      </w:r>
      <w:r>
        <w:rPr>
          <w:color w:val="000000"/>
        </w:rPr>
        <w:t>ледње истраживање о томе рађено још 2010. године.</w:t>
      </w:r>
      <w:r>
        <w:rPr>
          <w:color w:val="000000"/>
          <w:vertAlign w:val="superscript"/>
        </w:rPr>
        <w:t>431</w:t>
      </w:r>
    </w:p>
    <w:p w:rsidR="00BC3CE6" w:rsidRDefault="009A2DE5">
      <w:pPr>
        <w:spacing w:after="150"/>
      </w:pPr>
      <w:r>
        <w:rPr>
          <w:color w:val="000000"/>
        </w:rPr>
        <w:t>У гимназијски програм уведени су нови изборни програми: Језик, медији и култура; Појединац, група и друштво; Здравље и спорт; Образовање за одрживи развој; Уметност и дизајн; Примењене науке; Основи геоп</w:t>
      </w:r>
      <w:r>
        <w:rPr>
          <w:color w:val="000000"/>
        </w:rPr>
        <w:t>олитике; Економија и бизнис;</w:t>
      </w:r>
      <w:r>
        <w:br/>
      </w:r>
      <w:r>
        <w:rPr>
          <w:color w:val="000000"/>
        </w:rPr>
        <w:t>Религије и цивилизације; Методологија научног истраживања и Савремене технологије. У оквиру других наставних предмета, у мери у којој је то могуће уводе се исходи који се односе на поштовање родне равноправности, различитости и</w:t>
      </w:r>
      <w:r>
        <w:rPr>
          <w:color w:val="000000"/>
        </w:rPr>
        <w:t xml:space="preserve"> интеркултурални дијалог.</w:t>
      </w:r>
    </w:p>
    <w:p w:rsidR="00BC3CE6" w:rsidRDefault="009A2DE5">
      <w:pPr>
        <w:spacing w:after="150"/>
      </w:pPr>
      <w:r>
        <w:rPr>
          <w:color w:val="000000"/>
        </w:rPr>
        <w:t xml:space="preserve">Упркос позитивним помацима, стање није задовољавајуће. Зато је у Стратегији развоја образовања у Републици Србији до 2030. године, као једна од мера за унапређење наставе и учења, планирана примена приступа који обезбеђује да </w:t>
      </w:r>
      <w:r>
        <w:rPr>
          <w:color w:val="000000"/>
        </w:rPr>
        <w:t>програми наставе и учења буду осетљиви на родну равноправност и специфичности различитих друштвених група укључујући и осетљиве друштвене групе.</w:t>
      </w:r>
    </w:p>
    <w:p w:rsidR="00BC3CE6" w:rsidRDefault="009A2DE5">
      <w:pPr>
        <w:spacing w:after="150"/>
      </w:pPr>
      <w:r>
        <w:rPr>
          <w:color w:val="000000"/>
        </w:rPr>
        <w:t>Уџбеници и други наставни материјал још увек обилују родно стереотипним садржајима. Права жена сагледавају се у</w:t>
      </w:r>
      <w:r>
        <w:rPr>
          <w:color w:val="000000"/>
        </w:rPr>
        <w:t xml:space="preserve"> оквиру борбе за праведнији поредак, али недостају посебне теме које се односе на питања важна за разумевање родне (не)равноправности, присуство мушких и женских ликова је веома неуједначено – и на сликама и у тексту представљено је вишеструко више мушких </w:t>
      </w:r>
      <w:r>
        <w:rPr>
          <w:color w:val="000000"/>
        </w:rPr>
        <w:t>него женских ликова, а посебно је неуједначен број знаменитих личности представљених у уџбеницима, као и цитираних аутора, који су претежно мушкарци. Жене су у односу на мушкарце несразмерно представљене као кључни носиоци послова у домаћинству и као супру</w:t>
      </w:r>
      <w:r>
        <w:rPr>
          <w:color w:val="000000"/>
        </w:rPr>
        <w:t>ге и мајке са стереотипним родним особинама. У већем броју анализираних уџбеника систематски се користи родно стереотипни језик.</w:t>
      </w:r>
      <w:r>
        <w:rPr>
          <w:color w:val="000000"/>
          <w:vertAlign w:val="superscript"/>
        </w:rPr>
        <w:t>432</w:t>
      </w:r>
      <w:r>
        <w:rPr>
          <w:color w:val="000000"/>
        </w:rPr>
        <w:t xml:space="preserve"> Садржаји кроз које се перпетуирају стереотипне улоге полова односе се на представљање професионалних улога. Професије, сфера</w:t>
      </w:r>
      <w:r>
        <w:rPr>
          <w:color w:val="000000"/>
        </w:rPr>
        <w:t xml:space="preserve"> рада и руководећи положаји су готово ексклузивно представљени кроз мушке ликове.</w:t>
      </w:r>
      <w:r>
        <w:rPr>
          <w:color w:val="000000"/>
          <w:vertAlign w:val="superscript"/>
        </w:rPr>
        <w:t>433</w:t>
      </w:r>
      <w:r>
        <w:rPr>
          <w:color w:val="000000"/>
        </w:rPr>
        <w:t xml:space="preserve"> Родна анализа наставних програма и уџбеника за српски језик од I до IV разреда основне школе</w:t>
      </w:r>
      <w:r>
        <w:rPr>
          <w:color w:val="000000"/>
          <w:vertAlign w:val="superscript"/>
        </w:rPr>
        <w:t>434</w:t>
      </w:r>
      <w:r>
        <w:rPr>
          <w:color w:val="000000"/>
        </w:rPr>
        <w:t xml:space="preserve"> показала је да концепт родне равноправности није укључен у појмовни апарат </w:t>
      </w:r>
      <w:r>
        <w:rPr>
          <w:color w:val="000000"/>
        </w:rPr>
        <w:t>ни у наставним програмима нити у уџбеницима за прва четири разреда основне школе. Ниједан од понуђених садржаја у свом називу не обухвата тему родне равноправности, нити обрада датих садржаја подразумева објашњење услова за остваривање родне равноправности</w:t>
      </w:r>
      <w:r>
        <w:rPr>
          <w:color w:val="000000"/>
        </w:rPr>
        <w:t>, као ни изворе родне неравноправности у друштву.</w:t>
      </w:r>
    </w:p>
    <w:p w:rsidR="00BC3CE6" w:rsidRDefault="009A2DE5">
      <w:pPr>
        <w:spacing w:after="150"/>
      </w:pPr>
      <w:r>
        <w:rPr>
          <w:color w:val="000000"/>
        </w:rPr>
        <w:lastRenderedPageBreak/>
        <w:t>За родну осетљивост образовања од значаја је и „скривени” курикулум, којим се ученицима и ученицама преносе непрописани и непланирани вредносни ставови и обрасци понашања.</w:t>
      </w:r>
      <w:r>
        <w:rPr>
          <w:color w:val="000000"/>
          <w:vertAlign w:val="superscript"/>
        </w:rPr>
        <w:t>435</w:t>
      </w:r>
      <w:r>
        <w:rPr>
          <w:color w:val="000000"/>
        </w:rPr>
        <w:t xml:space="preserve"> Ови ставови и обрасци, који се </w:t>
      </w:r>
      <w:r>
        <w:rPr>
          <w:color w:val="000000"/>
        </w:rPr>
        <w:t>преносе путем формалних и неформалних контаката и имплицитне организационе културе, углавном репродукују традиционалне родне матрице. С обзиром да је „скривени” курикулум предуслов за стварање толерантног и инклузивног образовног окружења, као и за увођење</w:t>
      </w:r>
      <w:r>
        <w:rPr>
          <w:color w:val="000000"/>
        </w:rPr>
        <w:t xml:space="preserve"> родне перспективе у планове рада са децом и младима, у протеклом периоду спроведен је низ активности на унапређењу компетенција наставног особља за грађанске вредности и родну равноправност.</w:t>
      </w:r>
      <w:r>
        <w:rPr>
          <w:color w:val="000000"/>
          <w:vertAlign w:val="superscript"/>
        </w:rPr>
        <w:t>436</w:t>
      </w:r>
      <w:r>
        <w:rPr>
          <w:color w:val="000000"/>
        </w:rPr>
        <w:t xml:space="preserve"> Поред осталог, реализована је обука „Наставници као носиоци к</w:t>
      </w:r>
      <w:r>
        <w:rPr>
          <w:color w:val="000000"/>
        </w:rPr>
        <w:t>валитетног образовању за сву децу”, која је део јединствене листе обука од посебног значаја, а коју је похађало 275 просветних саветника/ца и спољних сарадника/ца. Неки од семинара на којима су наставници/це добили потребна знања, вештине и алате за реализ</w:t>
      </w:r>
      <w:r>
        <w:rPr>
          <w:color w:val="000000"/>
        </w:rPr>
        <w:t>ацију активности са ученицима/цама основних и средњих школа усмерени су на теме које се тичу родне равноправности,</w:t>
      </w:r>
      <w:r>
        <w:rPr>
          <w:color w:val="000000"/>
          <w:vertAlign w:val="superscript"/>
        </w:rPr>
        <w:t>437</w:t>
      </w:r>
      <w:r>
        <w:rPr>
          <w:color w:val="000000"/>
        </w:rPr>
        <w:t xml:space="preserve"> док су се неки програми бавили проблемом родно заснованих облика насиља. Овај процес треба наставити јер програмима за развој родних компе</w:t>
      </w:r>
      <w:r>
        <w:rPr>
          <w:color w:val="000000"/>
        </w:rPr>
        <w:t>тенција треба обухватити целокупно наставно особље на свим нивоима образовања.</w:t>
      </w:r>
    </w:p>
    <w:p w:rsidR="00BC3CE6" w:rsidRDefault="009A2DE5">
      <w:pPr>
        <w:spacing w:after="150"/>
      </w:pPr>
      <w:r>
        <w:rPr>
          <w:color w:val="000000"/>
        </w:rPr>
        <w:t xml:space="preserve">Родна осетљивост високошколског образовања један је од кључних услова зa делотворно спровођење политике родне равноправности и једнаких могућности у свим областима друштвеног </w:t>
      </w:r>
      <w:r>
        <w:rPr>
          <w:color w:val="000000"/>
        </w:rPr>
        <w:t>живота. Законом о високом образовању прописано је да се високо образовање заснива на принципима уважавања хуманистичких и демократских вредности националне и европске традиције и вредности културног наслеђа и поштовање људских права и грађанских слобода, у</w:t>
      </w:r>
      <w:r>
        <w:rPr>
          <w:color w:val="000000"/>
        </w:rPr>
        <w:t>кључујући забрану свих видова дискриминације,</w:t>
      </w:r>
      <w:r>
        <w:rPr>
          <w:color w:val="000000"/>
          <w:vertAlign w:val="superscript"/>
        </w:rPr>
        <w:t>438</w:t>
      </w:r>
      <w:r>
        <w:rPr>
          <w:color w:val="000000"/>
        </w:rPr>
        <w:t xml:space="preserve"> али се родна равноправност експлицитно не помиње. Закон садржи клаузулу о употреби родно осетљивог језика, али је у целини родно неутралан. Правилник о стандардима за акредитацију студијских програма</w:t>
      </w:r>
      <w:r>
        <w:rPr>
          <w:color w:val="000000"/>
          <w:vertAlign w:val="superscript"/>
        </w:rPr>
        <w:t>439</w:t>
      </w:r>
      <w:r>
        <w:rPr>
          <w:color w:val="000000"/>
        </w:rPr>
        <w:t xml:space="preserve"> не с</w:t>
      </w:r>
      <w:r>
        <w:rPr>
          <w:color w:val="000000"/>
        </w:rPr>
        <w:t>адржи ни један родно осетљив услов у погледу стицања општих компетенција дипломираних студената и студенткиња. Њиме се образовне установе упућују да приликом креирања студијских програма опште квалификације дипломираних студената и студенткиња утврђују у с</w:t>
      </w:r>
      <w:r>
        <w:rPr>
          <w:color w:val="000000"/>
        </w:rPr>
        <w:t>кладу са Националним оквиром квалификација,</w:t>
      </w:r>
      <w:r>
        <w:rPr>
          <w:color w:val="000000"/>
          <w:vertAlign w:val="superscript"/>
        </w:rPr>
        <w:t>440</w:t>
      </w:r>
      <w:r>
        <w:rPr>
          <w:color w:val="000000"/>
        </w:rPr>
        <w:t xml:space="preserve"> али овај пропис којим је за сваки ниво образовања утврђен сет општих знања, вештина, способности и ставова, не садржи ни један дескриптор који се односи на људска права и родну равноправност, што се негативно </w:t>
      </w:r>
      <w:r>
        <w:rPr>
          <w:color w:val="000000"/>
        </w:rPr>
        <w:t>одражава на дефинисање квалификација које студенти и студенткиње стичу на одређеним врстама и нивоима студија. Правилник о стандардима и поступку за акредитацију високошколских установа</w:t>
      </w:r>
      <w:r>
        <w:rPr>
          <w:color w:val="000000"/>
          <w:vertAlign w:val="superscript"/>
        </w:rPr>
        <w:t>441</w:t>
      </w:r>
      <w:r>
        <w:rPr>
          <w:color w:val="000000"/>
        </w:rPr>
        <w:t xml:space="preserve"> не садржи ни један стандард који се тиче остваривања родне равнопра</w:t>
      </w:r>
      <w:r>
        <w:rPr>
          <w:color w:val="000000"/>
        </w:rPr>
        <w:t>вности. Једино је у стандардима који се тичу студената прописано да високошколска установа пружа додатну подршку студентима из осетљивих група. Овај стандард није на адекватан начин операционализован.</w:t>
      </w:r>
      <w:r>
        <w:rPr>
          <w:color w:val="000000"/>
          <w:vertAlign w:val="superscript"/>
        </w:rPr>
        <w:t>442</w:t>
      </w:r>
      <w:r>
        <w:rPr>
          <w:color w:val="000000"/>
        </w:rPr>
        <w:t xml:space="preserve"> Ни Правилник о стандардима за самовредновање и </w:t>
      </w:r>
      <w:r>
        <w:rPr>
          <w:color w:val="000000"/>
        </w:rPr>
        <w:lastRenderedPageBreak/>
        <w:t>оцењи</w:t>
      </w:r>
      <w:r>
        <w:rPr>
          <w:color w:val="000000"/>
        </w:rPr>
        <w:t>вање квалитета високошколских установа и студијских програма</w:t>
      </w:r>
      <w:r>
        <w:rPr>
          <w:color w:val="000000"/>
          <w:vertAlign w:val="superscript"/>
        </w:rPr>
        <w:t>443</w:t>
      </w:r>
      <w:r>
        <w:rPr>
          <w:color w:val="000000"/>
        </w:rPr>
        <w:t xml:space="preserve"> не садржи стандарде релевантне за остваривање родне равноправности.</w:t>
      </w:r>
    </w:p>
    <w:p w:rsidR="00BC3CE6" w:rsidRDefault="009A2DE5">
      <w:pPr>
        <w:spacing w:after="150"/>
      </w:pPr>
      <w:r>
        <w:rPr>
          <w:color w:val="000000"/>
        </w:rPr>
        <w:t>Aнализе курикулума појединих студијских програма и силабуса наставних предмета</w:t>
      </w:r>
      <w:r>
        <w:rPr>
          <w:color w:val="000000"/>
          <w:vertAlign w:val="superscript"/>
        </w:rPr>
        <w:t>444</w:t>
      </w:r>
      <w:r>
        <w:rPr>
          <w:color w:val="000000"/>
        </w:rPr>
        <w:t xml:space="preserve"> показале су да родна перспектива није инте</w:t>
      </w:r>
      <w:r>
        <w:rPr>
          <w:color w:val="000000"/>
        </w:rPr>
        <w:t>грисана у њихове садржаје, да су уџбеници углавном родно неутрални, а у некима су присутни и родно стереотипни приступи у тумачењу друштвених појава. Образовни материјал који се користи у високошколском образовању у највећем броју случајева је родно неосет</w:t>
      </w:r>
      <w:r>
        <w:rPr>
          <w:color w:val="000000"/>
        </w:rPr>
        <w:t>љив. Нема равномерне заступљености примера мушких и женских родних улога, а постојећи прикази рода и родних улога су стереотипни и ослањању се на традиционалне патријархалне парадигме. Готово нигде није заступљен родно осетљив језик, већ се термини и израз</w:t>
      </w:r>
      <w:r>
        <w:rPr>
          <w:color w:val="000000"/>
        </w:rPr>
        <w:t>и користе скоро искључиво у мушком роду, нити се користи адекватан терминолошки апарат који упућује на друштвену конструкцију рода и родних улога и сл. Уџбеници који имају чак и делимично приступ родне осетљивости и баве се питањима о женама или неким друг</w:t>
      </w:r>
      <w:r>
        <w:rPr>
          <w:color w:val="000000"/>
        </w:rPr>
        <w:t>им друштвено рањивим групама, то чине или недовољно или, што је још чешћа појава, на неодговарајући начин, тако што искључују или омаловажавају друштвено рањиве групе, дискриминишу обичаје, културу и веру мањинских етничких група, нетрадиционалне породице,</w:t>
      </w:r>
      <w:r>
        <w:rPr>
          <w:color w:val="000000"/>
        </w:rPr>
        <w:t xml:space="preserve"> ЛГБТ популације итд.</w:t>
      </w:r>
      <w:r>
        <w:rPr>
          <w:color w:val="000000"/>
          <w:vertAlign w:val="superscript"/>
        </w:rPr>
        <w:t>445</w:t>
      </w:r>
    </w:p>
    <w:p w:rsidR="00BC3CE6" w:rsidRDefault="009A2DE5">
      <w:pPr>
        <w:spacing w:after="150"/>
      </w:pPr>
      <w:r>
        <w:rPr>
          <w:color w:val="000000"/>
        </w:rPr>
        <w:t xml:space="preserve">Област високог образовања у Републици Србији карактеришу родна неравноправност, снажна вертикална сегрегација и недовољна заступљеност жена у доношењу одлука и креирању политика на универзитетима и у научној заједници. Истраживања </w:t>
      </w:r>
      <w:r>
        <w:rPr>
          <w:color w:val="000000"/>
        </w:rPr>
        <w:t>показују да је положај жена у систему високог образовања неповољнији у односу на положај мушкараца. Постоји висок родни дисбаланс у погледу заступљености жена на руководећим позицијама, у развоју професионалне каријере жене се суочавају са специфичним родн</w:t>
      </w:r>
      <w:r>
        <w:rPr>
          <w:color w:val="000000"/>
        </w:rPr>
        <w:t>о заснованим баријерама, а постоје и знатне разлике у начину на које жене и мушкарци у науци комбинују свој професионални и породични живот, с обзиром на то да каријерни успех жена није праћен еманципацијом унутар приватног домена, што жене ставља у позици</w:t>
      </w:r>
      <w:r>
        <w:rPr>
          <w:color w:val="000000"/>
        </w:rPr>
        <w:t>ју двоструке оптерећености.</w:t>
      </w:r>
      <w:r>
        <w:rPr>
          <w:color w:val="000000"/>
          <w:vertAlign w:val="superscript"/>
        </w:rPr>
        <w:t>446</w:t>
      </w:r>
      <w:r>
        <w:rPr>
          <w:color w:val="000000"/>
        </w:rPr>
        <w:t xml:space="preserve"> Анализа нормативног оквира академског рада указује на изостанак поимања значаја родне равноправности и проблема родних неједнакости, родно условљених каријера академских радника и радница и њихових неједнаких услова рада, чим</w:t>
      </w:r>
      <w:r>
        <w:rPr>
          <w:color w:val="000000"/>
        </w:rPr>
        <w:t>е се отвара додатни простор за креирање родних неједнакости унутар система високог образовања.</w:t>
      </w:r>
      <w:r>
        <w:rPr>
          <w:color w:val="000000"/>
          <w:vertAlign w:val="superscript"/>
        </w:rPr>
        <w:t>447</w:t>
      </w:r>
      <w:r>
        <w:rPr>
          <w:color w:val="000000"/>
        </w:rPr>
        <w:t xml:space="preserve"> Посебно забрињава што ни жене, ни мушкарци на руководећим позицијама у вискошколским установама не увиђају да је академска заједница обележена родним поделама</w:t>
      </w:r>
      <w:r>
        <w:rPr>
          <w:color w:val="000000"/>
        </w:rPr>
        <w:t>, сматрајући да је академски сектор меритократски и имун на дискриминацију.</w:t>
      </w:r>
      <w:r>
        <w:rPr>
          <w:color w:val="000000"/>
          <w:vertAlign w:val="superscript"/>
        </w:rPr>
        <w:t>448</w:t>
      </w:r>
      <w:r>
        <w:rPr>
          <w:color w:val="000000"/>
        </w:rPr>
        <w:t xml:space="preserve"> У високом образовању у Републици Србији готово потпуно изостаје и регулатива и пракса уношења родне перспективе у садржаје учења на институционалном универзитетском нивоу, на пл</w:t>
      </w:r>
      <w:r>
        <w:rPr>
          <w:color w:val="000000"/>
        </w:rPr>
        <w:t>ану наставних програма и наставних планова као и наставних материјала и уџбеника.</w:t>
      </w:r>
      <w:r>
        <w:rPr>
          <w:color w:val="000000"/>
          <w:vertAlign w:val="superscript"/>
        </w:rPr>
        <w:t>449</w:t>
      </w:r>
      <w:r>
        <w:rPr>
          <w:color w:val="000000"/>
        </w:rPr>
        <w:t xml:space="preserve"> У литератури је препознато да је за додатну едукацију и родну сензитивизацију знања од </w:t>
      </w:r>
      <w:r>
        <w:rPr>
          <w:color w:val="000000"/>
        </w:rPr>
        <w:lastRenderedPageBreak/>
        <w:t>посебног значаја увођење и афирмација предмета и студијских програма Студија рода на</w:t>
      </w:r>
      <w:r>
        <w:rPr>
          <w:color w:val="000000"/>
        </w:rPr>
        <w:t xml:space="preserve"> свим нивоима високог образовања, са циљем да се кроз интердисциплинарни приступ подстакне критичко промишљање знања и његово дограђивање из родне перспективе.</w:t>
      </w:r>
      <w:r>
        <w:rPr>
          <w:color w:val="000000"/>
          <w:vertAlign w:val="superscript"/>
        </w:rPr>
        <w:t>450</w:t>
      </w:r>
      <w:r>
        <w:rPr>
          <w:color w:val="000000"/>
        </w:rPr>
        <w:t xml:space="preserve"> Међутим, у овом домену бележи се назадовање у последњих неколико година. Смањује се број студ</w:t>
      </w:r>
      <w:r>
        <w:rPr>
          <w:color w:val="000000"/>
        </w:rPr>
        <w:t>ената и студенткиња који похађају студије рода (2017/18 − 14; 2016/17 − 15 на мастер програму и једна студенткиња докторских студија), а изостаје и адекватна финансијска подршка студентима и студенткињама као и предавачицама и истраживачицама у овој област</w:t>
      </w:r>
      <w:r>
        <w:rPr>
          <w:color w:val="000000"/>
        </w:rPr>
        <w:t>и.</w:t>
      </w:r>
      <w:r>
        <w:rPr>
          <w:color w:val="000000"/>
          <w:vertAlign w:val="superscript"/>
        </w:rPr>
        <w:t>451</w:t>
      </w:r>
    </w:p>
    <w:p w:rsidR="00BC3CE6" w:rsidRDefault="009A2DE5">
      <w:pPr>
        <w:spacing w:after="150"/>
        <w:jc w:val="both"/>
      </w:pPr>
      <w:r>
        <w:rPr>
          <w:i/>
          <w:color w:val="000000"/>
        </w:rPr>
        <w:t>––––––––</w:t>
      </w:r>
    </w:p>
    <w:p w:rsidR="00BC3CE6" w:rsidRDefault="009A2DE5">
      <w:pPr>
        <w:spacing w:after="150"/>
        <w:jc w:val="both"/>
      </w:pPr>
      <w:r>
        <w:rPr>
          <w:i/>
          <w:color w:val="000000"/>
        </w:rPr>
        <w:t>385 Gender in education and training, EIGE, 2016. страна 3; Милић, А. Патријархални поредак, револуција и сазнање о положају жене, у: Милић, Анђелка (ур.), Положај жене као мерило модернизације, Београд: Институт за новију историју Србије, 1</w:t>
      </w:r>
      <w:r>
        <w:rPr>
          <w:i/>
          <w:color w:val="000000"/>
        </w:rPr>
        <w:t>998, стр. 558–559.</w:t>
      </w:r>
    </w:p>
    <w:p w:rsidR="00BC3CE6" w:rsidRDefault="009A2DE5">
      <w:pPr>
        <w:spacing w:after="150"/>
        <w:jc w:val="both"/>
      </w:pPr>
      <w:r>
        <w:rPr>
          <w:i/>
          <w:color w:val="000000"/>
        </w:rPr>
        <w:t>386 Опширније: УН, Агенда одрживог развоја 2030, доступно на: https://sdgs.un.org/2030agenda</w:t>
      </w:r>
    </w:p>
    <w:p w:rsidR="00BC3CE6" w:rsidRDefault="009A2DE5">
      <w:pPr>
        <w:spacing w:after="150"/>
        <w:jc w:val="both"/>
      </w:pPr>
      <w:r>
        <w:rPr>
          <w:i/>
          <w:color w:val="000000"/>
        </w:rPr>
        <w:t>387 Стратегија Европа 2020, https://europa.rs/images/publikacije/29-Evropa_2020.pdf, приступ 3.6.2021.</w:t>
      </w:r>
    </w:p>
    <w:p w:rsidR="00BC3CE6" w:rsidRDefault="009A2DE5">
      <w:pPr>
        <w:spacing w:after="150"/>
        <w:jc w:val="both"/>
      </w:pPr>
      <w:r>
        <w:rPr>
          <w:i/>
          <w:color w:val="000000"/>
        </w:rPr>
        <w:t>388 „Службени гласник РС”, број 4/16.</w:t>
      </w:r>
    </w:p>
    <w:p w:rsidR="00BC3CE6" w:rsidRDefault="009A2DE5">
      <w:pPr>
        <w:spacing w:after="150"/>
        <w:jc w:val="both"/>
      </w:pPr>
      <w:r>
        <w:rPr>
          <w:i/>
          <w:color w:val="000000"/>
        </w:rPr>
        <w:t>389</w:t>
      </w:r>
      <w:r>
        <w:rPr>
          <w:i/>
          <w:color w:val="000000"/>
        </w:rPr>
        <w:t xml:space="preserve"> У питању су биле следеће мере: Увођење обавезних родно осетљивих и антидискриминаторних образовних програма и наставних садржаја на свим нивоима образовања, укључивши образовање одраслих и образовање медијских професионалаца/професионалки; Ревизија настав</w:t>
      </w:r>
      <w:r>
        <w:rPr>
          <w:i/>
          <w:color w:val="000000"/>
        </w:rPr>
        <w:t>них садржаја и уџбеника ради елиминисања родних стереотипа, дискриминаторних садржаја и дискриминаторског језика; Унапређивање компетенција запослених у образовању и васпитању путем увођења обавезних образовних програма о родној равноправности; Увођење род</w:t>
      </w:r>
      <w:r>
        <w:rPr>
          <w:i/>
          <w:color w:val="000000"/>
        </w:rPr>
        <w:t>но осетљивог језика у све наставне садржаје; Укључивање женског доприноса науци, култури и уметности у садржаје наставних предмета.</w:t>
      </w:r>
    </w:p>
    <w:p w:rsidR="00BC3CE6" w:rsidRDefault="009A2DE5">
      <w:pPr>
        <w:spacing w:after="150"/>
        <w:jc w:val="both"/>
      </w:pPr>
      <w:r>
        <w:rPr>
          <w:i/>
          <w:color w:val="000000"/>
        </w:rPr>
        <w:t>390 Посебан извештај Повереника за заштиту равноправности о дискциминацији жена, Повереник за заштиту равноправности, Београ</w:t>
      </w:r>
      <w:r>
        <w:rPr>
          <w:i/>
          <w:color w:val="000000"/>
        </w:rPr>
        <w:t>д, 2015.</w:t>
      </w:r>
    </w:p>
    <w:p w:rsidR="00BC3CE6" w:rsidRDefault="009A2DE5">
      <w:pPr>
        <w:spacing w:after="150"/>
        <w:jc w:val="both"/>
      </w:pPr>
      <w:r>
        <w:rPr>
          <w:i/>
          <w:color w:val="000000"/>
        </w:rPr>
        <w:t>391 Низ активности планиран је и Нацртом АП за спровођење Националне стратегије 2019–2020, али он није усвојен.</w:t>
      </w:r>
    </w:p>
    <w:p w:rsidR="00BC3CE6" w:rsidRDefault="009A2DE5">
      <w:pPr>
        <w:spacing w:after="150"/>
        <w:jc w:val="both"/>
      </w:pPr>
      <w:r>
        <w:rPr>
          <w:i/>
          <w:color w:val="000000"/>
        </w:rPr>
        <w:t>392 Евалуација НАП-а за родну равноправност 2016–2018, SeConS, Београд, 2019.</w:t>
      </w:r>
    </w:p>
    <w:p w:rsidR="00BC3CE6" w:rsidRDefault="009A2DE5">
      <w:pPr>
        <w:spacing w:after="150"/>
        <w:jc w:val="both"/>
      </w:pPr>
      <w:r>
        <w:rPr>
          <w:i/>
          <w:color w:val="000000"/>
        </w:rPr>
        <w:t>393 Исто, страна 8</w:t>
      </w:r>
    </w:p>
    <w:p w:rsidR="00BC3CE6" w:rsidRDefault="009A2DE5">
      <w:pPr>
        <w:spacing w:after="150"/>
        <w:jc w:val="both"/>
      </w:pPr>
      <w:r>
        <w:rPr>
          <w:i/>
          <w:color w:val="000000"/>
        </w:rPr>
        <w:t>394 Исто. страна 13.</w:t>
      </w:r>
    </w:p>
    <w:p w:rsidR="00BC3CE6" w:rsidRDefault="009A2DE5">
      <w:pPr>
        <w:spacing w:after="150"/>
        <w:jc w:val="both"/>
      </w:pPr>
      <w:r>
        <w:rPr>
          <w:i/>
          <w:color w:val="000000"/>
        </w:rPr>
        <w:t>395 „Службени гла</w:t>
      </w:r>
      <w:r>
        <w:rPr>
          <w:i/>
          <w:color w:val="000000"/>
        </w:rPr>
        <w:t>сник РС”, број 107/12.</w:t>
      </w:r>
    </w:p>
    <w:p w:rsidR="00BC3CE6" w:rsidRDefault="009A2DE5">
      <w:pPr>
        <w:spacing w:after="150"/>
        <w:jc w:val="both"/>
      </w:pPr>
      <w:r>
        <w:rPr>
          <w:i/>
          <w:color w:val="000000"/>
        </w:rPr>
        <w:lastRenderedPageBreak/>
        <w:t>396 Петрушић, Н., Бекер, К., Интегрисање родне перспективе у законодавство, у: Пајванчић, М., Урошевић, Б. (ур), Парламентаризам у Србији из женског угла, Мисија ОЕБС у Србији, 2020, стр. 41–82.</w:t>
      </w:r>
    </w:p>
    <w:p w:rsidR="00BC3CE6" w:rsidRDefault="009A2DE5">
      <w:pPr>
        <w:spacing w:after="150"/>
        <w:jc w:val="both"/>
      </w:pPr>
      <w:r>
        <w:rPr>
          <w:i/>
          <w:color w:val="000000"/>
        </w:rPr>
        <w:t xml:space="preserve">397 „Службени гласник РС”, бр. 88/17, </w:t>
      </w:r>
      <w:r>
        <w:rPr>
          <w:i/>
          <w:color w:val="000000"/>
        </w:rPr>
        <w:t>73/18, 27/18 – др. закон, 67/19 и 6/20 – др. закон</w:t>
      </w:r>
    </w:p>
    <w:p w:rsidR="00BC3CE6" w:rsidRDefault="009A2DE5">
      <w:pPr>
        <w:spacing w:after="150"/>
        <w:jc w:val="both"/>
      </w:pPr>
      <w:r>
        <w:rPr>
          <w:i/>
          <w:color w:val="000000"/>
        </w:rPr>
        <w:t>398 Члан 16. став 2, члан 20. став 4. и члан 62. став 7. Закона о високом образовању.</w:t>
      </w:r>
    </w:p>
    <w:p w:rsidR="00BC3CE6" w:rsidRDefault="009A2DE5">
      <w:pPr>
        <w:spacing w:after="150"/>
        <w:jc w:val="both"/>
      </w:pPr>
      <w:r>
        <w:rPr>
          <w:i/>
          <w:color w:val="000000"/>
        </w:rPr>
        <w:t>399 Комитет за елиминисање дискриминације жена, Закључна запажања у вези са Четвртим периодичном извештајем РС, CEDAW/C</w:t>
      </w:r>
      <w:r>
        <w:rPr>
          <w:i/>
          <w:color w:val="000000"/>
        </w:rPr>
        <w:t>/SRB/CO/4 од 8. марта 2019.</w:t>
      </w:r>
    </w:p>
    <w:p w:rsidR="00BC3CE6" w:rsidRDefault="009A2DE5">
      <w:pPr>
        <w:spacing w:after="150"/>
        <w:jc w:val="both"/>
      </w:pPr>
      <w:r>
        <w:rPr>
          <w:i/>
          <w:color w:val="000000"/>
        </w:rPr>
        <w:t>400 Исто, пар. 33.</w:t>
      </w:r>
    </w:p>
    <w:p w:rsidR="00BC3CE6" w:rsidRDefault="009A2DE5">
      <w:pPr>
        <w:spacing w:after="150"/>
        <w:jc w:val="both"/>
      </w:pPr>
      <w:r>
        <w:rPr>
          <w:i/>
          <w:color w:val="000000"/>
        </w:rPr>
        <w:t>401 Исто, пар. 34.</w:t>
      </w:r>
    </w:p>
    <w:p w:rsidR="00BC3CE6" w:rsidRDefault="009A2DE5">
      <w:pPr>
        <w:spacing w:after="150"/>
        <w:jc w:val="both"/>
      </w:pPr>
      <w:r>
        <w:rPr>
          <w:i/>
          <w:color w:val="000000"/>
        </w:rPr>
        <w:t>402</w:t>
      </w:r>
      <w:r>
        <w:rPr>
          <w:i/>
          <w:color w:val="000000"/>
        </w:rPr>
        <w:tab/>
        <w:t>Доступно на: https://www.srbija.gov.rs/extfile/sr/552501/strategija-razvoj-obrazovanja-srbija-2030-0061-cyr.zip, приступ 1.6.2021.</w:t>
      </w:r>
    </w:p>
    <w:p w:rsidR="00BC3CE6" w:rsidRDefault="009A2DE5">
      <w:pPr>
        <w:spacing w:after="150"/>
        <w:jc w:val="both"/>
      </w:pPr>
      <w:r>
        <w:rPr>
          <w:i/>
          <w:color w:val="000000"/>
        </w:rPr>
        <w:t>403</w:t>
      </w:r>
      <w:r>
        <w:rPr>
          <w:i/>
          <w:color w:val="000000"/>
        </w:rPr>
        <w:tab/>
        <w:t xml:space="preserve">Доступно на: </w:t>
      </w:r>
      <w:r>
        <w:rPr>
          <w:i/>
          <w:color w:val="000000"/>
        </w:rPr>
        <w:t>https://www.srbija.gov.rs/dokument/45678/strategije-programi-planovi-.php, приступ 1.6.2021.</w:t>
      </w:r>
    </w:p>
    <w:p w:rsidR="00BC3CE6" w:rsidRDefault="009A2DE5">
      <w:pPr>
        <w:spacing w:after="150"/>
        <w:jc w:val="both"/>
      </w:pPr>
      <w:r>
        <w:rPr>
          <w:i/>
          <w:color w:val="000000"/>
        </w:rPr>
        <w:t>404 Члан 37. Закона о родној равноправности.</w:t>
      </w:r>
    </w:p>
    <w:p w:rsidR="00BC3CE6" w:rsidRDefault="009A2DE5">
      <w:pPr>
        <w:spacing w:after="150"/>
        <w:jc w:val="both"/>
      </w:pPr>
      <w:r>
        <w:rPr>
          <w:i/>
          <w:color w:val="000000"/>
        </w:rPr>
        <w:t>405 Закон о основама система образовања и васпитања „Службени гласник РС”, бр. 88/17, 27/18 – др. закон и 10/19, Закон</w:t>
      </w:r>
      <w:r>
        <w:rPr>
          <w:i/>
          <w:color w:val="000000"/>
        </w:rPr>
        <w:t xml:space="preserve"> о предшколском васпитању и образовању, „Службени гласник РС”, бр. 18/10, 101/17, 113/17 – др. закон, 95/18 – др. закон и 10/19, Закон о основном образовању и васпитању, „Службени гласник РС”, бр. 55/13, 101/17, 27/18 – др. закон и 10/19, Закон о средњем о</w:t>
      </w:r>
      <w:r>
        <w:rPr>
          <w:i/>
          <w:color w:val="000000"/>
        </w:rPr>
        <w:t>бразовању и васпитању, „Службени гласник РС”, бр. 55/13, 101/17 и 27/18 – др. закон, Закон о дуалном образовању, „Службени гласник РС”, број 101/17, Закон о уџбеницима, „Службени гласник РС”, број 27/18.</w:t>
      </w:r>
    </w:p>
    <w:p w:rsidR="00BC3CE6" w:rsidRDefault="009A2DE5">
      <w:pPr>
        <w:spacing w:after="150"/>
        <w:jc w:val="both"/>
      </w:pPr>
      <w:r>
        <w:rPr>
          <w:i/>
          <w:color w:val="000000"/>
        </w:rPr>
        <w:t>406 Министарство просвете, науке и технолошког разво</w:t>
      </w:r>
      <w:r>
        <w:rPr>
          <w:i/>
          <w:color w:val="000000"/>
        </w:rPr>
        <w:t>ја РСе, Прилог за припрему Свеобухватног прегледа, март 2019.</w:t>
      </w:r>
    </w:p>
    <w:p w:rsidR="00BC3CE6" w:rsidRDefault="009A2DE5">
      <w:pPr>
        <w:spacing w:after="150"/>
        <w:jc w:val="both"/>
      </w:pPr>
      <w:r>
        <w:rPr>
          <w:i/>
          <w:color w:val="000000"/>
        </w:rPr>
        <w:t>407 Уведене 2009. године, доступно на: http://socijalnoukljucivanje.gov.rs/wp-content/uploads/2016/07/Analiza-primene-afirmativnih-mera-u-oblasti-obrazovanja-Roma-i-Romkinja-i-preporuke-za-unapr</w:t>
      </w:r>
      <w:r>
        <w:rPr>
          <w:i/>
          <w:color w:val="000000"/>
        </w:rPr>
        <w:t>edjenje-mera.pdf, страна 12 приступ јун 2021.</w:t>
      </w:r>
    </w:p>
    <w:p w:rsidR="00BC3CE6" w:rsidRDefault="009A2DE5">
      <w:pPr>
        <w:spacing w:after="150"/>
        <w:jc w:val="both"/>
      </w:pPr>
      <w:r>
        <w:rPr>
          <w:i/>
          <w:color w:val="000000"/>
        </w:rPr>
        <w:t>408 Анализа примене афирмативних мера у области образовања Рома и Ромкиња и препоруке за унапређење мера, Тим за социјално укључивање и смањење сиромаштва Владе РС, јун 2016.</w:t>
      </w:r>
    </w:p>
    <w:p w:rsidR="00BC3CE6" w:rsidRDefault="009A2DE5">
      <w:pPr>
        <w:spacing w:after="150"/>
        <w:jc w:val="both"/>
      </w:pPr>
      <w:r>
        <w:rPr>
          <w:i/>
          <w:color w:val="000000"/>
        </w:rPr>
        <w:t>409</w:t>
      </w:r>
      <w:r>
        <w:rPr>
          <w:i/>
          <w:color w:val="000000"/>
        </w:rPr>
        <w:tab/>
        <w:t xml:space="preserve">Доступно на: </w:t>
      </w:r>
      <w:r>
        <w:rPr>
          <w:i/>
          <w:color w:val="000000"/>
        </w:rPr>
        <w:t>https://www.rodnaravnopravnost.gov.rs/sites/default/files/2020-04/Nacionalni% 20pregled %20 Pekinska%20deklaracija%20SRB.pdf, приступ 7.6.2021.</w:t>
      </w:r>
    </w:p>
    <w:p w:rsidR="00BC3CE6" w:rsidRDefault="009A2DE5">
      <w:pPr>
        <w:spacing w:after="150"/>
        <w:jc w:val="both"/>
      </w:pPr>
      <w:r>
        <w:rPr>
          <w:i/>
          <w:color w:val="000000"/>
        </w:rPr>
        <w:lastRenderedPageBreak/>
        <w:t>410 Исто, страна 42.</w:t>
      </w:r>
    </w:p>
    <w:p w:rsidR="00BC3CE6" w:rsidRDefault="009A2DE5">
      <w:pPr>
        <w:spacing w:after="150"/>
        <w:jc w:val="both"/>
      </w:pPr>
      <w:r>
        <w:rPr>
          <w:i/>
          <w:color w:val="000000"/>
        </w:rPr>
        <w:t>411 Стратегија развоја образовања у РС до 2030. године, страна 20.</w:t>
      </w:r>
    </w:p>
    <w:p w:rsidR="00BC3CE6" w:rsidRDefault="009A2DE5">
      <w:pPr>
        <w:spacing w:after="150"/>
        <w:jc w:val="both"/>
      </w:pPr>
      <w:r>
        <w:rPr>
          <w:i/>
          <w:color w:val="000000"/>
        </w:rPr>
        <w:t>412 Истраживање вишестру</w:t>
      </w:r>
      <w:r>
        <w:rPr>
          <w:i/>
          <w:color w:val="000000"/>
        </w:rPr>
        <w:t>ких показатеља за 2019. годину (MICS 6), Републички завод за статистику и УНИЦЕФ, 2019, доступно на: https://www.unicef.org/serbia/media/16056/file/MICS%206%20Istra%C5%BEivanje%20vi%C5%A1estrukih%20pokazatelja%20za%202019.%20godinu.pdf, приступ 2.6.2021.</w:t>
      </w:r>
    </w:p>
    <w:p w:rsidR="00BC3CE6" w:rsidRDefault="009A2DE5">
      <w:pPr>
        <w:spacing w:after="150"/>
        <w:jc w:val="both"/>
      </w:pPr>
      <w:r>
        <w:rPr>
          <w:i/>
          <w:color w:val="000000"/>
        </w:rPr>
        <w:t>4</w:t>
      </w:r>
      <w:r>
        <w:rPr>
          <w:i/>
          <w:color w:val="000000"/>
        </w:rPr>
        <w:t>13 Исто.</w:t>
      </w:r>
    </w:p>
    <w:p w:rsidR="00BC3CE6" w:rsidRDefault="009A2DE5">
      <w:pPr>
        <w:spacing w:after="150"/>
        <w:jc w:val="both"/>
      </w:pPr>
      <w:r>
        <w:rPr>
          <w:i/>
          <w:color w:val="000000"/>
        </w:rPr>
        <w:t>414 Ситуациона анализа образовања и социјалне укључености ромских девојчица – резултати истраживања, CARE, Нови Сад, 2013.</w:t>
      </w:r>
    </w:p>
    <w:p w:rsidR="00BC3CE6" w:rsidRDefault="009A2DE5">
      <w:pPr>
        <w:spacing w:after="150"/>
        <w:jc w:val="both"/>
      </w:pPr>
      <w:r>
        <w:rPr>
          <w:i/>
          <w:color w:val="000000"/>
        </w:rPr>
        <w:t>415 Жене и мушкарци у Србији, Републички завод за статистику, 2020.</w:t>
      </w:r>
    </w:p>
    <w:p w:rsidR="00BC3CE6" w:rsidRDefault="009A2DE5">
      <w:pPr>
        <w:spacing w:after="150"/>
        <w:jc w:val="both"/>
      </w:pPr>
      <w:r>
        <w:rPr>
          <w:i/>
          <w:color w:val="000000"/>
        </w:rPr>
        <w:t>416 Исто, страна 57.</w:t>
      </w:r>
    </w:p>
    <w:p w:rsidR="00BC3CE6" w:rsidRDefault="009A2DE5">
      <w:pPr>
        <w:spacing w:after="150"/>
        <w:jc w:val="both"/>
      </w:pPr>
      <w:r>
        <w:rPr>
          <w:i/>
          <w:color w:val="000000"/>
        </w:rPr>
        <w:t>417 Марковић, М. М, Особе са инвали</w:t>
      </w:r>
      <w:r>
        <w:rPr>
          <w:i/>
          <w:color w:val="000000"/>
        </w:rPr>
        <w:t>дитетом у Србији, Републички завод за статистику, 2014.</w:t>
      </w:r>
    </w:p>
    <w:p w:rsidR="00BC3CE6" w:rsidRDefault="009A2DE5">
      <w:pPr>
        <w:spacing w:after="150"/>
        <w:jc w:val="both"/>
      </w:pPr>
      <w:r>
        <w:rPr>
          <w:i/>
          <w:color w:val="000000"/>
        </w:rPr>
        <w:t>418 Стоп напуштању школе, Тим за социјално укључивање и смањење сиромаштва, 2016. Доступно на: http://socijalnoukljucivanje.gov.rs/wp-content/uploads/2016/06/stop_napustanju_skole.pdf, приступ 1.6.202</w:t>
      </w:r>
      <w:r>
        <w:rPr>
          <w:i/>
          <w:color w:val="000000"/>
        </w:rPr>
        <w:t>1.</w:t>
      </w:r>
    </w:p>
    <w:p w:rsidR="00BC3CE6" w:rsidRDefault="009A2DE5">
      <w:pPr>
        <w:spacing w:after="150"/>
        <w:jc w:val="both"/>
      </w:pPr>
      <w:r>
        <w:rPr>
          <w:i/>
          <w:color w:val="000000"/>
        </w:rPr>
        <w:t>419 Жене и мушкарци у Србији, оп. цит. страна 58.</w:t>
      </w:r>
    </w:p>
    <w:p w:rsidR="00BC3CE6" w:rsidRDefault="009A2DE5">
      <w:pPr>
        <w:spacing w:after="150"/>
        <w:jc w:val="both"/>
      </w:pPr>
      <w:r>
        <w:rPr>
          <w:i/>
          <w:color w:val="000000"/>
        </w:rPr>
        <w:t>420 Исто, страна 50.</w:t>
      </w:r>
    </w:p>
    <w:p w:rsidR="00BC3CE6" w:rsidRDefault="009A2DE5">
      <w:pPr>
        <w:spacing w:after="150"/>
        <w:jc w:val="both"/>
      </w:pPr>
      <w:r>
        <w:rPr>
          <w:i/>
          <w:color w:val="000000"/>
        </w:rPr>
        <w:t>421 Извештај о напретку у остваривању Циљева одрживог развоја до 2030. године у РС, Републички завод за статистику, Доступно на: http://sdg.indikatori.rs/media/1545/izvestaj-o-napret</w:t>
      </w:r>
      <w:r>
        <w:rPr>
          <w:i/>
          <w:color w:val="000000"/>
        </w:rPr>
        <w:t>ku-u-ostvarivanju-ciljeva-odrzivog-razvoja-do-2030-godine-u-srbiji_web.pdf, приступ 1.6.2021.</w:t>
      </w:r>
    </w:p>
    <w:p w:rsidR="00BC3CE6" w:rsidRDefault="009A2DE5">
      <w:pPr>
        <w:spacing w:after="150"/>
        <w:jc w:val="both"/>
      </w:pPr>
      <w:r>
        <w:rPr>
          <w:i/>
          <w:color w:val="000000"/>
        </w:rPr>
        <w:t>422 Жене и мушкарци у Србији, оп. цит, страна 50.</w:t>
      </w:r>
    </w:p>
    <w:p w:rsidR="00BC3CE6" w:rsidRDefault="009A2DE5">
      <w:pPr>
        <w:spacing w:after="150"/>
        <w:jc w:val="both"/>
      </w:pPr>
      <w:r>
        <w:rPr>
          <w:i/>
          <w:color w:val="000000"/>
        </w:rPr>
        <w:t>423 Исто, страна 50.</w:t>
      </w:r>
    </w:p>
    <w:p w:rsidR="00BC3CE6" w:rsidRDefault="009A2DE5">
      <w:pPr>
        <w:spacing w:after="150"/>
        <w:jc w:val="both"/>
      </w:pPr>
      <w:r>
        <w:rPr>
          <w:i/>
          <w:color w:val="000000"/>
        </w:rPr>
        <w:t>424 Према методологији коју је развио Европски институт за родну равноправност, и оквиру до</w:t>
      </w:r>
      <w:r>
        <w:rPr>
          <w:i/>
          <w:color w:val="000000"/>
        </w:rPr>
        <w:t>мена знања мере се родне неједнакости у образовним достигнућима и партиципацији, као и сегрегација. Поддомен образовних достигнућа и партиципације приказује стање у погледу успеха жена и мушкараца да остваре високо образовање и да се укључе у формалне и не</w:t>
      </w:r>
      <w:r>
        <w:rPr>
          <w:i/>
          <w:color w:val="000000"/>
        </w:rPr>
        <w:t>формалне облике образовања. Стање се мери преко два индикатора: процента жена и мушкараца који су стекли универзитетску диплому и учешћа жена и мушкараца у формалном и неформалном образовању и обуци током живота. Други поддомен је усмерен на родну сегрегац</w:t>
      </w:r>
      <w:r>
        <w:rPr>
          <w:i/>
          <w:color w:val="000000"/>
        </w:rPr>
        <w:t>ију у високом образовању, која се мери преко удела жена и мушкараца међу особама које студирају у областима образовања, здравља, социјалне заштите, хуманистичким наукама и уметности.</w:t>
      </w:r>
    </w:p>
    <w:p w:rsidR="00BC3CE6" w:rsidRDefault="009A2DE5">
      <w:pPr>
        <w:spacing w:after="150"/>
        <w:jc w:val="both"/>
      </w:pPr>
      <w:r>
        <w:rPr>
          <w:i/>
          <w:color w:val="000000"/>
        </w:rPr>
        <w:lastRenderedPageBreak/>
        <w:t>425 Индекс родне равноправности у РС, Мерење родне равноправности у Србиј</w:t>
      </w:r>
      <w:r>
        <w:rPr>
          <w:i/>
          <w:color w:val="000000"/>
        </w:rPr>
        <w:t>и 2014, Тим за социјално укључивање и смањење сиромаштва Владе РС, 2016. страна 51.</w:t>
      </w:r>
    </w:p>
    <w:p w:rsidR="00BC3CE6" w:rsidRDefault="009A2DE5">
      <w:pPr>
        <w:spacing w:after="150"/>
        <w:jc w:val="both"/>
      </w:pPr>
      <w:r>
        <w:rPr>
          <w:i/>
          <w:color w:val="000000"/>
        </w:rPr>
        <w:t>426 Исто.</w:t>
      </w:r>
    </w:p>
    <w:p w:rsidR="00BC3CE6" w:rsidRDefault="009A2DE5">
      <w:pPr>
        <w:spacing w:after="150"/>
        <w:jc w:val="both"/>
      </w:pPr>
      <w:r>
        <w:rPr>
          <w:i/>
          <w:color w:val="000000"/>
        </w:rPr>
        <w:t>427 Исто. страна 53.</w:t>
      </w:r>
    </w:p>
    <w:p w:rsidR="00BC3CE6" w:rsidRDefault="009A2DE5">
      <w:pPr>
        <w:spacing w:after="150"/>
        <w:jc w:val="both"/>
      </w:pPr>
      <w:r>
        <w:rPr>
          <w:i/>
          <w:color w:val="000000"/>
        </w:rPr>
        <w:t>428 Жене и мушкарци у Србији, оп. цит, страна 50.</w:t>
      </w:r>
    </w:p>
    <w:p w:rsidR="00BC3CE6" w:rsidRDefault="009A2DE5">
      <w:pPr>
        <w:spacing w:after="150"/>
        <w:jc w:val="both"/>
      </w:pPr>
      <w:r>
        <w:rPr>
          <w:i/>
          <w:color w:val="000000"/>
        </w:rPr>
        <w:t>429</w:t>
      </w:r>
      <w:r>
        <w:rPr>
          <w:i/>
          <w:color w:val="000000"/>
        </w:rPr>
        <w:tab/>
        <w:t>Доступно на: https://zuov.gov.rs/wp-content/uploads/2020/10/Prirucnik-prvi-ciklus-appro</w:t>
      </w:r>
      <w:r>
        <w:rPr>
          <w:i/>
          <w:color w:val="000000"/>
        </w:rPr>
        <w:t>ved.pdf и https://zuov.gov.rs/wp-content/uploads/2020/10/Prirucnik-drugi-ciklus-approved.pdf. приступ 1.6.2021.</w:t>
      </w:r>
    </w:p>
    <w:p w:rsidR="00BC3CE6" w:rsidRDefault="009A2DE5">
      <w:pPr>
        <w:spacing w:after="150"/>
        <w:jc w:val="both"/>
      </w:pPr>
      <w:r>
        <w:rPr>
          <w:i/>
          <w:color w:val="000000"/>
        </w:rPr>
        <w:t>430 Доступно на: https://zuov.gov.rs/wp-content/uploads/2020/12/gradjansko-srednja-skola.pdf. приступ 1.6.2021.</w:t>
      </w:r>
    </w:p>
    <w:p w:rsidR="00BC3CE6" w:rsidRDefault="009A2DE5">
      <w:pPr>
        <w:spacing w:after="150"/>
        <w:jc w:val="both"/>
      </w:pPr>
      <w:r>
        <w:rPr>
          <w:i/>
          <w:color w:val="000000"/>
        </w:rPr>
        <w:t> </w:t>
      </w:r>
    </w:p>
    <w:p w:rsidR="00BC3CE6" w:rsidRDefault="009A2DE5">
      <w:pPr>
        <w:spacing w:after="150"/>
        <w:jc w:val="both"/>
      </w:pPr>
      <w:r>
        <w:rPr>
          <w:i/>
          <w:color w:val="000000"/>
        </w:rPr>
        <w:t>431 Ђорић, Г., и др. Образовањ</w:t>
      </w:r>
      <w:r>
        <w:rPr>
          <w:i/>
          <w:color w:val="000000"/>
        </w:rPr>
        <w:t>е за родну равноправност, Анализа наставног материјала за Грађанско васпитање, УНДП, 2010, страна 119.</w:t>
      </w:r>
    </w:p>
    <w:p w:rsidR="00BC3CE6" w:rsidRDefault="009A2DE5">
      <w:pPr>
        <w:spacing w:after="150"/>
        <w:jc w:val="both"/>
      </w:pPr>
      <w:r>
        <w:rPr>
          <w:i/>
          <w:color w:val="000000"/>
        </w:rPr>
        <w:t>432 Милинковић, М. Родне разлике у образовним исходима: студија добијених мера и тренутна ситуација у Европи, Универзитет у Београду, Филозофски факултет</w:t>
      </w:r>
      <w:r>
        <w:rPr>
          <w:i/>
          <w:color w:val="000000"/>
        </w:rPr>
        <w:t>, Одељење за психологију; јануар 2014.</w:t>
      </w:r>
    </w:p>
    <w:p w:rsidR="00BC3CE6" w:rsidRDefault="009A2DE5">
      <w:pPr>
        <w:spacing w:after="150"/>
        <w:jc w:val="both"/>
      </w:pPr>
      <w:r>
        <w:rPr>
          <w:i/>
          <w:color w:val="000000"/>
        </w:rPr>
        <w:t>433 Захаријевски Стјепановић, Д. и др. Образовање за родну равноправност, Анализа наставног материјала за основну и средњу школу, 2010., страна 123.</w:t>
      </w:r>
    </w:p>
    <w:p w:rsidR="00BC3CE6" w:rsidRDefault="009A2DE5">
      <w:pPr>
        <w:spacing w:after="150"/>
        <w:jc w:val="both"/>
      </w:pPr>
      <w:r>
        <w:rPr>
          <w:i/>
          <w:color w:val="000000"/>
        </w:rPr>
        <w:t>434 Родна анализа наставних програма и уџбеника за српски језик од п</w:t>
      </w:r>
      <w:r>
        <w:rPr>
          <w:i/>
          <w:color w:val="000000"/>
        </w:rPr>
        <w:t>рвог до четвртог разреда основне школе, Тим за социјално укључивање и смањење сиромаштва Владе РС, 2019.</w:t>
      </w:r>
    </w:p>
    <w:p w:rsidR="00BC3CE6" w:rsidRDefault="009A2DE5">
      <w:pPr>
        <w:spacing w:after="150"/>
        <w:jc w:val="both"/>
      </w:pPr>
      <w:r>
        <w:rPr>
          <w:i/>
          <w:color w:val="000000"/>
        </w:rPr>
        <w:t>435 Јарић, И. Јавни и скривени курикулуми средњошколске наставе социологије: образовне реформе у Србији (1960–2006), Универзитет у Београду, Филозофски</w:t>
      </w:r>
      <w:r>
        <w:rPr>
          <w:i/>
          <w:color w:val="000000"/>
        </w:rPr>
        <w:t xml:space="preserve"> факултет, 2012. страна 16.</w:t>
      </w:r>
    </w:p>
    <w:p w:rsidR="00BC3CE6" w:rsidRDefault="009A2DE5">
      <w:pPr>
        <w:spacing w:after="150"/>
        <w:jc w:val="both"/>
      </w:pPr>
      <w:r>
        <w:rPr>
          <w:i/>
          <w:color w:val="000000"/>
        </w:rPr>
        <w:t>436</w:t>
      </w:r>
      <w:r>
        <w:rPr>
          <w:i/>
          <w:color w:val="000000"/>
        </w:rPr>
        <w:tab/>
        <w:t xml:space="preserve">У Каталогу програма сталног стручног усавршавања наставника, васпитача и стручних сарадника за школску 2018/19, 2019/20. и 2020/21. годину одобрено је 19 програма из области родне равноправности и заштите од насиља и дискриминације. Усвојен је Каталог </w:t>
      </w:r>
      <w:r>
        <w:rPr>
          <w:i/>
          <w:color w:val="000000"/>
        </w:rPr>
        <w:t xml:space="preserve">програма сталног стручног усавршавања наставника, васпитача и стручних сарадника за школску 2018/19, 2019/20. и 2020/21. годину. Укупно је 32 програма који се баве људским правима. У области унапређивања компетенција за грађанске вредности налази се седам </w:t>
      </w:r>
      <w:r>
        <w:rPr>
          <w:i/>
          <w:color w:val="000000"/>
        </w:rPr>
        <w:t>програма, а 24 програма имају за циљ унапређивање капацитета наставника и других стручних сарадника за деловање у области заштите од родно заснованог насиља и дискриминације. Доступно на: https://zuov.gov.rs/katalog-programa-strucnog-usavrsavanja-za-skolsk</w:t>
      </w:r>
      <w:r>
        <w:rPr>
          <w:i/>
          <w:color w:val="000000"/>
        </w:rPr>
        <w:t>u-2018-2019-2019-2020-i-2020-2021-godinu/ приступ 1.6.2021.</w:t>
      </w:r>
    </w:p>
    <w:p w:rsidR="00BC3CE6" w:rsidRDefault="009A2DE5">
      <w:pPr>
        <w:spacing w:after="150"/>
        <w:jc w:val="both"/>
      </w:pPr>
      <w:r>
        <w:rPr>
          <w:i/>
          <w:color w:val="000000"/>
        </w:rPr>
        <w:lastRenderedPageBreak/>
        <w:t> </w:t>
      </w:r>
    </w:p>
    <w:p w:rsidR="00BC3CE6" w:rsidRDefault="009A2DE5">
      <w:pPr>
        <w:spacing w:after="150"/>
        <w:jc w:val="both"/>
      </w:pPr>
      <w:r>
        <w:rPr>
          <w:i/>
          <w:color w:val="000000"/>
        </w:rPr>
        <w:t>437 Нпр. Група МОСТ „Родна равноправност”.</w:t>
      </w:r>
    </w:p>
    <w:p w:rsidR="00BC3CE6" w:rsidRDefault="009A2DE5">
      <w:pPr>
        <w:spacing w:after="150"/>
        <w:jc w:val="both"/>
      </w:pPr>
      <w:r>
        <w:rPr>
          <w:i/>
          <w:color w:val="000000"/>
        </w:rPr>
        <w:t>438 Члан 4. Закона о високом образовању.</w:t>
      </w:r>
    </w:p>
    <w:p w:rsidR="00BC3CE6" w:rsidRDefault="009A2DE5">
      <w:pPr>
        <w:spacing w:after="150"/>
        <w:jc w:val="both"/>
      </w:pPr>
      <w:r>
        <w:rPr>
          <w:i/>
          <w:color w:val="000000"/>
        </w:rPr>
        <w:t>439 „Службени гласник РС”, број 13/19.</w:t>
      </w:r>
    </w:p>
    <w:p w:rsidR="00BC3CE6" w:rsidRDefault="009A2DE5">
      <w:pPr>
        <w:spacing w:after="150"/>
        <w:jc w:val="both"/>
      </w:pPr>
      <w:r>
        <w:rPr>
          <w:i/>
          <w:color w:val="000000"/>
        </w:rPr>
        <w:t>440 Закон о Националном оквиру квалификација РС, „Службени гласник РС”,</w:t>
      </w:r>
      <w:r>
        <w:rPr>
          <w:i/>
          <w:color w:val="000000"/>
        </w:rPr>
        <w:t xml:space="preserve"> број 27/20.</w:t>
      </w:r>
    </w:p>
    <w:p w:rsidR="00BC3CE6" w:rsidRDefault="009A2DE5">
      <w:pPr>
        <w:spacing w:after="150"/>
        <w:jc w:val="both"/>
      </w:pPr>
      <w:r>
        <w:rPr>
          <w:i/>
          <w:color w:val="000000"/>
        </w:rPr>
        <w:t>441 „Службени гласник РС”, број 13/19.</w:t>
      </w:r>
    </w:p>
    <w:p w:rsidR="00BC3CE6" w:rsidRDefault="009A2DE5">
      <w:pPr>
        <w:spacing w:after="150"/>
        <w:jc w:val="both"/>
      </w:pPr>
      <w:r>
        <w:rPr>
          <w:i/>
          <w:color w:val="000000"/>
        </w:rPr>
        <w:t>442</w:t>
      </w:r>
      <w:r>
        <w:rPr>
          <w:i/>
          <w:color w:val="000000"/>
        </w:rPr>
        <w:tab/>
        <w:t>Повереница за заштиту равноправности иницирала је 2018. године допуну Правилника о стандардима и поступку за акредитацију високошколских установа увођењем стандарда приступачности којима би се осигура</w:t>
      </w:r>
      <w:r>
        <w:rPr>
          <w:i/>
          <w:color w:val="000000"/>
        </w:rPr>
        <w:t xml:space="preserve">ло несметано кретање и приступ особа са инвалидитетом, стандарда који се односе на прилагођавање уџбеника, учила и помоћних наставних средстава, односно одговарајућих помагала асистивних технологија, у складу са Правилником о начину прилагођавањa садржаја </w:t>
      </w:r>
      <w:r>
        <w:rPr>
          <w:i/>
          <w:color w:val="000000"/>
        </w:rPr>
        <w:t>и/или формата уџбеника и стандарда који се односе на свима доступан начин презентовања информација на сајтовима високошколских установа. Иницијатива за измену стандарда у поступку за акредитацију високошколских установа, 110-00-10/2018-02 од 1. новембра 20</w:t>
      </w:r>
      <w:r>
        <w:rPr>
          <w:i/>
          <w:color w:val="000000"/>
        </w:rPr>
        <w:t>18. године. Доступно на: http://ravnopravnost.gov.rs/inicijativu-za-izmenu-standarda-u-postupku-za-akreditaciju-visokoskolskih-ustanova-dostavl%D1%98enu-nacionalnom-savetu-za-visoko-obrazovanje-i-nacionalnom-telu-za-akreditaciju-cir/ приступ 8.6.2021.</w:t>
      </w:r>
    </w:p>
    <w:p w:rsidR="00BC3CE6" w:rsidRDefault="009A2DE5">
      <w:pPr>
        <w:spacing w:after="150"/>
        <w:jc w:val="both"/>
      </w:pPr>
      <w:r>
        <w:rPr>
          <w:i/>
          <w:color w:val="000000"/>
        </w:rPr>
        <w:t xml:space="preserve">443 </w:t>
      </w:r>
      <w:r>
        <w:rPr>
          <w:i/>
          <w:color w:val="000000"/>
        </w:rPr>
        <w:t>„Службени гласник РС”, број 13/19.</w:t>
      </w:r>
    </w:p>
    <w:p w:rsidR="00BC3CE6" w:rsidRDefault="009A2DE5">
      <w:pPr>
        <w:spacing w:after="150"/>
        <w:jc w:val="both"/>
      </w:pPr>
      <w:r>
        <w:rPr>
          <w:i/>
          <w:color w:val="000000"/>
        </w:rPr>
        <w:t>444 Вујадиновић, Д., Петрушић, Н. Неопходност уродњавања студијских програма права и правничких предмета, Зборник Д. Вујадиновић, З. Антонијевић (ур.), Родна равноправност у високом образовању: концепти, праксе и изазови,</w:t>
      </w:r>
      <w:r>
        <w:rPr>
          <w:i/>
          <w:color w:val="000000"/>
        </w:rPr>
        <w:t xml:space="preserve"> Академска књига, 2019. стр. 303–324.</w:t>
      </w:r>
    </w:p>
    <w:p w:rsidR="00BC3CE6" w:rsidRDefault="009A2DE5">
      <w:pPr>
        <w:spacing w:after="150"/>
        <w:jc w:val="both"/>
      </w:pPr>
      <w:r>
        <w:rPr>
          <w:i/>
          <w:color w:val="000000"/>
        </w:rPr>
        <w:t> </w:t>
      </w:r>
    </w:p>
    <w:p w:rsidR="00BC3CE6" w:rsidRDefault="009A2DE5">
      <w:pPr>
        <w:spacing w:after="150"/>
      </w:pPr>
      <w:r>
        <w:rPr>
          <w:color w:val="000000"/>
        </w:rPr>
        <w:t>Имајући све ово у виду, јасно је да постоји добар стратешки и законски оквир за остваривање родне равноправности у високом образовању, али је неопходна родно сензитивна реформа високог образовања.</w:t>
      </w:r>
      <w:r>
        <w:rPr>
          <w:color w:val="000000"/>
          <w:vertAlign w:val="superscript"/>
        </w:rPr>
        <w:t>452</w:t>
      </w:r>
      <w:r>
        <w:rPr>
          <w:color w:val="000000"/>
        </w:rPr>
        <w:t xml:space="preserve"> Потребно је да се промене дешавају споља, али и изнутра. То значи да је неопходно да руководства установа високог образовања едукују наставне кадрове у области родне равноправности, унапређују наставне садржаје и материјале и тако унапређују квалитет знањ</w:t>
      </w:r>
      <w:r>
        <w:rPr>
          <w:color w:val="000000"/>
        </w:rPr>
        <w:t>а и доприносе промени друштвених односа.</w:t>
      </w:r>
      <w:r>
        <w:rPr>
          <w:color w:val="000000"/>
          <w:vertAlign w:val="superscript"/>
        </w:rPr>
        <w:t>453</w:t>
      </w:r>
      <w:r>
        <w:rPr>
          <w:color w:val="000000"/>
        </w:rPr>
        <w:t xml:space="preserve"> Такође, потребно је установити обавезу преиспитивања наставних садржаја и уџбеника из родне перспективе, као и уважавање доприноса жена развоју дисциплине из родне перспективе, уз афирмацију студија рода.</w:t>
      </w:r>
      <w:r>
        <w:rPr>
          <w:color w:val="000000"/>
          <w:vertAlign w:val="superscript"/>
        </w:rPr>
        <w:t>454</w:t>
      </w:r>
      <w:r>
        <w:rPr>
          <w:color w:val="000000"/>
        </w:rPr>
        <w:t xml:space="preserve"> Неоп</w:t>
      </w:r>
      <w:r>
        <w:rPr>
          <w:color w:val="000000"/>
        </w:rPr>
        <w:t xml:space="preserve">ходно је да се уведу мере за унапређивање окружења и превазилажење тзв. „скривеног курикулума” репродуковања стереотипа и </w:t>
      </w:r>
      <w:r>
        <w:rPr>
          <w:color w:val="000000"/>
        </w:rPr>
        <w:lastRenderedPageBreak/>
        <w:t xml:space="preserve">предрасуда у понашању и дискурсу међу наставним особљем, током наставе и у односима са студентима, као и да се успостави правни оквир </w:t>
      </w:r>
      <w:r>
        <w:rPr>
          <w:color w:val="000000"/>
        </w:rPr>
        <w:t>за заштиту од родно засноване дискриминације и насиља.</w:t>
      </w:r>
      <w:r>
        <w:rPr>
          <w:color w:val="000000"/>
          <w:vertAlign w:val="superscript"/>
        </w:rPr>
        <w:t>455</w:t>
      </w:r>
      <w:r>
        <w:rPr>
          <w:color w:val="000000"/>
        </w:rPr>
        <w:t xml:space="preserve"> У вези са родно заснованом дискриминацијом и насиљем, истраживање из 2019. године показало је да сваки четврти студент сматра да добацивање девојкама на улици није ништа страшно, 43% студената сматр</w:t>
      </w:r>
      <w:r>
        <w:rPr>
          <w:color w:val="000000"/>
        </w:rPr>
        <w:t>а да су девојке саме криве када их неко узнемирава због њиховог провокативног облачења, док сваки пети студент сматра да принудни секс у браку није силовање.</w:t>
      </w:r>
      <w:r>
        <w:rPr>
          <w:color w:val="000000"/>
          <w:vertAlign w:val="superscript"/>
        </w:rPr>
        <w:t>456</w:t>
      </w:r>
      <w:r>
        <w:rPr>
          <w:color w:val="000000"/>
        </w:rPr>
        <w:t xml:space="preserve"> Поједини факултети су почели да усвајају општа акта о забрани сексуалног узнемиравања и уцењива</w:t>
      </w:r>
      <w:r>
        <w:rPr>
          <w:color w:val="000000"/>
        </w:rPr>
        <w:t>ња,</w:t>
      </w:r>
      <w:r>
        <w:rPr>
          <w:color w:val="000000"/>
          <w:vertAlign w:val="superscript"/>
        </w:rPr>
        <w:t>457</w:t>
      </w:r>
      <w:r>
        <w:rPr>
          <w:color w:val="000000"/>
        </w:rPr>
        <w:t xml:space="preserve"> што је позитиван пример, али је неопходно ова питања институционализовати на нивоу универзитета и не остављати могућност факултетима појединачно да изаберу да ли ће усвојити сличне опште акте.</w:t>
      </w:r>
    </w:p>
    <w:p w:rsidR="00BC3CE6" w:rsidRDefault="009A2DE5">
      <w:pPr>
        <w:spacing w:after="150"/>
      </w:pPr>
      <w:r>
        <w:rPr>
          <w:color w:val="000000"/>
        </w:rPr>
        <w:t>Иако су акциони планови кључни механизам за увођење родн</w:t>
      </w:r>
      <w:r>
        <w:rPr>
          <w:color w:val="000000"/>
        </w:rPr>
        <w:t>е перспективе у у високо образовање,</w:t>
      </w:r>
      <w:r>
        <w:rPr>
          <w:color w:val="000000"/>
          <w:vertAlign w:val="superscript"/>
        </w:rPr>
        <w:t>458</w:t>
      </w:r>
      <w:r>
        <w:rPr>
          <w:color w:val="000000"/>
        </w:rPr>
        <w:t xml:space="preserve"> на универзитетима у Републици Србији не постоје такви акциони планови. Изузетак је Универзитет у Београду, који је 2019. године усвојио План за постизање родне равноправности.</w:t>
      </w:r>
      <w:r>
        <w:rPr>
          <w:color w:val="000000"/>
          <w:vertAlign w:val="superscript"/>
        </w:rPr>
        <w:t>459</w:t>
      </w:r>
      <w:r>
        <w:rPr>
          <w:color w:val="000000"/>
        </w:rPr>
        <w:t xml:space="preserve"> Њиме је као општи циљ утврђено покрет</w:t>
      </w:r>
      <w:r>
        <w:rPr>
          <w:color w:val="000000"/>
        </w:rPr>
        <w:t>ање процеса развоја стратегије родне равноправности, а као приоритетне области деловања идентификоване су: 1) управљање људским ресурсима; 2) доношење одлука и 3) садржај студијских програма и истраживања. У плану је констатовано да још није установљен сис</w:t>
      </w:r>
      <w:r>
        <w:rPr>
          <w:color w:val="000000"/>
        </w:rPr>
        <w:t>тем за праћење академске каријере жена и мушкараца, који би узео у обзир различите факторе који могу допринети неједнакости. Утврђена је обавеза Универзитета да: успостави институционалне капацитете за идентификацију релевантних података и њихово стално од</w:t>
      </w:r>
      <w:r>
        <w:rPr>
          <w:color w:val="000000"/>
        </w:rPr>
        <w:t xml:space="preserve">ржавање, успостављање систематских процедура и информационих система за побољшање прикупљања података о трендовима када је у питању родни састав наставног и истраживачког особља, да јача видљивост родне равноправности и ради на подизању свести о значају и </w:t>
      </w:r>
      <w:r>
        <w:rPr>
          <w:color w:val="000000"/>
        </w:rPr>
        <w:t>предностима родне равнотеже на свим нивоима, промовише родну разноврсност унутар академских структура, повећа учешће жена у органима одлучивања и процесима доношења одлука, ради на решавању имплицитних предрасуда и стереотипа о женама на утицајним положаји</w:t>
      </w:r>
      <w:r>
        <w:rPr>
          <w:color w:val="000000"/>
        </w:rPr>
        <w:t>ма, успостави базу података о свим студијским програмима и појединим предметима који се фокусирају на родну равноправност, и ради на развијању одговарајућих индикатора за праћење стања родне равноправности у истраживачком садржају и наставним плановима и п</w:t>
      </w:r>
      <w:r>
        <w:rPr>
          <w:color w:val="000000"/>
        </w:rPr>
        <w:t>рограмима високог образовања. Правни факултет Универзитета у Београду припремио је Нацрт акционог плана за постизање родне равноправности, али он још увек није усвојен.</w:t>
      </w:r>
      <w:r>
        <w:rPr>
          <w:color w:val="000000"/>
          <w:vertAlign w:val="superscript"/>
        </w:rPr>
        <w:t>460</w:t>
      </w:r>
    </w:p>
    <w:p w:rsidR="00BC3CE6" w:rsidRDefault="009A2DE5">
      <w:pPr>
        <w:spacing w:after="150"/>
      </w:pPr>
      <w:r>
        <w:rPr>
          <w:color w:val="000000"/>
        </w:rPr>
        <w:t>Акциони планови за остваривање родне равноправности су од кључне важности за интегри</w:t>
      </w:r>
      <w:r>
        <w:rPr>
          <w:color w:val="000000"/>
        </w:rPr>
        <w:t>сање родне перспективе, јер обезбеђују дугорочни и системски приступ решавању родних неједнакости и трансформацији друштвених пракси и хијерархијских родних односа моћи унутар академских институција.</w:t>
      </w:r>
      <w:r>
        <w:rPr>
          <w:color w:val="000000"/>
          <w:vertAlign w:val="superscript"/>
        </w:rPr>
        <w:t>461</w:t>
      </w:r>
      <w:r>
        <w:rPr>
          <w:color w:val="000000"/>
        </w:rPr>
        <w:t xml:space="preserve"> На потребу њиховог усвајања указао је и Повереник за </w:t>
      </w:r>
      <w:r>
        <w:rPr>
          <w:color w:val="000000"/>
        </w:rPr>
        <w:t xml:space="preserve">заштиту равноправности, иницирајући измену стандарда за акредитацију </w:t>
      </w:r>
      <w:r>
        <w:rPr>
          <w:color w:val="000000"/>
        </w:rPr>
        <w:lastRenderedPageBreak/>
        <w:t>високошколских установа и студијских програма, увођењем обавезе ових установа да усвоје стратегију и пратећи АП за постизање родне равноправности, са мерама за откривање и укидање родне н</w:t>
      </w:r>
      <w:r>
        <w:rPr>
          <w:color w:val="000000"/>
        </w:rPr>
        <w:t>еравноправности и праћење њихове примене, као и обавезе да студентима пруже обуку о значају родне равноправност, кроз постојеће наставне предмете, семинаре, дебате, радионице, курсеве и на други погодан начин.</w:t>
      </w:r>
      <w:r>
        <w:rPr>
          <w:color w:val="000000"/>
          <w:vertAlign w:val="superscript"/>
        </w:rPr>
        <w:t>462</w:t>
      </w:r>
    </w:p>
    <w:p w:rsidR="00BC3CE6" w:rsidRDefault="009A2DE5">
      <w:pPr>
        <w:spacing w:after="120"/>
        <w:jc w:val="center"/>
      </w:pPr>
      <w:r>
        <w:rPr>
          <w:color w:val="000000"/>
        </w:rPr>
        <w:t>5.1.2.2. Наука и истраживања</w:t>
      </w:r>
    </w:p>
    <w:p w:rsidR="00BC3CE6" w:rsidRDefault="009A2DE5">
      <w:pPr>
        <w:spacing w:after="150"/>
      </w:pPr>
      <w:r>
        <w:rPr>
          <w:color w:val="000000"/>
        </w:rPr>
        <w:t xml:space="preserve">ЕУ препознала </w:t>
      </w:r>
      <w:r>
        <w:rPr>
          <w:color w:val="000000"/>
        </w:rPr>
        <w:t>је науку и истраживања као кључне носиоце развојних политика који доприносе економском расту и стварању радних места. Најважнији интелектуални ресурс–знање, све више добија на значају, док се постојање стабилног истраживачког система посматра као покретачк</w:t>
      </w:r>
      <w:r>
        <w:rPr>
          <w:color w:val="000000"/>
        </w:rPr>
        <w:t>а снага која доприноси унапређењу квалитета живота у модерном друштву.</w:t>
      </w:r>
      <w:r>
        <w:rPr>
          <w:color w:val="000000"/>
          <w:vertAlign w:val="superscript"/>
        </w:rPr>
        <w:t>463</w:t>
      </w:r>
      <w:r>
        <w:rPr>
          <w:color w:val="000000"/>
        </w:rPr>
        <w:t xml:space="preserve"> ЕУ улаже све више у развој и имплементацију стратегија и програма који обезбеђују квалитетан оквир за научна истраживања и развој иновација, у циљу подстицања економског раста, однос</w:t>
      </w:r>
      <w:r>
        <w:rPr>
          <w:color w:val="000000"/>
        </w:rPr>
        <w:t>но, плана да ЕУ постане најконкурентнија и најдинамичнија светска економија заснована на паметним, одрживим и инклузивним принципима.</w:t>
      </w:r>
      <w:r>
        <w:rPr>
          <w:color w:val="000000"/>
          <w:vertAlign w:val="superscript"/>
        </w:rPr>
        <w:t>464</w:t>
      </w:r>
      <w:r>
        <w:rPr>
          <w:color w:val="000000"/>
        </w:rPr>
        <w:t xml:space="preserve"> Средства која се улажу у науку и истраживања постепено се повећавају, а планирано је да износе 3% БДП земаља чланица. С</w:t>
      </w:r>
      <w:r>
        <w:rPr>
          <w:color w:val="000000"/>
        </w:rPr>
        <w:t>тратегија Европа 2020 допринела је креирању нових и побољшању постојећих програма ЕУ за науку и истраживања, као и даљи развој Европског научног простора, кроз успостављање Иновативне уније, иницијативе која омогућава државама чланицама да обједине све нау</w:t>
      </w:r>
      <w:r>
        <w:rPr>
          <w:color w:val="000000"/>
        </w:rPr>
        <w:t>чне капацитете и унапреде комуникацију и сарадњу између научника и истраживача. Надаље, финансијски инструмент Хоризонт 2020 је највећи програм ЕУ намењен истраживању и иновацијама (вредност око 80 милијарди евра), чији је циљ уклањање препрека иновацијама</w:t>
      </w:r>
      <w:r>
        <w:rPr>
          <w:color w:val="000000"/>
        </w:rPr>
        <w:t xml:space="preserve"> и олакшавање сарадње између јавног и приватног сектора у креирању и испоручивању иновација, чиме се успоставља заједнички истраживачки простор и унапређују капацитети за формирање истраживачких мрежа.</w:t>
      </w:r>
      <w:r>
        <w:rPr>
          <w:color w:val="000000"/>
          <w:vertAlign w:val="superscript"/>
        </w:rPr>
        <w:t>465</w:t>
      </w:r>
    </w:p>
    <w:p w:rsidR="00BC3CE6" w:rsidRDefault="009A2DE5">
      <w:pPr>
        <w:spacing w:after="150"/>
      </w:pPr>
      <w:r>
        <w:rPr>
          <w:color w:val="000000"/>
        </w:rPr>
        <w:t xml:space="preserve">Република Србија је 2014. године отворила Поглавље </w:t>
      </w:r>
      <w:r>
        <w:rPr>
          <w:color w:val="000000"/>
        </w:rPr>
        <w:t>25 – Наука и истраживање, које је 2016. године привремено затворено, уз констатацију да за ово поглавље није потребно транспоновање правних тековина ЕУ у национално законодавство, с обзиром на уопштено добар ниво припремљености Републике Србије у овим обла</w:t>
      </w:r>
      <w:r>
        <w:rPr>
          <w:color w:val="000000"/>
        </w:rPr>
        <w:t>стима, као и на ограничени обим и посебну природу обавеза које проистичу из правних тековина ЕУ у оквиру овог поглавља.</w:t>
      </w:r>
      <w:r>
        <w:rPr>
          <w:color w:val="000000"/>
          <w:vertAlign w:val="superscript"/>
        </w:rPr>
        <w:t>466</w:t>
      </w:r>
    </w:p>
    <w:p w:rsidR="00BC3CE6" w:rsidRDefault="009A2DE5">
      <w:pPr>
        <w:spacing w:after="150"/>
      </w:pPr>
      <w:r>
        <w:rPr>
          <w:color w:val="000000"/>
        </w:rPr>
        <w:t>Напоменуто је и да поглавље може бити поново отворено све до краја приступних преговора. У овом документу ЕУ је констатовано да су по</w:t>
      </w:r>
      <w:r>
        <w:rPr>
          <w:color w:val="000000"/>
        </w:rPr>
        <w:t>литике истраживања и иновација у Републици Србији развијене, да постоје институционални капацитети, да је Република Србија у доброј позицији да одговори на приоритете Европског истраживачког простора, те да је Република Србија у потпуности приступила Оквир</w:t>
      </w:r>
      <w:r>
        <w:rPr>
          <w:color w:val="000000"/>
        </w:rPr>
        <w:t xml:space="preserve">ном програму Хоризонт </w:t>
      </w:r>
      <w:r>
        <w:rPr>
          <w:color w:val="000000"/>
        </w:rPr>
        <w:lastRenderedPageBreak/>
        <w:t>2020 (од 1. јануара 2014. године).</w:t>
      </w:r>
      <w:r>
        <w:rPr>
          <w:color w:val="000000"/>
          <w:vertAlign w:val="superscript"/>
        </w:rPr>
        <w:t>467</w:t>
      </w:r>
      <w:r>
        <w:rPr>
          <w:color w:val="000000"/>
        </w:rPr>
        <w:t xml:space="preserve"> Међутим, указано је да удео инвестиција у истраживање и развој у Републици Србији стагнира између 0,7 и 0,9% БДП, уз посвећеност Републике Србије да инвестира 1,5% БДП у истраживачке активности до</w:t>
      </w:r>
      <w:r>
        <w:rPr>
          <w:color w:val="000000"/>
        </w:rPr>
        <w:t xml:space="preserve"> 2020. године. Због тога ЕУ подстиче Републику Србију да повећа јавно финансирање за истраживање и развој. У контексту Европског истраживачког простора, идентификовано шест приоритета деловања: делотворнији национални истраживачки систем, оптимална трансна</w:t>
      </w:r>
      <w:r>
        <w:rPr>
          <w:color w:val="000000"/>
        </w:rPr>
        <w:t>ционална сарадња и конкуренција, отворено тржиште рада за истраживаче, родна равноправност и интеграција начела родне равноправности у истраживању, оптимална циркулација, приступ и пренос научних знања, укључујући преко дигиталног ERA и међународна сарадња</w:t>
      </w:r>
      <w:r>
        <w:rPr>
          <w:color w:val="000000"/>
        </w:rPr>
        <w:t>.</w:t>
      </w:r>
      <w:r>
        <w:rPr>
          <w:color w:val="000000"/>
          <w:vertAlign w:val="superscript"/>
        </w:rPr>
        <w:t>468</w:t>
      </w:r>
      <w:r>
        <w:rPr>
          <w:color w:val="000000"/>
        </w:rPr>
        <w:t xml:space="preserve"> Иако је родна равноправност и интеграција начела родне равноправности један од шест приоритета деловања, у преговарачкој позицији Републике Србије за ово поглавље то није експлицитно наведено.</w:t>
      </w:r>
      <w:r>
        <w:rPr>
          <w:color w:val="000000"/>
          <w:vertAlign w:val="superscript"/>
        </w:rPr>
        <w:t>469</w:t>
      </w:r>
      <w:r>
        <w:rPr>
          <w:color w:val="000000"/>
        </w:rPr>
        <w:t xml:space="preserve"> У документу се упућује на Стратегију научног и технолош</w:t>
      </w:r>
      <w:r>
        <w:rPr>
          <w:color w:val="000000"/>
        </w:rPr>
        <w:t>ког развоја Републике Србије у периоду од 2016. до 2020. године „Истраживање за иновације”,</w:t>
      </w:r>
      <w:r>
        <w:rPr>
          <w:color w:val="000000"/>
          <w:vertAlign w:val="superscript"/>
        </w:rPr>
        <w:t>470</w:t>
      </w:r>
      <w:r>
        <w:rPr>
          <w:color w:val="000000"/>
        </w:rPr>
        <w:t xml:space="preserve"> у којој је један од посебних циљева: осигурање изврсности и доступности људских ресурса за науку, привреду и друштвене делатности. Међу мерама које се користе за</w:t>
      </w:r>
      <w:r>
        <w:rPr>
          <w:color w:val="000000"/>
        </w:rPr>
        <w:t xml:space="preserve"> постизање овог циља наведено је и унапређење родне и мањинске равноправности у науци и иновацијама, али нису одређене активности којима ће се ова мера спроводити, осим што је наведено да ће се унапредити родна и мањинска равноправност на свим нивоима одлу</w:t>
      </w:r>
      <w:r>
        <w:rPr>
          <w:color w:val="000000"/>
        </w:rPr>
        <w:t>чивања. У Републици Србији је почетком 2021. године усвојена нова Стратегија научног и технолошког развоја Републике Србије за период од 2021. до 2025. године „Моћ знања” са АП (2021–2023).</w:t>
      </w:r>
      <w:r>
        <w:rPr>
          <w:color w:val="000000"/>
          <w:vertAlign w:val="superscript"/>
        </w:rPr>
        <w:t>471</w:t>
      </w:r>
      <w:r>
        <w:rPr>
          <w:color w:val="000000"/>
        </w:rPr>
        <w:t xml:space="preserve"> У делу који се односи на остваривање циљева из претходне страте</w:t>
      </w:r>
      <w:r>
        <w:rPr>
          <w:color w:val="000000"/>
        </w:rPr>
        <w:t>гије, наведено је да су постигнута четири кључна успеха: успостављање институционалног финансирања; успостављање Фонда за науку Републике Србије; значајно повећање буџета за науку и унапређена иновациона инфраструктура. Као слабости наводе се неадекватно и</w:t>
      </w:r>
      <w:r>
        <w:rPr>
          <w:color w:val="000000"/>
        </w:rPr>
        <w:t>дентификовање приоритета, амбициозност и недовољна фокусираност Стратегије.</w:t>
      </w:r>
      <w:r>
        <w:rPr>
          <w:color w:val="000000"/>
          <w:vertAlign w:val="superscript"/>
        </w:rPr>
        <w:t>472</w:t>
      </w:r>
      <w:r>
        <w:rPr>
          <w:color w:val="000000"/>
        </w:rPr>
        <w:t xml:space="preserve"> За меру која се односи на унапређење родне и мањинске равноправности наведено је да је делимично остварена, без икаквих даљих детаља. Родна равноправност је скоро потпуно изоста</w:t>
      </w:r>
      <w:r>
        <w:rPr>
          <w:color w:val="000000"/>
        </w:rPr>
        <w:t>вљена из нове Стратегије научног и технолошког развоја Републике Србије. Као општи циљ ове стратегије наведено је следеће: научно-технолошки и иновациони систем доприноси убрзаном развоју Републике Србије кроз унапређење квалитета и ефикасности науке, техн</w:t>
      </w:r>
      <w:r>
        <w:rPr>
          <w:color w:val="000000"/>
        </w:rPr>
        <w:t>олошког развоја и иновација и даље интеграције у Европски истраживачки простор, као и да стратегија представља и националну Мапу пута Републике Србије за интеграцију у Европски истраживачки простор, због чега је реферисано на приоритете, који укључују родн</w:t>
      </w:r>
      <w:r>
        <w:rPr>
          <w:color w:val="000000"/>
        </w:rPr>
        <w:t>у равноправност и на руководећим позицијама и развoј политике за родну равноправност у истраживачким организацијама. Међутим, принцип родне равноправности није разрађен ни у оквиру посебних циљева, ни у оквиру мера и активности. Као позитиван пример наводи</w:t>
      </w:r>
      <w:r>
        <w:rPr>
          <w:color w:val="000000"/>
        </w:rPr>
        <w:t xml:space="preserve">мо усвајање Акционог плана за унапређење </w:t>
      </w:r>
      <w:r>
        <w:rPr>
          <w:color w:val="000000"/>
        </w:rPr>
        <w:lastRenderedPageBreak/>
        <w:t>родне равноправности, који је 27. маја 2021. године усвојио Математички институт Српске академије наука и уметности.</w:t>
      </w:r>
    </w:p>
    <w:p w:rsidR="00BC3CE6" w:rsidRDefault="009A2DE5">
      <w:pPr>
        <w:spacing w:after="150"/>
      </w:pPr>
      <w:r>
        <w:rPr>
          <w:color w:val="000000"/>
        </w:rPr>
        <w:t>Закон о науци и истраживањима,</w:t>
      </w:r>
      <w:r>
        <w:rPr>
          <w:color w:val="000000"/>
          <w:vertAlign w:val="superscript"/>
        </w:rPr>
        <w:t>473</w:t>
      </w:r>
      <w:r>
        <w:rPr>
          <w:color w:val="000000"/>
        </w:rPr>
        <w:t xml:space="preserve"> поред одредбе која регулише коришћење родно осетљиве терминологи</w:t>
      </w:r>
      <w:r>
        <w:rPr>
          <w:color w:val="000000"/>
        </w:rPr>
        <w:t>је за све положаје, професије, занимања и звања,</w:t>
      </w:r>
      <w:r>
        <w:rPr>
          <w:color w:val="000000"/>
          <w:vertAlign w:val="superscript"/>
        </w:rPr>
        <w:t>474</w:t>
      </w:r>
      <w:r>
        <w:rPr>
          <w:color w:val="000000"/>
        </w:rPr>
        <w:t xml:space="preserve"> као једно од начела на којима се заснивају наука и истраживања, наведено је и начело родне равноправности у науци и истраживањима и органима одлучивања</w:t>
      </w:r>
      <w:r>
        <w:rPr>
          <w:color w:val="000000"/>
          <w:vertAlign w:val="superscript"/>
        </w:rPr>
        <w:t>475</w:t>
      </w:r>
      <w:r>
        <w:rPr>
          <w:color w:val="000000"/>
        </w:rPr>
        <w:t xml:space="preserve"> које није ближе разрађено. Поред тога, прописано </w:t>
      </w:r>
      <w:r>
        <w:rPr>
          <w:color w:val="000000"/>
        </w:rPr>
        <w:t>је да се евиденција о истраживачима води, између осталог и по полу,</w:t>
      </w:r>
      <w:r>
        <w:rPr>
          <w:color w:val="000000"/>
          <w:vertAlign w:val="superscript"/>
        </w:rPr>
        <w:t>476</w:t>
      </w:r>
      <w:r>
        <w:rPr>
          <w:color w:val="000000"/>
        </w:rPr>
        <w:t xml:space="preserve"> као и једна посебна мера којом се истраживачицама омогућава да поднесу захтев да им мирују рокови за избор у звање док су на породиљском одсуству, те да се тај период не урачунава у рок</w:t>
      </w:r>
      <w:r>
        <w:rPr>
          <w:color w:val="000000"/>
        </w:rPr>
        <w:t xml:space="preserve"> за избор или реизбор.</w:t>
      </w:r>
      <w:r>
        <w:rPr>
          <w:color w:val="000000"/>
          <w:vertAlign w:val="superscript"/>
        </w:rPr>
        <w:t>477</w:t>
      </w:r>
    </w:p>
    <w:p w:rsidR="00BC3CE6" w:rsidRDefault="009A2DE5">
      <w:pPr>
        <w:spacing w:after="150"/>
      </w:pPr>
      <w:r>
        <w:rPr>
          <w:color w:val="000000"/>
        </w:rPr>
        <w:t>Имајући у виду стратешки и законски оквир који се односи на родну равноправност у науци и истраживањима, може се закључити да успркос постојању солидног правног оквира, има места за побољшања. Политика једнаких могућности није дос</w:t>
      </w:r>
      <w:r>
        <w:rPr>
          <w:color w:val="000000"/>
        </w:rPr>
        <w:t>ледно операционализована у прописима који се односе на науку и истраживања, јер недостаје сет посебних мера усмерених на превазилажење родних неравноправности у науци, посебно у вези са каријером и напредовањем научница, успостављањем родног баланса у истр</w:t>
      </w:r>
      <w:r>
        <w:rPr>
          <w:color w:val="000000"/>
        </w:rPr>
        <w:t>аживачким тимовима, управљачким и надзорним телима, као и у вези са интегрисањем родне димензије у садржаје истраживања.</w:t>
      </w:r>
      <w:r>
        <w:rPr>
          <w:color w:val="000000"/>
          <w:vertAlign w:val="superscript"/>
        </w:rPr>
        <w:t>478</w:t>
      </w:r>
      <w:r>
        <w:rPr>
          <w:color w:val="000000"/>
        </w:rPr>
        <w:t xml:space="preserve"> Стратегије и закони нису међусобно усклађени, што је нарочито видљиво у вези са посебним мерама планираним у стратегијама, које се н</w:t>
      </w:r>
      <w:r>
        <w:rPr>
          <w:color w:val="000000"/>
        </w:rPr>
        <w:t>е налазе у законима,</w:t>
      </w:r>
      <w:r>
        <w:rPr>
          <w:color w:val="000000"/>
          <w:vertAlign w:val="superscript"/>
        </w:rPr>
        <w:t>479</w:t>
      </w:r>
      <w:r>
        <w:rPr>
          <w:color w:val="000000"/>
        </w:rPr>
        <w:t xml:space="preserve"> што додатно отежава постизање родне равноправности. Стратегије и прописи о науци и истраживањима нису у довољној мери усаглашени са међународним документима о родној равноправности у науци, који могу и треба да представљају упориште</w:t>
      </w:r>
      <w:r>
        <w:rPr>
          <w:color w:val="000000"/>
        </w:rPr>
        <w:t xml:space="preserve"> за креирање и увођење посебних мера које доприносе остваривању родне равноправности у науци и истраживањима.</w:t>
      </w:r>
      <w:r>
        <w:rPr>
          <w:color w:val="000000"/>
          <w:vertAlign w:val="superscript"/>
        </w:rPr>
        <w:t>480</w:t>
      </w:r>
    </w:p>
    <w:p w:rsidR="00BC3CE6" w:rsidRDefault="009A2DE5">
      <w:pPr>
        <w:spacing w:after="150"/>
      </w:pPr>
      <w:r>
        <w:rPr>
          <w:color w:val="000000"/>
        </w:rPr>
        <w:t>У периоду од 2014. до 2019. године, повећан је укупан број студената уписаних на високошколске установе и факултете у Републици Србији, при чем</w:t>
      </w:r>
      <w:r>
        <w:rPr>
          <w:color w:val="000000"/>
        </w:rPr>
        <w:t>у је број студенткиња у константном порасту, док се број студената смањује.</w:t>
      </w:r>
    </w:p>
    <w:p w:rsidR="00BC3CE6" w:rsidRDefault="009A2DE5">
      <w:pPr>
        <w:spacing w:after="150"/>
      </w:pPr>
      <w:r>
        <w:rPr>
          <w:color w:val="000000"/>
        </w:rPr>
        <w:t>Табела 1: Уписани студенти на високим школама и факултетима, према полу, 2014–2019</w:t>
      </w:r>
      <w:r>
        <w:rPr>
          <w:color w:val="000000"/>
          <w:vertAlign w:val="superscript"/>
        </w:rPr>
        <w:t>481</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709"/>
        <w:gridCol w:w="2050"/>
        <w:gridCol w:w="2264"/>
        <w:gridCol w:w="1378"/>
        <w:gridCol w:w="1727"/>
      </w:tblGrid>
      <w:tr w:rsidR="00BC3CE6">
        <w:trPr>
          <w:trHeight w:val="45"/>
          <w:tblCellSpacing w:w="0" w:type="auto"/>
        </w:trPr>
        <w:tc>
          <w:tcPr>
            <w:tcW w:w="2770" w:type="dxa"/>
            <w:vMerge w:val="restart"/>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Година</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Број</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w:t>
            </w:r>
          </w:p>
        </w:tc>
      </w:tr>
      <w:tr w:rsidR="00BC3CE6">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BC3CE6" w:rsidRDefault="00BC3CE6"/>
        </w:tc>
        <w:tc>
          <w:tcPr>
            <w:tcW w:w="359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Жене</w:t>
            </w:r>
          </w:p>
        </w:tc>
        <w:tc>
          <w:tcPr>
            <w:tcW w:w="359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Мушкарци</w:t>
            </w:r>
          </w:p>
        </w:tc>
        <w:tc>
          <w:tcPr>
            <w:tcW w:w="222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Жене</w:t>
            </w:r>
          </w:p>
        </w:tc>
        <w:tc>
          <w:tcPr>
            <w:tcW w:w="222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Мушкарци</w:t>
            </w:r>
          </w:p>
        </w:tc>
      </w:tr>
      <w:tr w:rsidR="00BC3CE6">
        <w:trPr>
          <w:trHeight w:val="45"/>
          <w:tblCellSpacing w:w="0" w:type="auto"/>
        </w:trPr>
        <w:tc>
          <w:tcPr>
            <w:tcW w:w="277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2014.</w:t>
            </w:r>
          </w:p>
        </w:tc>
        <w:tc>
          <w:tcPr>
            <w:tcW w:w="359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134460</w:t>
            </w:r>
          </w:p>
        </w:tc>
        <w:tc>
          <w:tcPr>
            <w:tcW w:w="359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106594</w:t>
            </w:r>
          </w:p>
        </w:tc>
        <w:tc>
          <w:tcPr>
            <w:tcW w:w="222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55,8</w:t>
            </w:r>
          </w:p>
        </w:tc>
        <w:tc>
          <w:tcPr>
            <w:tcW w:w="222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44,2</w:t>
            </w:r>
          </w:p>
        </w:tc>
      </w:tr>
      <w:tr w:rsidR="00BC3CE6">
        <w:trPr>
          <w:trHeight w:val="45"/>
          <w:tblCellSpacing w:w="0" w:type="auto"/>
        </w:trPr>
        <w:tc>
          <w:tcPr>
            <w:tcW w:w="277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2015.</w:t>
            </w:r>
          </w:p>
        </w:tc>
        <w:tc>
          <w:tcPr>
            <w:tcW w:w="359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138971</w:t>
            </w:r>
          </w:p>
        </w:tc>
        <w:tc>
          <w:tcPr>
            <w:tcW w:w="359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112191</w:t>
            </w:r>
          </w:p>
        </w:tc>
        <w:tc>
          <w:tcPr>
            <w:tcW w:w="222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55,3</w:t>
            </w:r>
          </w:p>
        </w:tc>
        <w:tc>
          <w:tcPr>
            <w:tcW w:w="222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44,7</w:t>
            </w:r>
          </w:p>
        </w:tc>
      </w:tr>
      <w:tr w:rsidR="00BC3CE6">
        <w:trPr>
          <w:trHeight w:val="45"/>
          <w:tblCellSpacing w:w="0" w:type="auto"/>
        </w:trPr>
        <w:tc>
          <w:tcPr>
            <w:tcW w:w="277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2016.</w:t>
            </w:r>
          </w:p>
        </w:tc>
        <w:tc>
          <w:tcPr>
            <w:tcW w:w="359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146899</w:t>
            </w:r>
          </w:p>
        </w:tc>
        <w:tc>
          <w:tcPr>
            <w:tcW w:w="359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115190</w:t>
            </w:r>
          </w:p>
        </w:tc>
        <w:tc>
          <w:tcPr>
            <w:tcW w:w="222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56,0</w:t>
            </w:r>
          </w:p>
        </w:tc>
        <w:tc>
          <w:tcPr>
            <w:tcW w:w="222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44,0</w:t>
            </w:r>
          </w:p>
        </w:tc>
      </w:tr>
      <w:tr w:rsidR="00BC3CE6">
        <w:trPr>
          <w:trHeight w:val="45"/>
          <w:tblCellSpacing w:w="0" w:type="auto"/>
        </w:trPr>
        <w:tc>
          <w:tcPr>
            <w:tcW w:w="277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2017.</w:t>
            </w:r>
          </w:p>
        </w:tc>
        <w:tc>
          <w:tcPr>
            <w:tcW w:w="359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144871</w:t>
            </w:r>
          </w:p>
        </w:tc>
        <w:tc>
          <w:tcPr>
            <w:tcW w:w="359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111301</w:t>
            </w:r>
          </w:p>
        </w:tc>
        <w:tc>
          <w:tcPr>
            <w:tcW w:w="222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56,6</w:t>
            </w:r>
          </w:p>
        </w:tc>
        <w:tc>
          <w:tcPr>
            <w:tcW w:w="222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43,4</w:t>
            </w:r>
          </w:p>
        </w:tc>
      </w:tr>
      <w:tr w:rsidR="00BC3CE6">
        <w:trPr>
          <w:trHeight w:val="45"/>
          <w:tblCellSpacing w:w="0" w:type="auto"/>
        </w:trPr>
        <w:tc>
          <w:tcPr>
            <w:tcW w:w="277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2018.</w:t>
            </w:r>
          </w:p>
        </w:tc>
        <w:tc>
          <w:tcPr>
            <w:tcW w:w="359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141679</w:t>
            </w:r>
          </w:p>
        </w:tc>
        <w:tc>
          <w:tcPr>
            <w:tcW w:w="359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108092</w:t>
            </w:r>
          </w:p>
        </w:tc>
        <w:tc>
          <w:tcPr>
            <w:tcW w:w="222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56,7</w:t>
            </w:r>
          </w:p>
        </w:tc>
        <w:tc>
          <w:tcPr>
            <w:tcW w:w="222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43,3</w:t>
            </w:r>
          </w:p>
        </w:tc>
      </w:tr>
      <w:tr w:rsidR="00BC3CE6">
        <w:trPr>
          <w:trHeight w:val="45"/>
          <w:tblCellSpacing w:w="0" w:type="auto"/>
        </w:trPr>
        <w:tc>
          <w:tcPr>
            <w:tcW w:w="277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2019.</w:t>
            </w:r>
          </w:p>
        </w:tc>
        <w:tc>
          <w:tcPr>
            <w:tcW w:w="359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137910</w:t>
            </w:r>
          </w:p>
        </w:tc>
        <w:tc>
          <w:tcPr>
            <w:tcW w:w="359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104058</w:t>
            </w:r>
          </w:p>
        </w:tc>
        <w:tc>
          <w:tcPr>
            <w:tcW w:w="222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57,0</w:t>
            </w:r>
          </w:p>
        </w:tc>
        <w:tc>
          <w:tcPr>
            <w:tcW w:w="222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43,0</w:t>
            </w:r>
          </w:p>
        </w:tc>
      </w:tr>
    </w:tbl>
    <w:p w:rsidR="00BC3CE6" w:rsidRDefault="009A2DE5">
      <w:pPr>
        <w:spacing w:after="150"/>
      </w:pPr>
      <w:r>
        <w:rPr>
          <w:color w:val="000000"/>
        </w:rPr>
        <w:t>У школској 2019/20. години, на свим високошколским установама и на свим нивоима студија у Републици Србији уписано</w:t>
      </w:r>
      <w:r>
        <w:rPr>
          <w:color w:val="000000"/>
        </w:rPr>
        <w:t xml:space="preserve"> је 241.968 студената. Од укупног броја уписаних, 104.058 су студенти (43%), а 137.910 су студенткиње (57%).</w:t>
      </w:r>
      <w:r>
        <w:rPr>
          <w:color w:val="000000"/>
          <w:vertAlign w:val="superscript"/>
        </w:rPr>
        <w:t>482</w:t>
      </w:r>
      <w:r>
        <w:rPr>
          <w:color w:val="000000"/>
        </w:rPr>
        <w:t xml:space="preserve"> На државним и приватним универзитетима укупно је уписано 204.627 студената (86% на државним, а 14% на приватним факултетима). Посматрано према н</w:t>
      </w:r>
      <w:r>
        <w:rPr>
          <w:color w:val="000000"/>
        </w:rPr>
        <w:t>ачину финансирања студија, 41,4% студената уписало се на буџет, а 58,6% студената се самофинансира.</w:t>
      </w:r>
      <w:r>
        <w:rPr>
          <w:color w:val="000000"/>
          <w:vertAlign w:val="superscript"/>
        </w:rPr>
        <w:t>483</w:t>
      </w:r>
      <w:r>
        <w:rPr>
          <w:color w:val="000000"/>
        </w:rPr>
        <w:t xml:space="preserve"> У школској 2020/21. години укупан број студената који су први пут уписали прву годину студија на државним и приватним факултетима, академијама струковних</w:t>
      </w:r>
      <w:r>
        <w:rPr>
          <w:color w:val="000000"/>
        </w:rPr>
        <w:t xml:space="preserve"> студија и високим школама је 47.823, од тога је мушкараца 20.856 (43,6%), а жена 26.967 (56,4%).</w:t>
      </w:r>
      <w:r>
        <w:rPr>
          <w:color w:val="000000"/>
          <w:vertAlign w:val="superscript"/>
        </w:rPr>
        <w:t>484</w:t>
      </w:r>
    </w:p>
    <w:p w:rsidR="00BC3CE6" w:rsidRDefault="009A2DE5">
      <w:pPr>
        <w:spacing w:after="150"/>
      </w:pPr>
      <w:r>
        <w:rPr>
          <w:color w:val="000000"/>
        </w:rPr>
        <w:t>И даље постоји родна сегрегација у високом образовању. Mеђу дипломираним студентима у 2019. години, жене су заступљене са скоро 60%, али мушкарци и даље до</w:t>
      </w:r>
      <w:r>
        <w:rPr>
          <w:color w:val="000000"/>
        </w:rPr>
        <w:t>минирају у областима: ИКТ (66%), инжењерству, производњи и грађевинарству (61%).</w:t>
      </w:r>
      <w:r>
        <w:rPr>
          <w:color w:val="000000"/>
          <w:vertAlign w:val="superscript"/>
        </w:rPr>
        <w:t>485</w:t>
      </w:r>
      <w:r>
        <w:rPr>
          <w:color w:val="000000"/>
        </w:rPr>
        <w:t xml:space="preserve"> У 2019. години докторирало је више жена (57%) него мушкараца (43%). Жене чине већину у областима здравства (71%), уметности (68%) и природним наукама (66%), а мушкарци у ин</w:t>
      </w:r>
      <w:r>
        <w:rPr>
          <w:color w:val="000000"/>
        </w:rPr>
        <w:t>жењерству, производњи и грађевинарству (57%), ИКТ (66%) и услугама (56%).</w:t>
      </w:r>
      <w:r>
        <w:rPr>
          <w:color w:val="000000"/>
          <w:vertAlign w:val="superscript"/>
        </w:rPr>
        <w:t>486</w:t>
      </w:r>
    </w:p>
    <w:p w:rsidR="00BC3CE6" w:rsidRDefault="009A2DE5">
      <w:pPr>
        <w:spacing w:after="150"/>
      </w:pPr>
      <w:r>
        <w:rPr>
          <w:color w:val="000000"/>
        </w:rPr>
        <w:t>Међу запосленима у области истраживања и развоја, у 2018. години има више жена (51%), као и међу научним истраживачима (51,4%). Жене су већински заступљене у свим категоријама, ос</w:t>
      </w:r>
      <w:r>
        <w:rPr>
          <w:color w:val="000000"/>
        </w:rPr>
        <w:t>им међу стручним сарадницима (48%). Иако чине већину, оне су на руководећим позицијама знатно ређе у поређењу са мушкарцима (38,1%). Чак и када јесу на руководећим позицијама, жене су</w:t>
      </w:r>
    </w:p>
    <w:p w:rsidR="00BC3CE6" w:rsidRDefault="009A2DE5">
      <w:pPr>
        <w:spacing w:after="150"/>
      </w:pPr>
      <w:r>
        <w:rPr>
          <w:color w:val="000000"/>
        </w:rPr>
        <w:t>много чешће од мушкараца задужене да се баве администрацијом, организаци</w:t>
      </w:r>
      <w:r>
        <w:rPr>
          <w:color w:val="000000"/>
        </w:rPr>
        <w:t>јом посла и бригом о запосленима.</w:t>
      </w:r>
      <w:r>
        <w:rPr>
          <w:color w:val="000000"/>
          <w:vertAlign w:val="superscript"/>
        </w:rPr>
        <w:t>487</w:t>
      </w:r>
      <w:r>
        <w:rPr>
          <w:color w:val="000000"/>
        </w:rPr>
        <w:t xml:space="preserve"> Треба имати у виду да су од оснивања Универзитета у Београду до данас, само две жене биле на позицији ректорке. Међу члановима Српске академије наука и уметности доминирају мушкарци. У 2020. години 90% свих чланова су м</w:t>
      </w:r>
      <w:r>
        <w:rPr>
          <w:color w:val="000000"/>
        </w:rPr>
        <w:t>ушкарци. Највеће учешће жена је у Одељењу језика и књижевности и Одељењу историјских наука, док је само по једна чланица у одељењима друштвених наука, техничких наука и математике, физике и гео-науке.</w:t>
      </w:r>
      <w:r>
        <w:rPr>
          <w:color w:val="000000"/>
          <w:vertAlign w:val="superscript"/>
        </w:rPr>
        <w:t>488</w:t>
      </w:r>
    </w:p>
    <w:p w:rsidR="00BC3CE6" w:rsidRDefault="009A2DE5">
      <w:pPr>
        <w:spacing w:after="150"/>
      </w:pPr>
      <w:r>
        <w:rPr>
          <w:color w:val="000000"/>
        </w:rPr>
        <w:t>Табела 2: Запослени на пословима истраживања и разво</w:t>
      </w:r>
      <w:r>
        <w:rPr>
          <w:color w:val="000000"/>
        </w:rPr>
        <w:t>ја, према звању и полу, 2014, 2016. и 2018.</w:t>
      </w:r>
      <w:r>
        <w:rPr>
          <w:color w:val="000000"/>
          <w:vertAlign w:val="superscript"/>
        </w:rPr>
        <w:t>489</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314"/>
        <w:gridCol w:w="723"/>
        <w:gridCol w:w="723"/>
        <w:gridCol w:w="578"/>
        <w:gridCol w:w="578"/>
        <w:gridCol w:w="724"/>
        <w:gridCol w:w="724"/>
        <w:gridCol w:w="579"/>
        <w:gridCol w:w="579"/>
        <w:gridCol w:w="724"/>
        <w:gridCol w:w="724"/>
        <w:gridCol w:w="579"/>
        <w:gridCol w:w="579"/>
      </w:tblGrid>
      <w:tr w:rsidR="00BC3CE6">
        <w:trPr>
          <w:trHeight w:val="45"/>
          <w:tblCellSpacing w:w="0" w:type="auto"/>
        </w:trPr>
        <w:tc>
          <w:tcPr>
            <w:tcW w:w="260" w:type="dxa"/>
            <w:vMerge w:val="restart"/>
            <w:tcBorders>
              <w:top w:val="single" w:sz="8" w:space="0" w:color="000000"/>
              <w:left w:val="single" w:sz="8" w:space="0" w:color="000000"/>
              <w:bottom w:val="single" w:sz="8" w:space="0" w:color="000000"/>
              <w:right w:val="single" w:sz="8" w:space="0" w:color="000000"/>
            </w:tcBorders>
            <w:vAlign w:val="center"/>
          </w:tcPr>
          <w:p w:rsidR="00BC3CE6" w:rsidRDefault="00BC3CE6"/>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2014.</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2016.</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2018.</w:t>
            </w:r>
          </w:p>
        </w:tc>
      </w:tr>
      <w:tr w:rsidR="00BC3CE6">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BC3CE6" w:rsidRDefault="00BC3CE6"/>
        </w:tc>
        <w:tc>
          <w:tcPr>
            <w:tcW w:w="136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Ж</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М</w:t>
            </w:r>
          </w:p>
        </w:tc>
        <w:tc>
          <w:tcPr>
            <w:tcW w:w="99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Ж</w:t>
            </w:r>
            <w:r>
              <w:rPr>
                <w:color w:val="000000"/>
              </w:rPr>
              <w:lastRenderedPageBreak/>
              <w:t>%</w:t>
            </w:r>
          </w:p>
        </w:tc>
        <w:tc>
          <w:tcPr>
            <w:tcW w:w="99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М</w:t>
            </w:r>
            <w:r>
              <w:rPr>
                <w:color w:val="000000"/>
              </w:rPr>
              <w:lastRenderedPageBreak/>
              <w:t>%</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Ж</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М</w:t>
            </w:r>
          </w:p>
        </w:tc>
        <w:tc>
          <w:tcPr>
            <w:tcW w:w="9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Ж</w:t>
            </w:r>
            <w:r>
              <w:rPr>
                <w:color w:val="000000"/>
              </w:rPr>
              <w:lastRenderedPageBreak/>
              <w:t>%</w:t>
            </w:r>
          </w:p>
        </w:tc>
        <w:tc>
          <w:tcPr>
            <w:tcW w:w="9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М</w:t>
            </w:r>
            <w:r>
              <w:rPr>
                <w:color w:val="000000"/>
              </w:rPr>
              <w:lastRenderedPageBreak/>
              <w:t>%</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Ж</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М</w:t>
            </w:r>
          </w:p>
        </w:tc>
        <w:tc>
          <w:tcPr>
            <w:tcW w:w="9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Ж</w:t>
            </w:r>
            <w:r>
              <w:rPr>
                <w:color w:val="000000"/>
              </w:rPr>
              <w:lastRenderedPageBreak/>
              <w:t>%</w:t>
            </w:r>
          </w:p>
        </w:tc>
        <w:tc>
          <w:tcPr>
            <w:tcW w:w="99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M</w:t>
            </w:r>
            <w:r>
              <w:rPr>
                <w:color w:val="000000"/>
              </w:rPr>
              <w:lastRenderedPageBreak/>
              <w:t>%</w:t>
            </w:r>
          </w:p>
        </w:tc>
      </w:tr>
      <w:tr w:rsidR="00BC3CE6">
        <w:trPr>
          <w:trHeight w:val="45"/>
          <w:tblCellSpacing w:w="0" w:type="auto"/>
        </w:trPr>
        <w:tc>
          <w:tcPr>
            <w:tcW w:w="26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Укупно</w:t>
            </w:r>
          </w:p>
        </w:tc>
        <w:tc>
          <w:tcPr>
            <w:tcW w:w="136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10863</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11017</w:t>
            </w:r>
          </w:p>
        </w:tc>
        <w:tc>
          <w:tcPr>
            <w:tcW w:w="99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49,6</w:t>
            </w:r>
          </w:p>
        </w:tc>
        <w:tc>
          <w:tcPr>
            <w:tcW w:w="99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50,4</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11533</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12009</w:t>
            </w:r>
          </w:p>
        </w:tc>
        <w:tc>
          <w:tcPr>
            <w:tcW w:w="9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49,0</w:t>
            </w:r>
          </w:p>
        </w:tc>
        <w:tc>
          <w:tcPr>
            <w:tcW w:w="9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51,0</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11645</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11326</w:t>
            </w:r>
          </w:p>
        </w:tc>
        <w:tc>
          <w:tcPr>
            <w:tcW w:w="9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50,7</w:t>
            </w:r>
          </w:p>
        </w:tc>
        <w:tc>
          <w:tcPr>
            <w:tcW w:w="99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49,3</w:t>
            </w:r>
          </w:p>
        </w:tc>
      </w:tr>
      <w:tr w:rsidR="00BC3CE6">
        <w:trPr>
          <w:trHeight w:val="45"/>
          <w:tblCellSpacing w:w="0" w:type="auto"/>
        </w:trPr>
        <w:tc>
          <w:tcPr>
            <w:tcW w:w="26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Истраживачи</w:t>
            </w:r>
          </w:p>
        </w:tc>
        <w:tc>
          <w:tcPr>
            <w:tcW w:w="136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7452</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7711</w:t>
            </w:r>
          </w:p>
        </w:tc>
        <w:tc>
          <w:tcPr>
            <w:tcW w:w="99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49,1</w:t>
            </w:r>
          </w:p>
        </w:tc>
        <w:tc>
          <w:tcPr>
            <w:tcW w:w="99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50,9</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8032</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8560</w:t>
            </w:r>
          </w:p>
        </w:tc>
        <w:tc>
          <w:tcPr>
            <w:tcW w:w="9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48,4</w:t>
            </w:r>
          </w:p>
        </w:tc>
        <w:tc>
          <w:tcPr>
            <w:tcW w:w="9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51,6</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8329</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7884</w:t>
            </w:r>
          </w:p>
        </w:tc>
        <w:tc>
          <w:tcPr>
            <w:tcW w:w="9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51,4</w:t>
            </w:r>
          </w:p>
        </w:tc>
        <w:tc>
          <w:tcPr>
            <w:tcW w:w="99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48,6</w:t>
            </w:r>
          </w:p>
        </w:tc>
      </w:tr>
      <w:tr w:rsidR="00BC3CE6">
        <w:trPr>
          <w:trHeight w:val="45"/>
          <w:tblCellSpacing w:w="0" w:type="auto"/>
        </w:trPr>
        <w:tc>
          <w:tcPr>
            <w:tcW w:w="26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Стручни </w:t>
            </w:r>
            <w:r>
              <w:rPr>
                <w:color w:val="000000"/>
              </w:rPr>
              <w:t>сарадници</w:t>
            </w:r>
          </w:p>
        </w:tc>
        <w:tc>
          <w:tcPr>
            <w:tcW w:w="136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715</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1001</w:t>
            </w:r>
          </w:p>
        </w:tc>
        <w:tc>
          <w:tcPr>
            <w:tcW w:w="99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41,7</w:t>
            </w:r>
          </w:p>
        </w:tc>
        <w:tc>
          <w:tcPr>
            <w:tcW w:w="99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58,3</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876</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943</w:t>
            </w:r>
          </w:p>
        </w:tc>
        <w:tc>
          <w:tcPr>
            <w:tcW w:w="9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48,2</w:t>
            </w:r>
          </w:p>
        </w:tc>
        <w:tc>
          <w:tcPr>
            <w:tcW w:w="9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51,8</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733</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794</w:t>
            </w:r>
          </w:p>
        </w:tc>
        <w:tc>
          <w:tcPr>
            <w:tcW w:w="9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48,0</w:t>
            </w:r>
          </w:p>
        </w:tc>
        <w:tc>
          <w:tcPr>
            <w:tcW w:w="99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52,0</w:t>
            </w:r>
          </w:p>
        </w:tc>
      </w:tr>
      <w:tr w:rsidR="00BC3CE6">
        <w:trPr>
          <w:trHeight w:val="45"/>
          <w:tblCellSpacing w:w="0" w:type="auto"/>
        </w:trPr>
        <w:tc>
          <w:tcPr>
            <w:tcW w:w="26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Техничко особље</w:t>
            </w:r>
          </w:p>
        </w:tc>
        <w:tc>
          <w:tcPr>
            <w:tcW w:w="136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1454</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1175</w:t>
            </w:r>
          </w:p>
        </w:tc>
        <w:tc>
          <w:tcPr>
            <w:tcW w:w="99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55,3</w:t>
            </w:r>
          </w:p>
        </w:tc>
        <w:tc>
          <w:tcPr>
            <w:tcW w:w="99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44,7</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1632</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1521</w:t>
            </w:r>
          </w:p>
        </w:tc>
        <w:tc>
          <w:tcPr>
            <w:tcW w:w="9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51,8</w:t>
            </w:r>
          </w:p>
        </w:tc>
        <w:tc>
          <w:tcPr>
            <w:tcW w:w="9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48,2</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1542</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1489</w:t>
            </w:r>
          </w:p>
        </w:tc>
        <w:tc>
          <w:tcPr>
            <w:tcW w:w="9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50,9</w:t>
            </w:r>
          </w:p>
        </w:tc>
        <w:tc>
          <w:tcPr>
            <w:tcW w:w="99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49,1</w:t>
            </w:r>
          </w:p>
        </w:tc>
      </w:tr>
      <w:tr w:rsidR="00BC3CE6">
        <w:trPr>
          <w:trHeight w:val="45"/>
          <w:tblCellSpacing w:w="0" w:type="auto"/>
        </w:trPr>
        <w:tc>
          <w:tcPr>
            <w:tcW w:w="26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Руководеће особље</w:t>
            </w:r>
          </w:p>
        </w:tc>
        <w:tc>
          <w:tcPr>
            <w:tcW w:w="136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198</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260</w:t>
            </w:r>
          </w:p>
        </w:tc>
        <w:tc>
          <w:tcPr>
            <w:tcW w:w="99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43,2</w:t>
            </w:r>
          </w:p>
        </w:tc>
        <w:tc>
          <w:tcPr>
            <w:tcW w:w="99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56,8</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203</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364</w:t>
            </w:r>
          </w:p>
        </w:tc>
        <w:tc>
          <w:tcPr>
            <w:tcW w:w="9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35,8</w:t>
            </w:r>
          </w:p>
        </w:tc>
        <w:tc>
          <w:tcPr>
            <w:tcW w:w="9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64,2</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253</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411</w:t>
            </w:r>
          </w:p>
        </w:tc>
        <w:tc>
          <w:tcPr>
            <w:tcW w:w="9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38,1</w:t>
            </w:r>
          </w:p>
        </w:tc>
        <w:tc>
          <w:tcPr>
            <w:tcW w:w="99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61,9</w:t>
            </w:r>
          </w:p>
        </w:tc>
      </w:tr>
      <w:tr w:rsidR="00BC3CE6">
        <w:trPr>
          <w:trHeight w:val="45"/>
          <w:tblCellSpacing w:w="0" w:type="auto"/>
        </w:trPr>
        <w:tc>
          <w:tcPr>
            <w:tcW w:w="26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Остало особље</w:t>
            </w:r>
          </w:p>
        </w:tc>
        <w:tc>
          <w:tcPr>
            <w:tcW w:w="136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1044</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870</w:t>
            </w:r>
          </w:p>
        </w:tc>
        <w:tc>
          <w:tcPr>
            <w:tcW w:w="99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54,5</w:t>
            </w:r>
          </w:p>
        </w:tc>
        <w:tc>
          <w:tcPr>
            <w:tcW w:w="99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45,5</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790</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621</w:t>
            </w:r>
          </w:p>
        </w:tc>
        <w:tc>
          <w:tcPr>
            <w:tcW w:w="9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56,0</w:t>
            </w:r>
          </w:p>
        </w:tc>
        <w:tc>
          <w:tcPr>
            <w:tcW w:w="9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44,0</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788</w:t>
            </w:r>
          </w:p>
        </w:tc>
        <w:tc>
          <w:tcPr>
            <w:tcW w:w="13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748</w:t>
            </w:r>
          </w:p>
        </w:tc>
        <w:tc>
          <w:tcPr>
            <w:tcW w:w="9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51,3</w:t>
            </w:r>
          </w:p>
        </w:tc>
        <w:tc>
          <w:tcPr>
            <w:tcW w:w="99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48,7</w:t>
            </w:r>
          </w:p>
        </w:tc>
      </w:tr>
    </w:tbl>
    <w:p w:rsidR="00BC3CE6" w:rsidRDefault="009A2DE5">
      <w:pPr>
        <w:spacing w:after="150"/>
      </w:pPr>
      <w:r>
        <w:rPr>
          <w:color w:val="000000"/>
        </w:rPr>
        <w:t>Приметан је пораст броја истраживачица у претходних неколико година, у свим научним областима. Подаци из 2018. године показују да је највеће учешће истраживачица у медицинским наукама и наукама о здрављу (58,6%), а најмање уче</w:t>
      </w:r>
      <w:r>
        <w:rPr>
          <w:color w:val="000000"/>
        </w:rPr>
        <w:t>шће у инжењерингу и технологији (40%), што је уједно и једина научна област у којој су жене заступљене мање у поређењу са мушкарцима.</w:t>
      </w:r>
      <w:r>
        <w:rPr>
          <w:color w:val="000000"/>
          <w:vertAlign w:val="superscript"/>
        </w:rPr>
        <w:t>490</w:t>
      </w:r>
      <w:r>
        <w:rPr>
          <w:color w:val="000000"/>
        </w:rPr>
        <w:t xml:space="preserve"> Анализа која је обухватила период од октобра 2016. до јуна 2020. године показала је да се положај академских и научних </w:t>
      </w:r>
      <w:r>
        <w:rPr>
          <w:color w:val="000000"/>
        </w:rPr>
        <w:t>радница није значајно побољшао у том периоду.</w:t>
      </w:r>
      <w:r>
        <w:rPr>
          <w:color w:val="000000"/>
          <w:vertAlign w:val="superscript"/>
        </w:rPr>
        <w:t>491</w:t>
      </w:r>
      <w:r>
        <w:rPr>
          <w:color w:val="000000"/>
        </w:rPr>
        <w:t xml:space="preserve"> Осим благог пораста жена које су запослене на пословима истраживања и развоја, као и благог пораста броја истраживачица, нису уочљиви други индикатори напретка.</w:t>
      </w:r>
    </w:p>
    <w:p w:rsidR="00BC3CE6" w:rsidRDefault="009A2DE5">
      <w:pPr>
        <w:spacing w:after="150"/>
      </w:pPr>
      <w:r>
        <w:rPr>
          <w:color w:val="000000"/>
        </w:rPr>
        <w:t xml:space="preserve">Табела 3: Истраживачи према научним областима </w:t>
      </w:r>
      <w:r>
        <w:rPr>
          <w:color w:val="000000"/>
        </w:rPr>
        <w:t>и полу, 2014, 2016. и 2018.</w:t>
      </w:r>
      <w:r>
        <w:rPr>
          <w:color w:val="000000"/>
          <w:vertAlign w:val="superscript"/>
        </w:rPr>
        <w:t>492</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46"/>
        <w:gridCol w:w="647"/>
        <w:gridCol w:w="647"/>
        <w:gridCol w:w="600"/>
        <w:gridCol w:w="600"/>
        <w:gridCol w:w="647"/>
        <w:gridCol w:w="647"/>
        <w:gridCol w:w="600"/>
        <w:gridCol w:w="600"/>
        <w:gridCol w:w="647"/>
        <w:gridCol w:w="647"/>
        <w:gridCol w:w="600"/>
        <w:gridCol w:w="600"/>
      </w:tblGrid>
      <w:tr w:rsidR="00BC3CE6">
        <w:trPr>
          <w:trHeight w:val="45"/>
          <w:tblCellSpacing w:w="0" w:type="auto"/>
        </w:trPr>
        <w:tc>
          <w:tcPr>
            <w:tcW w:w="804" w:type="dxa"/>
            <w:vMerge w:val="restart"/>
            <w:tcBorders>
              <w:top w:val="single" w:sz="8" w:space="0" w:color="000000"/>
              <w:left w:val="single" w:sz="8" w:space="0" w:color="000000"/>
              <w:bottom w:val="single" w:sz="8" w:space="0" w:color="000000"/>
              <w:right w:val="single" w:sz="8" w:space="0" w:color="000000"/>
            </w:tcBorders>
            <w:vAlign w:val="center"/>
          </w:tcPr>
          <w:p w:rsidR="00BC3CE6" w:rsidRDefault="00BC3CE6"/>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2014.</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2016.</w:t>
            </w:r>
          </w:p>
        </w:tc>
        <w:tc>
          <w:tcPr>
            <w:tcW w:w="0" w:type="auto"/>
            <w:gridSpan w:val="4"/>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2018.</w:t>
            </w:r>
          </w:p>
        </w:tc>
      </w:tr>
      <w:tr w:rsidR="00BC3CE6">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BC3CE6" w:rsidRDefault="00BC3CE6"/>
        </w:tc>
        <w:tc>
          <w:tcPr>
            <w:tcW w:w="119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Ж</w:t>
            </w:r>
          </w:p>
        </w:tc>
        <w:tc>
          <w:tcPr>
            <w:tcW w:w="119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М</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Ж%</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М%</w:t>
            </w:r>
          </w:p>
        </w:tc>
        <w:tc>
          <w:tcPr>
            <w:tcW w:w="119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Ж</w:t>
            </w:r>
          </w:p>
        </w:tc>
        <w:tc>
          <w:tcPr>
            <w:tcW w:w="119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М</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Ж%</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М%</w:t>
            </w:r>
          </w:p>
        </w:tc>
        <w:tc>
          <w:tcPr>
            <w:tcW w:w="119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Ж</w:t>
            </w:r>
          </w:p>
        </w:tc>
        <w:tc>
          <w:tcPr>
            <w:tcW w:w="119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М</w:t>
            </w:r>
          </w:p>
        </w:tc>
        <w:tc>
          <w:tcPr>
            <w:tcW w:w="106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Ж%</w:t>
            </w:r>
          </w:p>
        </w:tc>
        <w:tc>
          <w:tcPr>
            <w:tcW w:w="106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M%</w:t>
            </w:r>
          </w:p>
        </w:tc>
      </w:tr>
      <w:tr w:rsidR="00BC3CE6">
        <w:trPr>
          <w:trHeight w:val="45"/>
          <w:tblCellSpacing w:w="0" w:type="auto"/>
        </w:trPr>
        <w:tc>
          <w:tcPr>
            <w:tcW w:w="80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Укупно</w:t>
            </w:r>
          </w:p>
        </w:tc>
        <w:tc>
          <w:tcPr>
            <w:tcW w:w="119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7452</w:t>
            </w:r>
          </w:p>
        </w:tc>
        <w:tc>
          <w:tcPr>
            <w:tcW w:w="119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7711</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49,1</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50,9</w:t>
            </w:r>
          </w:p>
        </w:tc>
        <w:tc>
          <w:tcPr>
            <w:tcW w:w="119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8032</w:t>
            </w:r>
          </w:p>
        </w:tc>
        <w:tc>
          <w:tcPr>
            <w:tcW w:w="119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8560</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48,4</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51,6</w:t>
            </w:r>
          </w:p>
        </w:tc>
        <w:tc>
          <w:tcPr>
            <w:tcW w:w="119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8329</w:t>
            </w:r>
          </w:p>
        </w:tc>
        <w:tc>
          <w:tcPr>
            <w:tcW w:w="119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7884</w:t>
            </w:r>
          </w:p>
        </w:tc>
        <w:tc>
          <w:tcPr>
            <w:tcW w:w="106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51,4</w:t>
            </w:r>
          </w:p>
        </w:tc>
        <w:tc>
          <w:tcPr>
            <w:tcW w:w="106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48,6</w:t>
            </w:r>
          </w:p>
        </w:tc>
      </w:tr>
      <w:tr w:rsidR="00BC3CE6">
        <w:trPr>
          <w:trHeight w:val="45"/>
          <w:tblCellSpacing w:w="0" w:type="auto"/>
        </w:trPr>
        <w:tc>
          <w:tcPr>
            <w:tcW w:w="80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Природне науке</w:t>
            </w:r>
          </w:p>
        </w:tc>
        <w:tc>
          <w:tcPr>
            <w:tcW w:w="119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1763</w:t>
            </w:r>
          </w:p>
        </w:tc>
        <w:tc>
          <w:tcPr>
            <w:tcW w:w="119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1516</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53,8</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46,2</w:t>
            </w:r>
          </w:p>
        </w:tc>
        <w:tc>
          <w:tcPr>
            <w:tcW w:w="119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2016</w:t>
            </w:r>
          </w:p>
        </w:tc>
        <w:tc>
          <w:tcPr>
            <w:tcW w:w="119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2094</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49,1</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50,9</w:t>
            </w:r>
          </w:p>
        </w:tc>
        <w:tc>
          <w:tcPr>
            <w:tcW w:w="119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2135</w:t>
            </w:r>
          </w:p>
        </w:tc>
        <w:tc>
          <w:tcPr>
            <w:tcW w:w="119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1541</w:t>
            </w:r>
          </w:p>
        </w:tc>
        <w:tc>
          <w:tcPr>
            <w:tcW w:w="106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58,1</w:t>
            </w:r>
          </w:p>
        </w:tc>
        <w:tc>
          <w:tcPr>
            <w:tcW w:w="106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41,9</w:t>
            </w:r>
          </w:p>
        </w:tc>
      </w:tr>
      <w:tr w:rsidR="00BC3CE6">
        <w:trPr>
          <w:trHeight w:val="45"/>
          <w:tblCellSpacing w:w="0" w:type="auto"/>
        </w:trPr>
        <w:tc>
          <w:tcPr>
            <w:tcW w:w="80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Инжењеринг и технологија</w:t>
            </w:r>
          </w:p>
        </w:tc>
        <w:tc>
          <w:tcPr>
            <w:tcW w:w="119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1555</w:t>
            </w:r>
          </w:p>
        </w:tc>
        <w:tc>
          <w:tcPr>
            <w:tcW w:w="119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2705</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36,5</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63,5</w:t>
            </w:r>
          </w:p>
        </w:tc>
        <w:tc>
          <w:tcPr>
            <w:tcW w:w="119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1809</w:t>
            </w:r>
          </w:p>
        </w:tc>
        <w:tc>
          <w:tcPr>
            <w:tcW w:w="119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3051</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37,2</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62,8</w:t>
            </w:r>
          </w:p>
        </w:tc>
        <w:tc>
          <w:tcPr>
            <w:tcW w:w="119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1839</w:t>
            </w:r>
          </w:p>
        </w:tc>
        <w:tc>
          <w:tcPr>
            <w:tcW w:w="119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2714</w:t>
            </w:r>
          </w:p>
        </w:tc>
        <w:tc>
          <w:tcPr>
            <w:tcW w:w="106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40,4</w:t>
            </w:r>
          </w:p>
        </w:tc>
        <w:tc>
          <w:tcPr>
            <w:tcW w:w="106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59,6</w:t>
            </w:r>
          </w:p>
        </w:tc>
      </w:tr>
      <w:tr w:rsidR="00BC3CE6">
        <w:trPr>
          <w:trHeight w:val="45"/>
          <w:tblCellSpacing w:w="0" w:type="auto"/>
        </w:trPr>
        <w:tc>
          <w:tcPr>
            <w:tcW w:w="80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Медицинске науке и науке о здрављу</w:t>
            </w:r>
          </w:p>
        </w:tc>
        <w:tc>
          <w:tcPr>
            <w:tcW w:w="119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1216</w:t>
            </w:r>
          </w:p>
        </w:tc>
        <w:tc>
          <w:tcPr>
            <w:tcW w:w="119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825</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59,6</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40,4</w:t>
            </w:r>
          </w:p>
        </w:tc>
        <w:tc>
          <w:tcPr>
            <w:tcW w:w="119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1406</w:t>
            </w:r>
          </w:p>
        </w:tc>
        <w:tc>
          <w:tcPr>
            <w:tcW w:w="119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944</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59,8</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40,2</w:t>
            </w:r>
          </w:p>
        </w:tc>
        <w:tc>
          <w:tcPr>
            <w:tcW w:w="119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1454</w:t>
            </w:r>
          </w:p>
        </w:tc>
        <w:tc>
          <w:tcPr>
            <w:tcW w:w="119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1029</w:t>
            </w:r>
          </w:p>
        </w:tc>
        <w:tc>
          <w:tcPr>
            <w:tcW w:w="106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58,6</w:t>
            </w:r>
          </w:p>
        </w:tc>
        <w:tc>
          <w:tcPr>
            <w:tcW w:w="106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41,4</w:t>
            </w:r>
          </w:p>
        </w:tc>
      </w:tr>
      <w:tr w:rsidR="00BC3CE6">
        <w:trPr>
          <w:trHeight w:val="45"/>
          <w:tblCellSpacing w:w="0" w:type="auto"/>
        </w:trPr>
        <w:tc>
          <w:tcPr>
            <w:tcW w:w="80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Пољопривредне науке</w:t>
            </w:r>
          </w:p>
        </w:tc>
        <w:tc>
          <w:tcPr>
            <w:tcW w:w="119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560</w:t>
            </w:r>
          </w:p>
        </w:tc>
        <w:tc>
          <w:tcPr>
            <w:tcW w:w="119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556</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50,2</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49,8</w:t>
            </w:r>
          </w:p>
        </w:tc>
        <w:tc>
          <w:tcPr>
            <w:tcW w:w="119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594</w:t>
            </w:r>
          </w:p>
        </w:tc>
        <w:tc>
          <w:tcPr>
            <w:tcW w:w="119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581</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50,6</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49,4</w:t>
            </w:r>
          </w:p>
        </w:tc>
        <w:tc>
          <w:tcPr>
            <w:tcW w:w="119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588</w:t>
            </w:r>
          </w:p>
        </w:tc>
        <w:tc>
          <w:tcPr>
            <w:tcW w:w="119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554</w:t>
            </w:r>
          </w:p>
        </w:tc>
        <w:tc>
          <w:tcPr>
            <w:tcW w:w="106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51,5</w:t>
            </w:r>
          </w:p>
        </w:tc>
        <w:tc>
          <w:tcPr>
            <w:tcW w:w="106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48,5</w:t>
            </w:r>
          </w:p>
        </w:tc>
      </w:tr>
      <w:tr w:rsidR="00BC3CE6">
        <w:trPr>
          <w:trHeight w:val="45"/>
          <w:tblCellSpacing w:w="0" w:type="auto"/>
        </w:trPr>
        <w:tc>
          <w:tcPr>
            <w:tcW w:w="80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Друштвене науке</w:t>
            </w:r>
          </w:p>
        </w:tc>
        <w:tc>
          <w:tcPr>
            <w:tcW w:w="119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1551</w:t>
            </w:r>
          </w:p>
        </w:tc>
        <w:tc>
          <w:tcPr>
            <w:tcW w:w="119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1526</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50,4</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49,6</w:t>
            </w:r>
          </w:p>
        </w:tc>
        <w:tc>
          <w:tcPr>
            <w:tcW w:w="119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1400</w:t>
            </w:r>
          </w:p>
        </w:tc>
        <w:tc>
          <w:tcPr>
            <w:tcW w:w="119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1266</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52,5</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47,5</w:t>
            </w:r>
          </w:p>
        </w:tc>
        <w:tc>
          <w:tcPr>
            <w:tcW w:w="119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1470</w:t>
            </w:r>
          </w:p>
        </w:tc>
        <w:tc>
          <w:tcPr>
            <w:tcW w:w="119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1397</w:t>
            </w:r>
          </w:p>
        </w:tc>
        <w:tc>
          <w:tcPr>
            <w:tcW w:w="106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51,3</w:t>
            </w:r>
          </w:p>
        </w:tc>
        <w:tc>
          <w:tcPr>
            <w:tcW w:w="106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48,7</w:t>
            </w:r>
          </w:p>
        </w:tc>
      </w:tr>
      <w:tr w:rsidR="00BC3CE6">
        <w:trPr>
          <w:trHeight w:val="45"/>
          <w:tblCellSpacing w:w="0" w:type="auto"/>
        </w:trPr>
        <w:tc>
          <w:tcPr>
            <w:tcW w:w="80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Хуманистичке науке</w:t>
            </w:r>
          </w:p>
        </w:tc>
        <w:tc>
          <w:tcPr>
            <w:tcW w:w="119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807</w:t>
            </w:r>
          </w:p>
        </w:tc>
        <w:tc>
          <w:tcPr>
            <w:tcW w:w="119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583</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58,1</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41,9</w:t>
            </w:r>
          </w:p>
        </w:tc>
        <w:tc>
          <w:tcPr>
            <w:tcW w:w="119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807</w:t>
            </w:r>
          </w:p>
        </w:tc>
        <w:tc>
          <w:tcPr>
            <w:tcW w:w="119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624</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56,4</w:t>
            </w:r>
          </w:p>
        </w:tc>
        <w:tc>
          <w:tcPr>
            <w:tcW w:w="10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43,6</w:t>
            </w:r>
          </w:p>
        </w:tc>
        <w:tc>
          <w:tcPr>
            <w:tcW w:w="119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843</w:t>
            </w:r>
          </w:p>
        </w:tc>
        <w:tc>
          <w:tcPr>
            <w:tcW w:w="119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649</w:t>
            </w:r>
          </w:p>
        </w:tc>
        <w:tc>
          <w:tcPr>
            <w:tcW w:w="106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56,5</w:t>
            </w:r>
          </w:p>
        </w:tc>
        <w:tc>
          <w:tcPr>
            <w:tcW w:w="106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43,5</w:t>
            </w:r>
          </w:p>
        </w:tc>
      </w:tr>
    </w:tbl>
    <w:p w:rsidR="00BC3CE6" w:rsidRDefault="009A2DE5">
      <w:pPr>
        <w:spacing w:after="150"/>
      </w:pPr>
      <w:r>
        <w:rPr>
          <w:color w:val="000000"/>
        </w:rPr>
        <w:t xml:space="preserve">Ови подаци евидентно показују да се обрасци сегрегације који се успостављају у току средњошколског образовања, настављају и на нивоу </w:t>
      </w:r>
      <w:r>
        <w:rPr>
          <w:color w:val="000000"/>
        </w:rPr>
        <w:t>високог образовања, што за последицу има сегрегацију на тржишту рада. Мушкарци се и даље више усмеравају на инжењерство, информатику, природне и техничке науке, док се жене више усмеравају на друштвене и хуманистичке науке, као и на области које су повезен</w:t>
      </w:r>
      <w:r>
        <w:rPr>
          <w:color w:val="000000"/>
        </w:rPr>
        <w:t>е са бригом о другима.</w:t>
      </w:r>
      <w:r>
        <w:rPr>
          <w:color w:val="000000"/>
          <w:vertAlign w:val="superscript"/>
        </w:rPr>
        <w:t>493</w:t>
      </w:r>
      <w:r>
        <w:rPr>
          <w:color w:val="000000"/>
        </w:rPr>
        <w:t xml:space="preserve"> Међутим, иако је вертикална сегрегација веома присутна, овај проблем није предмет институционалне пажње.</w:t>
      </w:r>
      <w:r>
        <w:rPr>
          <w:color w:val="000000"/>
          <w:vertAlign w:val="superscript"/>
        </w:rPr>
        <w:t>494</w:t>
      </w:r>
    </w:p>
    <w:p w:rsidR="00BC3CE6" w:rsidRDefault="009A2DE5">
      <w:pPr>
        <w:spacing w:after="150"/>
      </w:pPr>
      <w:r>
        <w:rPr>
          <w:color w:val="000000"/>
        </w:rPr>
        <w:t>Да би процес уродњавања високог образовања, науке и истраживања био ефикасан и да би допринео пуном остваривању принципа р</w:t>
      </w:r>
      <w:r>
        <w:rPr>
          <w:color w:val="000000"/>
        </w:rPr>
        <w:t>одне равноправности, важно је успоставити добар стратешки оквир који ће бити институционализован кроз законе, у коме ће постојати јасна подела одговорности и задужења, уз развијање свести о неопходности заједничког деловања. Неопходно је обезбедити адекват</w:t>
      </w:r>
      <w:r>
        <w:rPr>
          <w:color w:val="000000"/>
        </w:rPr>
        <w:t>на финансијска средства како би стратешке мере и активности, укључујући и оне које подразумевају истраживања, прикупљање података, подршку пројектима, промоцији и видљивости студија рода и слично, могле да се реализују.</w:t>
      </w:r>
      <w:r>
        <w:rPr>
          <w:color w:val="000000"/>
          <w:vertAlign w:val="superscript"/>
        </w:rPr>
        <w:t>495</w:t>
      </w:r>
      <w:r>
        <w:rPr>
          <w:color w:val="000000"/>
        </w:rPr>
        <w:t xml:space="preserve"> Поред тога, важно је промовисати </w:t>
      </w:r>
      <w:r>
        <w:rPr>
          <w:color w:val="000000"/>
        </w:rPr>
        <w:t>и користити акумулирано знање из области студија рода за креирање и спровођење јавних политика, интензивније радити на јачању међусобне подршке жена у науци и академији, повезивању експерткиња, активистикиња и научница из различитих области, како би заједн</w:t>
      </w:r>
      <w:r>
        <w:rPr>
          <w:color w:val="000000"/>
        </w:rPr>
        <w:t>ички дале допринос препознавању и реаговању на родне неравноправности у науци и Академији.</w:t>
      </w:r>
      <w:r>
        <w:rPr>
          <w:color w:val="000000"/>
          <w:vertAlign w:val="superscript"/>
        </w:rPr>
        <w:t>496</w:t>
      </w:r>
      <w:r>
        <w:rPr>
          <w:color w:val="000000"/>
        </w:rPr>
        <w:t xml:space="preserve"> Заједничким мултисекторским деловањем доприноси се стварању услова за једнак приступ жена и мушкараца високом образовању, једнак приступ раду, позицијама одлучива</w:t>
      </w:r>
      <w:r>
        <w:rPr>
          <w:color w:val="000000"/>
        </w:rPr>
        <w:t>ња и управљања, као и повећавању родне осетљивости студијских програма, уџбеника и наставних материјала, што уз осигуравање родно осетљиве статистике, родно одговорног буџетирања и континуиране борбе против родно засноване дискриминације и насиља у академс</w:t>
      </w:r>
      <w:r>
        <w:rPr>
          <w:color w:val="000000"/>
        </w:rPr>
        <w:t>ком простору,</w:t>
      </w:r>
      <w:r>
        <w:rPr>
          <w:color w:val="000000"/>
          <w:vertAlign w:val="superscript"/>
        </w:rPr>
        <w:t>497</w:t>
      </w:r>
      <w:r>
        <w:rPr>
          <w:color w:val="000000"/>
        </w:rPr>
        <w:t xml:space="preserve"> представља добру основу за доследно остваривање принципа родне равноправности.</w:t>
      </w:r>
    </w:p>
    <w:p w:rsidR="00BC3CE6" w:rsidRDefault="009A2DE5">
      <w:pPr>
        <w:spacing w:after="150"/>
        <w:jc w:val="both"/>
      </w:pPr>
      <w:r>
        <w:rPr>
          <w:i/>
          <w:color w:val="000000"/>
        </w:rPr>
        <w:t>––––––––</w:t>
      </w:r>
    </w:p>
    <w:p w:rsidR="00BC3CE6" w:rsidRDefault="009A2DE5">
      <w:pPr>
        <w:spacing w:after="150"/>
        <w:jc w:val="both"/>
      </w:pPr>
      <w:r>
        <w:rPr>
          <w:i/>
          <w:color w:val="000000"/>
        </w:rPr>
        <w:lastRenderedPageBreak/>
        <w:t xml:space="preserve">445 Баћевић, Ј. и др. Анализа родне димензије у високошколском образовном материјалу, Центар за студије рода и политике Факултет политичких наука, </w:t>
      </w:r>
      <w:r>
        <w:rPr>
          <w:i/>
          <w:color w:val="000000"/>
        </w:rPr>
        <w:t>Универзитет у Београду, 2010, стр. 18–19.</w:t>
      </w:r>
    </w:p>
    <w:p w:rsidR="00BC3CE6" w:rsidRDefault="009A2DE5">
      <w:pPr>
        <w:spacing w:after="150"/>
        <w:jc w:val="both"/>
      </w:pPr>
      <w:r>
        <w:rPr>
          <w:i/>
          <w:color w:val="000000"/>
        </w:rPr>
        <w:t>446 Делибашић, Б. и др. Универзитети између меритократије и патријархата: жене и моћ делања, Институт за филозофију и друштвену теорију, 2018. стр. 118 и 120.</w:t>
      </w:r>
    </w:p>
    <w:p w:rsidR="00BC3CE6" w:rsidRDefault="009A2DE5">
      <w:pPr>
        <w:spacing w:after="150"/>
        <w:jc w:val="both"/>
      </w:pPr>
      <w:r>
        <w:rPr>
          <w:i/>
          <w:color w:val="000000"/>
        </w:rPr>
        <w:t>447 Исто, страна 118.</w:t>
      </w:r>
    </w:p>
    <w:p w:rsidR="00BC3CE6" w:rsidRDefault="009A2DE5">
      <w:pPr>
        <w:spacing w:after="150"/>
        <w:jc w:val="both"/>
      </w:pPr>
      <w:r>
        <w:rPr>
          <w:i/>
          <w:color w:val="000000"/>
        </w:rPr>
        <w:t>448 Исто, страна 119.</w:t>
      </w:r>
    </w:p>
    <w:p w:rsidR="00BC3CE6" w:rsidRDefault="009A2DE5">
      <w:pPr>
        <w:spacing w:after="150"/>
        <w:jc w:val="both"/>
      </w:pPr>
      <w:r>
        <w:rPr>
          <w:i/>
          <w:color w:val="000000"/>
        </w:rPr>
        <w:t>449 Варади,</w:t>
      </w:r>
      <w:r>
        <w:rPr>
          <w:i/>
          <w:color w:val="000000"/>
        </w:rPr>
        <w:t xml:space="preserve"> Т., Пајванчић, М., (ур), Родна равноправност – од једнаких права до једнаких могућности, Зборник радова са научног скупа одржаног 27. септембра 2019, Српска академија наука и уметности, Београд, 2020, страна 230.</w:t>
      </w:r>
    </w:p>
    <w:p w:rsidR="00BC3CE6" w:rsidRDefault="009A2DE5">
      <w:pPr>
        <w:spacing w:after="150"/>
        <w:jc w:val="both"/>
      </w:pPr>
      <w:r>
        <w:rPr>
          <w:i/>
          <w:color w:val="000000"/>
        </w:rPr>
        <w:t>450 Поповић, Д. Духачек, Д. Од циришког кр</w:t>
      </w:r>
      <w:r>
        <w:rPr>
          <w:i/>
          <w:color w:val="000000"/>
        </w:rPr>
        <w:t>уга до студија рода: родна равноправност и високо образовање у Србији, Годишњак Факултета политичких наука, 2009, вол. 3. бр. 3. стр. 681–693; Ćeriman, J., Milutinović-Bojanić, S., i Pudar, G. Serbia at the Crossroads. Gender Inclusiveness in Higher Educat</w:t>
      </w:r>
      <w:r>
        <w:rPr>
          <w:i/>
          <w:color w:val="000000"/>
        </w:rPr>
        <w:t>ion: Real or just Wishful Thinking? U: From gender studies to gender in studies: case studies on gender-inclusive curriculum in higher education Bucharest: UNESCO-CEPES, 2011, стр. 185–210; Петрушић, Н. Константиновић Вилић, С. Интегрисање студија рода у у</w:t>
      </w:r>
      <w:r>
        <w:rPr>
          <w:i/>
          <w:color w:val="000000"/>
        </w:rPr>
        <w:t>ниверзитетски систем образовања, Зборник радова Заштита људских и мањинских права у европском правном простору, Ниш, Правни факултет, 2012, стр. 17–40; Антонијевић, З. Производња знања и јавне политике у Србији: за и против уродњавања, Социологија, вол. LX</w:t>
      </w:r>
      <w:r>
        <w:rPr>
          <w:i/>
          <w:color w:val="000000"/>
        </w:rPr>
        <w:t>, 2018, бр. 1, стр. 299–301; Антонијевић, З. Производња знања и јавне политике у Србији: за и против уродњавања, Социологија, вол. LX (2018), N° 1, стр. 299–301; Духачек, Д. Изазови у праксама институционализације и извођења женских студија, у: Вујадиновић</w:t>
      </w:r>
      <w:r>
        <w:rPr>
          <w:i/>
          <w:color w:val="000000"/>
        </w:rPr>
        <w:t>, Д., Антонијевић З. (ур), Родна равноправност у високом образовању – концепти, праксе и изазови, Академска књига Нови Сад, 2019, стр. 223–235; Јарић, И. Јавни и скривени курикулуми родних студија у Србији (1978–2018), у: Вујадиновић, Д., Антонијевић З. (у</w:t>
      </w:r>
      <w:r>
        <w:rPr>
          <w:i/>
          <w:color w:val="000000"/>
        </w:rPr>
        <w:t>р), оп. цит. стр. 235–250. Шобот, А. Родна сегрегација у високом образовању на примеру Србије, у: Вујадиновић, Д., Антонијевић З. (ур), оп. цит. стр. 221–234.</w:t>
      </w:r>
    </w:p>
    <w:p w:rsidR="00BC3CE6" w:rsidRDefault="009A2DE5">
      <w:pPr>
        <w:spacing w:after="150"/>
        <w:jc w:val="both"/>
      </w:pPr>
      <w:r>
        <w:rPr>
          <w:i/>
          <w:color w:val="000000"/>
        </w:rPr>
        <w:t>451 Демократија и људска права. Извештај о напретку II, Други извештај о напретку по областима за</w:t>
      </w:r>
      <w:r>
        <w:rPr>
          <w:i/>
          <w:color w:val="000000"/>
        </w:rPr>
        <w:t xml:space="preserve"> период октобар 2016 – 1. јун 2020, сачињен на основу оквира за мониторинг и евалуацију, ЖПРС и Фондација Friedrich Ebert – канцеларија у Србији, 2020, стр. 80–81.</w:t>
      </w:r>
    </w:p>
    <w:p w:rsidR="00BC3CE6" w:rsidRDefault="009A2DE5">
      <w:pPr>
        <w:spacing w:after="150"/>
        <w:jc w:val="both"/>
      </w:pPr>
      <w:r>
        <w:rPr>
          <w:i/>
          <w:color w:val="000000"/>
        </w:rPr>
        <w:t>452 Више: Антонијевић, З., Производња знања и јавне политике у Србији: За и против уродњавањ</w:t>
      </w:r>
      <w:r>
        <w:rPr>
          <w:i/>
          <w:color w:val="000000"/>
        </w:rPr>
        <w:t>а, Социологија 60(1), 2018, стр. 299–312.</w:t>
      </w:r>
    </w:p>
    <w:p w:rsidR="00BC3CE6" w:rsidRDefault="009A2DE5">
      <w:pPr>
        <w:spacing w:after="150"/>
        <w:jc w:val="both"/>
      </w:pPr>
      <w:r>
        <w:rPr>
          <w:i/>
          <w:color w:val="000000"/>
        </w:rPr>
        <w:t>453 Варади, Т., Пајванчић, М (ур.), оп. цит, страна 231.</w:t>
      </w:r>
    </w:p>
    <w:p w:rsidR="00BC3CE6" w:rsidRDefault="009A2DE5">
      <w:pPr>
        <w:spacing w:after="150"/>
        <w:jc w:val="both"/>
      </w:pPr>
      <w:r>
        <w:rPr>
          <w:i/>
          <w:color w:val="000000"/>
        </w:rPr>
        <w:lastRenderedPageBreak/>
        <w:t>454 Опширније: Вујадиновић, Д., Петрушић, Н., Од родно слепог ка родно инклузивном високом образовању у Србији: акциони планови за уродњавање, Социологија 60</w:t>
      </w:r>
      <w:r>
        <w:rPr>
          <w:i/>
          <w:color w:val="000000"/>
        </w:rPr>
        <w:t xml:space="preserve"> (1), 2018, стр. 313–329 и Вујадиновић, Д., Петрушић, Н., Увођење родне перспективе у правничко образовање у Србији: пилот анализа студијских програма и уџбеника, у: Перспективе имплементације европских стандарда у правни систем Србије, Књига 7, Правни фак</w:t>
      </w:r>
      <w:r>
        <w:rPr>
          <w:i/>
          <w:color w:val="000000"/>
        </w:rPr>
        <w:t>ултет Универзитета у Београду, 2017, стр. 84–103</w:t>
      </w:r>
    </w:p>
    <w:p w:rsidR="00BC3CE6" w:rsidRDefault="009A2DE5">
      <w:pPr>
        <w:spacing w:after="150"/>
        <w:jc w:val="both"/>
      </w:pPr>
      <w:r>
        <w:rPr>
          <w:i/>
          <w:color w:val="000000"/>
        </w:rPr>
        <w:t>455 Вујадиновић Д., Антонијевић, З., Родна равноправност у високом образовању: Феминистички изазов за 21. век, у: Вујадиновић, Д., Антонијевић, З., оп. цит, стр. XV</w:t>
      </w:r>
    </w:p>
    <w:p w:rsidR="00BC3CE6" w:rsidRDefault="009A2DE5">
      <w:pPr>
        <w:spacing w:after="150"/>
        <w:jc w:val="both"/>
      </w:pPr>
      <w:r>
        <w:rPr>
          <w:i/>
          <w:color w:val="000000"/>
        </w:rPr>
        <w:t>456 Представљени резултати истраживања сту</w:t>
      </w:r>
      <w:r>
        <w:rPr>
          <w:i/>
          <w:color w:val="000000"/>
        </w:rPr>
        <w:t>денткиња и студената Факултета политичких наука, Факултет политичких наука, 29.5.2019, доступно на: https://www.fpn.bg.ac.rs/26141, приступ 13.6.2021.</w:t>
      </w:r>
    </w:p>
    <w:p w:rsidR="00BC3CE6" w:rsidRDefault="009A2DE5">
      <w:pPr>
        <w:spacing w:after="150"/>
        <w:jc w:val="both"/>
      </w:pPr>
      <w:r>
        <w:rPr>
          <w:i/>
          <w:color w:val="000000"/>
        </w:rPr>
        <w:t>457 На пример, Правилник о понашању запослених у вези са превенцијом и заштитом од сексуалног узнемиравањ</w:t>
      </w:r>
      <w:r>
        <w:rPr>
          <w:i/>
          <w:color w:val="000000"/>
        </w:rPr>
        <w:t>а и уцењивања студената и студенткиња Универзитета у Београду-Факултета политичких наука, 2014, доступно на: http://www.fpn.bg.ac.rs/wp-content/uploads/2016/07/pravilnik-o-ponasanju-zaposlenih-u-vezi-sa-prevencijom-i-zastitom-od-seksualnog-uznemiravanja-i-</w:t>
      </w:r>
      <w:r>
        <w:rPr>
          <w:i/>
          <w:color w:val="000000"/>
        </w:rPr>
        <w:t>ucenjivanja.pdf приступ 13.6.2021. и Правилник о заштити од сексуалног узнемиравања и уцењивања, Правни факултет Универзитета УНИОН, доступно на: http://pravnifakultet.rs/wp-content/uploads/2019/03/Pravilnik-o-zastiti-od-seksualnog-uznemiravanja-i-ucenjiva</w:t>
      </w:r>
      <w:r>
        <w:rPr>
          <w:i/>
          <w:color w:val="000000"/>
        </w:rPr>
        <w:t>nja-22.3.2019..pdf приступ 13.6.2021.</w:t>
      </w:r>
    </w:p>
    <w:p w:rsidR="00BC3CE6" w:rsidRDefault="009A2DE5">
      <w:pPr>
        <w:spacing w:after="150"/>
        <w:jc w:val="both"/>
      </w:pPr>
      <w:r>
        <w:rPr>
          <w:i/>
          <w:color w:val="000000"/>
        </w:rPr>
        <w:t>458 Gender Equality in Academia and research, GEAR Tool, EIGE, 2016, Luxembourg: Publications Office of the European Union, доступно на: http://eige.europa.eu, приступ 12.9.2021.</w:t>
      </w:r>
    </w:p>
    <w:p w:rsidR="00BC3CE6" w:rsidRDefault="009A2DE5">
      <w:pPr>
        <w:spacing w:after="150"/>
        <w:jc w:val="both"/>
      </w:pPr>
      <w:r>
        <w:rPr>
          <w:i/>
          <w:color w:val="000000"/>
        </w:rPr>
        <w:t>459</w:t>
      </w:r>
      <w:r>
        <w:rPr>
          <w:i/>
          <w:color w:val="000000"/>
        </w:rPr>
        <w:tab/>
        <w:t>Доступно на: https://www.bg.ac.rs/f</w:t>
      </w:r>
      <w:r>
        <w:rPr>
          <w:i/>
          <w:color w:val="000000"/>
        </w:rPr>
        <w:t>iles/sr/univerzitet/ravnopravnost/Plan_UB_za_postizanje rodne ravnopravnosti_2019.pdf. приступ 7.6.2021.</w:t>
      </w:r>
    </w:p>
    <w:p w:rsidR="00BC3CE6" w:rsidRDefault="009A2DE5">
      <w:pPr>
        <w:spacing w:after="150"/>
        <w:jc w:val="both"/>
      </w:pPr>
      <w:r>
        <w:rPr>
          <w:i/>
          <w:color w:val="000000"/>
        </w:rPr>
        <w:t>460 Доступно на: http://centar.ius.bg.ac.rs/attachment.php?id_attachment=392, приступ 7.6.2021.</w:t>
      </w:r>
    </w:p>
    <w:p w:rsidR="00BC3CE6" w:rsidRDefault="009A2DE5">
      <w:pPr>
        <w:spacing w:after="150"/>
        <w:jc w:val="both"/>
      </w:pPr>
      <w:r>
        <w:rPr>
          <w:i/>
          <w:color w:val="000000"/>
        </w:rPr>
        <w:t>461 L. Husu, Gender Equality in Nordic Academia: Advanc</w:t>
      </w:r>
      <w:r>
        <w:rPr>
          <w:i/>
          <w:color w:val="000000"/>
        </w:rPr>
        <w:t>es and Challenges, у: Вујадиновић, Д., Антонијевић, З. (ур.), оп. цит, страна 66; Петрушић, Н. Вујадиновић, Д. Од родно слепог ка родно инклузивном високом образовању у Србији: Акциони планови за уродњавање, Благојевић, М. (ур) Социологија, 1/2018, 313–329</w:t>
      </w:r>
      <w:r>
        <w:rPr>
          <w:i/>
          <w:color w:val="000000"/>
        </w:rPr>
        <w:t>.</w:t>
      </w:r>
    </w:p>
    <w:p w:rsidR="00BC3CE6" w:rsidRDefault="009A2DE5">
      <w:pPr>
        <w:spacing w:after="150"/>
        <w:jc w:val="both"/>
      </w:pPr>
      <w:r>
        <w:rPr>
          <w:i/>
          <w:color w:val="000000"/>
        </w:rPr>
        <w:t>462 Иницијатива за измену стандарда у поступку за акредитацију високошколских установа, бр. 6-00-1/2018-02 од 9.1.2019. Доступно на: http://ravnopravnost.gov.rs/rs/inicijativa-za-izmenu-standarda-u-postupku-za-akreditaciju-visokoskolskih-ustanova/, прист</w:t>
      </w:r>
      <w:r>
        <w:rPr>
          <w:i/>
          <w:color w:val="000000"/>
        </w:rPr>
        <w:t>уп 13.6.2021. приступ 7.6.2021.</w:t>
      </w:r>
    </w:p>
    <w:p w:rsidR="00BC3CE6" w:rsidRDefault="009A2DE5">
      <w:pPr>
        <w:spacing w:after="150"/>
        <w:jc w:val="both"/>
      </w:pPr>
      <w:r>
        <w:rPr>
          <w:i/>
          <w:color w:val="000000"/>
        </w:rPr>
        <w:lastRenderedPageBreak/>
        <w:t>463 Проговори о преговорима, Поглавље 25 – Наука и истраживање, Београдска отворена школа, доступно на: https://eupregovori.bos.rs/progovori-o-pregovorima/poglavlje-25/1563/2016/02/11/poglavlje-25---nauka-i-istrazivanje-.htm</w:t>
      </w:r>
      <w:r>
        <w:rPr>
          <w:i/>
          <w:color w:val="000000"/>
        </w:rPr>
        <w:t>l приступ 7. 6. 2021.</w:t>
      </w:r>
    </w:p>
    <w:p w:rsidR="00BC3CE6" w:rsidRDefault="009A2DE5">
      <w:pPr>
        <w:spacing w:after="150"/>
        <w:jc w:val="both"/>
      </w:pPr>
      <w:r>
        <w:rPr>
          <w:i/>
          <w:color w:val="000000"/>
        </w:rPr>
        <w:t>464 Исто.</w:t>
      </w:r>
    </w:p>
    <w:p w:rsidR="00BC3CE6" w:rsidRDefault="009A2DE5">
      <w:pPr>
        <w:spacing w:after="150"/>
        <w:jc w:val="both"/>
      </w:pPr>
      <w:r>
        <w:rPr>
          <w:i/>
          <w:color w:val="000000"/>
        </w:rPr>
        <w:t>465 Исто.</w:t>
      </w:r>
    </w:p>
    <w:p w:rsidR="00BC3CE6" w:rsidRDefault="009A2DE5">
      <w:pPr>
        <w:spacing w:after="150"/>
        <w:jc w:val="both"/>
      </w:pPr>
      <w:r>
        <w:rPr>
          <w:i/>
          <w:color w:val="000000"/>
        </w:rPr>
        <w:t xml:space="preserve">466 Заједничка позиција Европске уније, Поглавље 25: Наука и истраживање, 2016, доступно на: https://www.mei.gov.rs/upload/documents/pristupni_pregovori/pregovaracke_pozicije/pg_25_eu_pozicija.pdf приступ </w:t>
      </w:r>
      <w:r>
        <w:rPr>
          <w:i/>
          <w:color w:val="000000"/>
        </w:rPr>
        <w:t>12.6.2021.</w:t>
      </w:r>
    </w:p>
    <w:p w:rsidR="00BC3CE6" w:rsidRDefault="009A2DE5">
      <w:pPr>
        <w:spacing w:after="150"/>
        <w:jc w:val="both"/>
      </w:pPr>
      <w:r>
        <w:rPr>
          <w:i/>
          <w:color w:val="000000"/>
        </w:rPr>
        <w:t>467 Исто.</w:t>
      </w:r>
    </w:p>
    <w:p w:rsidR="00BC3CE6" w:rsidRDefault="009A2DE5">
      <w:pPr>
        <w:spacing w:after="150"/>
        <w:jc w:val="both"/>
      </w:pPr>
      <w:r>
        <w:rPr>
          <w:i/>
          <w:color w:val="000000"/>
        </w:rPr>
        <w:t>468 Исто.</w:t>
      </w:r>
    </w:p>
    <w:p w:rsidR="00BC3CE6" w:rsidRDefault="009A2DE5">
      <w:pPr>
        <w:spacing w:after="150"/>
        <w:jc w:val="both"/>
      </w:pPr>
      <w:r>
        <w:rPr>
          <w:i/>
          <w:color w:val="000000"/>
        </w:rPr>
        <w:t>469 Влада РС, Преговарачка позиције РС за Међувладину конференцију о приступању РС Европској унији за Поглавље 25 „Наука и истраживање”, октобар 2016. године, доступно на: https://eupregovori.bos.rs/progovori-o-pregovorima/up</w:t>
      </w:r>
      <w:r>
        <w:rPr>
          <w:i/>
          <w:color w:val="000000"/>
        </w:rPr>
        <w:t>loaded/pg_poglavlje_pg_25.pdf, приступ 12.6.2021.</w:t>
      </w:r>
    </w:p>
    <w:p w:rsidR="00BC3CE6" w:rsidRDefault="009A2DE5">
      <w:pPr>
        <w:spacing w:after="150"/>
        <w:jc w:val="both"/>
      </w:pPr>
      <w:r>
        <w:rPr>
          <w:i/>
          <w:color w:val="000000"/>
        </w:rPr>
        <w:t>470 „Службени гласник РС”, број 25/16.</w:t>
      </w:r>
    </w:p>
    <w:p w:rsidR="00BC3CE6" w:rsidRDefault="009A2DE5">
      <w:pPr>
        <w:spacing w:after="150"/>
        <w:jc w:val="both"/>
      </w:pPr>
      <w:r>
        <w:rPr>
          <w:i/>
          <w:color w:val="000000"/>
        </w:rPr>
        <w:t>471 „Службени гласник РС”, број 10/21.</w:t>
      </w:r>
    </w:p>
    <w:p w:rsidR="00BC3CE6" w:rsidRDefault="009A2DE5">
      <w:pPr>
        <w:spacing w:after="150"/>
        <w:jc w:val="both"/>
      </w:pPr>
      <w:r>
        <w:rPr>
          <w:i/>
          <w:color w:val="000000"/>
        </w:rPr>
        <w:t>472 Стратегија научног и технолошког развоја РС – моћ знања (2021–2025), „Службени гласник РС”, број 10/21.</w:t>
      </w:r>
    </w:p>
    <w:p w:rsidR="00BC3CE6" w:rsidRDefault="009A2DE5">
      <w:pPr>
        <w:spacing w:after="150"/>
        <w:jc w:val="both"/>
      </w:pPr>
      <w:r>
        <w:rPr>
          <w:i/>
          <w:color w:val="000000"/>
        </w:rPr>
        <w:t xml:space="preserve">473 „Службени </w:t>
      </w:r>
      <w:r>
        <w:rPr>
          <w:i/>
          <w:color w:val="000000"/>
        </w:rPr>
        <w:t>гласник РС”, број 49/19.</w:t>
      </w:r>
    </w:p>
    <w:p w:rsidR="00BC3CE6" w:rsidRDefault="009A2DE5">
      <w:pPr>
        <w:spacing w:after="150"/>
        <w:jc w:val="both"/>
      </w:pPr>
      <w:r>
        <w:rPr>
          <w:i/>
          <w:color w:val="000000"/>
        </w:rPr>
        <w:t>474 Члан 1. став 2. Закона о науци и истраживањима.</w:t>
      </w:r>
    </w:p>
    <w:p w:rsidR="00BC3CE6" w:rsidRDefault="009A2DE5">
      <w:pPr>
        <w:spacing w:after="150"/>
        <w:jc w:val="both"/>
      </w:pPr>
      <w:r>
        <w:rPr>
          <w:i/>
          <w:color w:val="000000"/>
        </w:rPr>
        <w:t>475 Члан 4. став 1. тачка 8. Закона о науци и истраживањима.</w:t>
      </w:r>
    </w:p>
    <w:p w:rsidR="00BC3CE6" w:rsidRDefault="009A2DE5">
      <w:pPr>
        <w:spacing w:after="150"/>
        <w:jc w:val="both"/>
      </w:pPr>
      <w:r>
        <w:rPr>
          <w:i/>
          <w:color w:val="000000"/>
        </w:rPr>
        <w:t>476 Члан 68. став 10. Закона о науци и истраживањима.</w:t>
      </w:r>
    </w:p>
    <w:p w:rsidR="00BC3CE6" w:rsidRDefault="009A2DE5">
      <w:pPr>
        <w:spacing w:after="150"/>
        <w:jc w:val="both"/>
      </w:pPr>
      <w:r>
        <w:rPr>
          <w:i/>
          <w:color w:val="000000"/>
        </w:rPr>
        <w:t>477 Члан 101. Закона о науци и истраживањима.</w:t>
      </w:r>
    </w:p>
    <w:p w:rsidR="00BC3CE6" w:rsidRDefault="009A2DE5">
      <w:pPr>
        <w:spacing w:after="150"/>
        <w:jc w:val="both"/>
      </w:pPr>
      <w:r>
        <w:rPr>
          <w:i/>
          <w:color w:val="000000"/>
        </w:rPr>
        <w:t>478 Пајванчић, М.,</w:t>
      </w:r>
      <w:r>
        <w:rPr>
          <w:i/>
          <w:color w:val="000000"/>
        </w:rPr>
        <w:t xml:space="preserve"> Родна равноправност у науци – једнаке могућности и посебне мере, у: Стефановић, Л. и др. (ур), Научнице у друштву – Радови са конференције одржане од 11. до 13. фебруара 2020. године и САНУ, Етнографски институт САНУ, 2020, стр. 29–40.</w:t>
      </w:r>
    </w:p>
    <w:p w:rsidR="00BC3CE6" w:rsidRDefault="009A2DE5">
      <w:pPr>
        <w:spacing w:after="150"/>
        <w:jc w:val="both"/>
      </w:pPr>
      <w:r>
        <w:rPr>
          <w:i/>
          <w:color w:val="000000"/>
        </w:rPr>
        <w:t>479 Исто.</w:t>
      </w:r>
    </w:p>
    <w:p w:rsidR="00BC3CE6" w:rsidRDefault="009A2DE5">
      <w:pPr>
        <w:spacing w:after="150"/>
        <w:jc w:val="both"/>
      </w:pPr>
      <w:r>
        <w:rPr>
          <w:i/>
          <w:color w:val="000000"/>
        </w:rPr>
        <w:t>480 Исто.</w:t>
      </w:r>
    </w:p>
    <w:p w:rsidR="00BC3CE6" w:rsidRDefault="009A2DE5">
      <w:pPr>
        <w:spacing w:after="150"/>
        <w:jc w:val="both"/>
      </w:pPr>
      <w:r>
        <w:rPr>
          <w:i/>
          <w:color w:val="000000"/>
        </w:rPr>
        <w:t>481 Жене и мушкарци у Републици Србији, оп. цит. страна 61.</w:t>
      </w:r>
    </w:p>
    <w:p w:rsidR="00BC3CE6" w:rsidRDefault="009A2DE5">
      <w:pPr>
        <w:spacing w:after="150"/>
        <w:jc w:val="both"/>
      </w:pPr>
      <w:r>
        <w:rPr>
          <w:i/>
          <w:color w:val="000000"/>
        </w:rPr>
        <w:t>482 Републички завод за статистику, 2020, доступно на: https://publikacije.stat.gov.rs/G2020/Pdf/G20201165.pdf приступ 10.6.2021.</w:t>
      </w:r>
    </w:p>
    <w:p w:rsidR="00BC3CE6" w:rsidRDefault="009A2DE5">
      <w:pPr>
        <w:spacing w:after="150"/>
        <w:jc w:val="both"/>
      </w:pPr>
      <w:r>
        <w:rPr>
          <w:i/>
          <w:color w:val="000000"/>
        </w:rPr>
        <w:lastRenderedPageBreak/>
        <w:t>483 Исто.</w:t>
      </w:r>
    </w:p>
    <w:p w:rsidR="00BC3CE6" w:rsidRDefault="009A2DE5">
      <w:pPr>
        <w:spacing w:after="150"/>
        <w:jc w:val="both"/>
      </w:pPr>
      <w:r>
        <w:rPr>
          <w:i/>
          <w:color w:val="000000"/>
        </w:rPr>
        <w:t>484 Новоуписани студенти на академске/струковне студије</w:t>
      </w:r>
      <w:r>
        <w:rPr>
          <w:i/>
          <w:color w:val="000000"/>
        </w:rPr>
        <w:t xml:space="preserve"> у 2020/21. години, Републички завод за статистику, Београд, 2020, доступно на: https://publikacije.stat.gov.rs/G2020/Pdf/G20201349.pdf, приступ 11.6.2021.</w:t>
      </w:r>
    </w:p>
    <w:p w:rsidR="00BC3CE6" w:rsidRDefault="009A2DE5">
      <w:pPr>
        <w:spacing w:after="150"/>
        <w:jc w:val="both"/>
      </w:pPr>
      <w:r>
        <w:rPr>
          <w:i/>
          <w:color w:val="000000"/>
        </w:rPr>
        <w:t>485 Жене и мушкарци у Републици Србији, оп. цит, страна 62.</w:t>
      </w:r>
    </w:p>
    <w:p w:rsidR="00BC3CE6" w:rsidRDefault="009A2DE5">
      <w:pPr>
        <w:spacing w:after="150"/>
        <w:jc w:val="both"/>
      </w:pPr>
      <w:r>
        <w:rPr>
          <w:i/>
          <w:color w:val="000000"/>
        </w:rPr>
        <w:t>486 Исто.</w:t>
      </w:r>
    </w:p>
    <w:p w:rsidR="00BC3CE6" w:rsidRDefault="009A2DE5">
      <w:pPr>
        <w:spacing w:after="150"/>
        <w:jc w:val="both"/>
      </w:pPr>
      <w:r>
        <w:rPr>
          <w:i/>
          <w:color w:val="000000"/>
        </w:rPr>
        <w:t xml:space="preserve">487 Делибашић, Б., Пудар, Г., </w:t>
      </w:r>
      <w:r>
        <w:rPr>
          <w:i/>
          <w:color w:val="000000"/>
        </w:rPr>
        <w:t>Фикет, И. (ур), оп. цит, страна 119.</w:t>
      </w:r>
    </w:p>
    <w:p w:rsidR="00BC3CE6" w:rsidRDefault="009A2DE5">
      <w:pPr>
        <w:spacing w:after="150"/>
        <w:jc w:val="both"/>
      </w:pPr>
      <w:r>
        <w:rPr>
          <w:i/>
          <w:color w:val="000000"/>
        </w:rPr>
        <w:t>488 Исто, стр. 61. и 65.</w:t>
      </w:r>
    </w:p>
    <w:p w:rsidR="00BC3CE6" w:rsidRDefault="009A2DE5">
      <w:pPr>
        <w:spacing w:after="150"/>
        <w:jc w:val="both"/>
      </w:pPr>
      <w:r>
        <w:rPr>
          <w:i/>
          <w:color w:val="000000"/>
        </w:rPr>
        <w:t>489 Жене и мушкарци у РС, оп. цит, страна 64.</w:t>
      </w:r>
    </w:p>
    <w:p w:rsidR="00BC3CE6" w:rsidRDefault="009A2DE5">
      <w:pPr>
        <w:spacing w:after="150"/>
        <w:jc w:val="both"/>
      </w:pPr>
      <w:r>
        <w:rPr>
          <w:i/>
          <w:color w:val="000000"/>
        </w:rPr>
        <w:t>490 Исто.</w:t>
      </w:r>
    </w:p>
    <w:p w:rsidR="00BC3CE6" w:rsidRDefault="009A2DE5">
      <w:pPr>
        <w:spacing w:after="150"/>
        <w:jc w:val="both"/>
      </w:pPr>
      <w:r>
        <w:rPr>
          <w:i/>
          <w:color w:val="000000"/>
        </w:rPr>
        <w:t>491 Демократија и људска права. Извештај о напретку II, Други извештај о напретку по областима за период октобар 2016 – 1. јун 2020., сачи</w:t>
      </w:r>
      <w:r>
        <w:rPr>
          <w:i/>
          <w:color w:val="000000"/>
        </w:rPr>
        <w:t>њен на основу оквира за мониторинг и евалуацију, ЖПРС, ФЕС, 2020, страна 81.</w:t>
      </w:r>
    </w:p>
    <w:p w:rsidR="00BC3CE6" w:rsidRDefault="009A2DE5">
      <w:pPr>
        <w:spacing w:after="150"/>
        <w:jc w:val="both"/>
      </w:pPr>
      <w:r>
        <w:rPr>
          <w:i/>
          <w:color w:val="000000"/>
        </w:rPr>
        <w:t>492 Жене и мушкарци у РС, оп. цит, страна 65.</w:t>
      </w:r>
    </w:p>
    <w:p w:rsidR="00BC3CE6" w:rsidRDefault="009A2DE5">
      <w:pPr>
        <w:spacing w:after="150"/>
        <w:jc w:val="both"/>
      </w:pPr>
      <w:r>
        <w:rPr>
          <w:i/>
          <w:color w:val="000000"/>
        </w:rPr>
        <w:t>493 Варади Т., Пајванчић, М. (ур), оп. цит, страна 208.</w:t>
      </w:r>
    </w:p>
    <w:p w:rsidR="00BC3CE6" w:rsidRDefault="009A2DE5">
      <w:pPr>
        <w:spacing w:after="150"/>
        <w:jc w:val="both"/>
      </w:pPr>
      <w:r>
        <w:rPr>
          <w:i/>
          <w:color w:val="000000"/>
        </w:rPr>
        <w:t>494 Демократија и људска права. Извештај о напретку II, оп. цит, страна 81.</w:t>
      </w:r>
    </w:p>
    <w:p w:rsidR="00BC3CE6" w:rsidRDefault="009A2DE5">
      <w:pPr>
        <w:spacing w:after="150"/>
        <w:jc w:val="both"/>
      </w:pPr>
      <w:r>
        <w:rPr>
          <w:i/>
          <w:color w:val="000000"/>
        </w:rPr>
        <w:t>4</w:t>
      </w:r>
      <w:r>
        <w:rPr>
          <w:i/>
          <w:color w:val="000000"/>
        </w:rPr>
        <w:t>95 Демократија и људска права. Извештај о напретку II, оп. цит, страна 83. Када су у питању конкурси за истраживачке пројекте, један од услова за њихово добијање јесте заступљеност родне перспективе у садржају пројекта и родни баланс у предложеним пројектн</w:t>
      </w:r>
      <w:r>
        <w:rPr>
          <w:i/>
          <w:color w:val="000000"/>
        </w:rPr>
        <w:t>им тимовима. (Видети GEAR Tool 7). Добијање пројеката Европске комисије, као што су они из програма „Хоризонт 2020”, у значајној мери је већ условљено тиме да ли је у пројектне предлоге укључена родна перспектива, а најављени предуслов конкурисања за „Хори</w:t>
      </w:r>
      <w:r>
        <w:rPr>
          <w:i/>
          <w:color w:val="000000"/>
        </w:rPr>
        <w:t xml:space="preserve">зонт” пројекте јесте и да институције које конкуришу морају имати формално усвојене родне акционе планове, који су у процесу имплементације. О томе видети шире: Петрушић, Н. Вујадиновић, Д. Од родно слепог ка родно инклузивном високом образовању у Србији: </w:t>
      </w:r>
      <w:r>
        <w:rPr>
          <w:i/>
          <w:color w:val="000000"/>
        </w:rPr>
        <w:t>акциони планови за уродњавање, Социологија, Вол. LX (2018), Н° 1. стр. 313–329.</w:t>
      </w:r>
    </w:p>
    <w:p w:rsidR="00BC3CE6" w:rsidRDefault="009A2DE5">
      <w:pPr>
        <w:spacing w:after="150"/>
        <w:jc w:val="both"/>
      </w:pPr>
      <w:r>
        <w:rPr>
          <w:i/>
          <w:color w:val="000000"/>
        </w:rPr>
        <w:t>496 Демократија и људска права. Извештај о напретку II, оп. цит, страна 83.</w:t>
      </w:r>
    </w:p>
    <w:p w:rsidR="00BC3CE6" w:rsidRDefault="009A2DE5">
      <w:pPr>
        <w:spacing w:after="150"/>
        <w:jc w:val="both"/>
      </w:pPr>
      <w:r>
        <w:rPr>
          <w:i/>
          <w:color w:val="000000"/>
        </w:rPr>
        <w:t>497 Ћериман, Ј., и др. Разумевање концепта родне равноправности у нормативном оквиру високог образов</w:t>
      </w:r>
      <w:r>
        <w:rPr>
          <w:i/>
          <w:color w:val="000000"/>
        </w:rPr>
        <w:t>ања у Србији, у: Вујадиновић, Д., Антонијевић, З. (ур), оп. цит, страна 117.</w:t>
      </w:r>
    </w:p>
    <w:p w:rsidR="00BC3CE6" w:rsidRDefault="009A2DE5">
      <w:pPr>
        <w:spacing w:after="120"/>
        <w:jc w:val="center"/>
      </w:pPr>
      <w:r>
        <w:rPr>
          <w:b/>
          <w:color w:val="000000"/>
        </w:rPr>
        <w:t>5.2. Родни аспекти људских права, владавине права, безбедности и насиља према женама, и политичког живота</w:t>
      </w:r>
    </w:p>
    <w:p w:rsidR="00BC3CE6" w:rsidRDefault="009A2DE5">
      <w:pPr>
        <w:spacing w:after="150"/>
      </w:pPr>
      <w:r>
        <w:rPr>
          <w:color w:val="000000"/>
        </w:rPr>
        <w:t>Ова област укључује родне аспекте људских права, владавину права, једнаке</w:t>
      </w:r>
      <w:r>
        <w:rPr>
          <w:color w:val="000000"/>
        </w:rPr>
        <w:t xml:space="preserve"> могућности за остваривање људских права и њихову ефикасну зашиту, људску безбедност посебно у кризним и ванредним ситуацијама, </w:t>
      </w:r>
      <w:r>
        <w:rPr>
          <w:color w:val="000000"/>
        </w:rPr>
        <w:lastRenderedPageBreak/>
        <w:t>родно засновано насиље према женама и насиље у породици као најдрастичнији вид кршења људских права као и учешће жена у политичк</w:t>
      </w:r>
      <w:r>
        <w:rPr>
          <w:color w:val="000000"/>
        </w:rPr>
        <w:t>ом животу и одлучивању о јавним пословима.</w:t>
      </w:r>
    </w:p>
    <w:p w:rsidR="00BC3CE6" w:rsidRDefault="009A2DE5">
      <w:pPr>
        <w:spacing w:after="120"/>
        <w:jc w:val="center"/>
      </w:pPr>
      <w:r>
        <w:rPr>
          <w:i/>
          <w:color w:val="000000"/>
        </w:rPr>
        <w:t>5.2.1. Владавина права, приступ правди и заштита права</w:t>
      </w:r>
    </w:p>
    <w:p w:rsidR="00BC3CE6" w:rsidRDefault="009A2DE5">
      <w:pPr>
        <w:spacing w:after="150"/>
      </w:pPr>
      <w:r>
        <w:rPr>
          <w:color w:val="000000"/>
        </w:rPr>
        <w:t xml:space="preserve">Владавина права, приступ правди, делотворни инструменти и ефикасна заштита права који обликују конзистентан и стабилан правни поредак, кључне су претпоставке </w:t>
      </w:r>
      <w:r>
        <w:rPr>
          <w:color w:val="000000"/>
        </w:rPr>
        <w:t>за развој друштва у целини па и за остваривање родне равноправности као чиниоца друштвеног развоја. Оцена стања у области владавине права и приступа правди полази од налаза евалуације Националне стратегије за родну равноправност за период од 2016. до 2020.</w:t>
      </w:r>
      <w:r>
        <w:rPr>
          <w:color w:val="000000"/>
        </w:rPr>
        <w:t xml:space="preserve"> године са АП за 2016–2018</w:t>
      </w:r>
      <w:r>
        <w:rPr>
          <w:color w:val="000000"/>
          <w:vertAlign w:val="superscript"/>
        </w:rPr>
        <w:t>498</w:t>
      </w:r>
      <w:r>
        <w:rPr>
          <w:color w:val="000000"/>
        </w:rPr>
        <w:t xml:space="preserve"> и евалуације Националне стратегије за родну равноправност 2016–2020 за период од 2018–2020.</w:t>
      </w:r>
      <w:r>
        <w:rPr>
          <w:color w:val="000000"/>
          <w:vertAlign w:val="superscript"/>
        </w:rPr>
        <w:t>499</w:t>
      </w:r>
      <w:r>
        <w:rPr>
          <w:color w:val="000000"/>
        </w:rPr>
        <w:t xml:space="preserve"> Агенде 2030 за Србију – мапирање националног стратешког оквира у односу на циљеве одрживог развоја</w:t>
      </w:r>
      <w:r>
        <w:rPr>
          <w:color w:val="000000"/>
          <w:vertAlign w:val="superscript"/>
        </w:rPr>
        <w:t>500</w:t>
      </w:r>
      <w:r>
        <w:rPr>
          <w:color w:val="000000"/>
        </w:rPr>
        <w:t xml:space="preserve">, (циљ 5. и циљ 16, потциљ </w:t>
      </w:r>
      <w:r>
        <w:rPr>
          <w:color w:val="000000"/>
        </w:rPr>
        <w:t>16.3 и препорука 9), Закључних запажања CEDAW комитета у вези са Четвртим периодичним извештајем Републике Србије</w:t>
      </w:r>
      <w:r>
        <w:rPr>
          <w:color w:val="000000"/>
          <w:vertAlign w:val="superscript"/>
        </w:rPr>
        <w:t>501</w:t>
      </w:r>
      <w:r>
        <w:rPr>
          <w:color w:val="000000"/>
        </w:rPr>
        <w:t>, Стратегије развоја правосуђа (2020–2025)</w:t>
      </w:r>
      <w:r>
        <w:rPr>
          <w:color w:val="000000"/>
          <w:vertAlign w:val="superscript"/>
        </w:rPr>
        <w:t>502</w:t>
      </w:r>
      <w:r>
        <w:rPr>
          <w:color w:val="000000"/>
        </w:rPr>
        <w:t xml:space="preserve"> и ревидираног Акционог плана за поглавље 23</w:t>
      </w:r>
      <w:r>
        <w:rPr>
          <w:color w:val="000000"/>
          <w:vertAlign w:val="superscript"/>
        </w:rPr>
        <w:t>503</w:t>
      </w:r>
      <w:r>
        <w:rPr>
          <w:color w:val="000000"/>
        </w:rPr>
        <w:t xml:space="preserve">, Стратегије за спречавање и борбу против родно </w:t>
      </w:r>
      <w:r>
        <w:rPr>
          <w:color w:val="000000"/>
        </w:rPr>
        <w:t>заснованог насиља према женама и насиља у породици за период од 2021. до 2025. године</w:t>
      </w:r>
      <w:r>
        <w:rPr>
          <w:color w:val="000000"/>
          <w:vertAlign w:val="superscript"/>
        </w:rPr>
        <w:t>504</w:t>
      </w:r>
      <w:r>
        <w:rPr>
          <w:color w:val="000000"/>
        </w:rPr>
        <w:t>, као и Закона о родној равноправности</w:t>
      </w:r>
      <w:r>
        <w:rPr>
          <w:color w:val="000000"/>
          <w:vertAlign w:val="superscript"/>
        </w:rPr>
        <w:t>505</w:t>
      </w:r>
      <w:r>
        <w:rPr>
          <w:color w:val="000000"/>
        </w:rPr>
        <w:t>, а ослања се на изворе јавно доступних података које поседују органи јавне власти и података из истраживања академске заједниц</w:t>
      </w:r>
      <w:r>
        <w:rPr>
          <w:color w:val="000000"/>
        </w:rPr>
        <w:t>е и ОЦД. Владавина права и приступ правди зависи од нормативног оквира, али и од предузимања практичних мера које доприносе ефективном приступу правди. Оба ова аспекта укључена су у оцену стања.</w:t>
      </w:r>
    </w:p>
    <w:p w:rsidR="00BC3CE6" w:rsidRDefault="009A2DE5">
      <w:pPr>
        <w:spacing w:after="150"/>
      </w:pPr>
      <w:r>
        <w:rPr>
          <w:color w:val="000000"/>
        </w:rPr>
        <w:t xml:space="preserve">Владавина права, која претпоставља независност суда и судија </w:t>
      </w:r>
      <w:r>
        <w:rPr>
          <w:color w:val="000000"/>
        </w:rPr>
        <w:t>и самосталност тужилаштва, услов је да грађани/ке у пуном капацитету и ефикасно остваре сва права везана за правично суђење (доношење одлуке у правичном поступку, искључиво на законским основама и без непримереног утицаја</w:t>
      </w:r>
      <w:r>
        <w:rPr>
          <w:color w:val="000000"/>
          <w:vertAlign w:val="superscript"/>
        </w:rPr>
        <w:t>506</w:t>
      </w:r>
      <w:r>
        <w:rPr>
          <w:color w:val="000000"/>
        </w:rPr>
        <w:t>). Устав гарантује једнакост пре</w:t>
      </w:r>
      <w:r>
        <w:rPr>
          <w:color w:val="000000"/>
        </w:rPr>
        <w:t>д законом</w:t>
      </w:r>
      <w:r>
        <w:rPr>
          <w:color w:val="000000"/>
          <w:vertAlign w:val="superscript"/>
        </w:rPr>
        <w:t>507</w:t>
      </w:r>
      <w:r>
        <w:rPr>
          <w:color w:val="000000"/>
        </w:rPr>
        <w:t>, право на једнаку законску заштиту</w:t>
      </w:r>
      <w:r>
        <w:rPr>
          <w:color w:val="000000"/>
          <w:vertAlign w:val="superscript"/>
        </w:rPr>
        <w:t>508</w:t>
      </w:r>
      <w:r>
        <w:rPr>
          <w:color w:val="000000"/>
        </w:rPr>
        <w:t>, право на судску заштиту</w:t>
      </w:r>
      <w:r>
        <w:rPr>
          <w:color w:val="000000"/>
          <w:vertAlign w:val="superscript"/>
        </w:rPr>
        <w:t>509</w:t>
      </w:r>
      <w:r>
        <w:rPr>
          <w:color w:val="000000"/>
        </w:rPr>
        <w:t>, право на уставносудску заштиту права</w:t>
      </w:r>
      <w:r>
        <w:rPr>
          <w:color w:val="000000"/>
          <w:vertAlign w:val="superscript"/>
        </w:rPr>
        <w:t>510</w:t>
      </w:r>
      <w:r>
        <w:rPr>
          <w:color w:val="000000"/>
        </w:rPr>
        <w:t>, право на обраћање међународним институцијама ради заштите слобода и права</w:t>
      </w:r>
      <w:r>
        <w:rPr>
          <w:color w:val="000000"/>
          <w:vertAlign w:val="superscript"/>
        </w:rPr>
        <w:t>511</w:t>
      </w:r>
      <w:r>
        <w:rPr>
          <w:color w:val="000000"/>
        </w:rPr>
        <w:t xml:space="preserve"> и гаранције које обезбеђују поштовање ових права. Систем и</w:t>
      </w:r>
      <w:r>
        <w:rPr>
          <w:color w:val="000000"/>
        </w:rPr>
        <w:t xml:space="preserve"> заштите права употпуњује и заштита коју пружају независне институције, Повереник за заштиту равноправности и Заштитник грађана. У више наврата, Венецијанска комисија износила је критичке примедбе на уставна решења о правосуђу.</w:t>
      </w:r>
      <w:r>
        <w:rPr>
          <w:color w:val="000000"/>
          <w:vertAlign w:val="superscript"/>
        </w:rPr>
        <w:t>512</w:t>
      </w:r>
      <w:r>
        <w:rPr>
          <w:color w:val="000000"/>
        </w:rPr>
        <w:t xml:space="preserve"> У процесу придруживања Ре</w:t>
      </w:r>
      <w:r>
        <w:rPr>
          <w:color w:val="000000"/>
        </w:rPr>
        <w:t>публике Србије ЕУ (Поглавље 23) промене уставних решења о правосуђу препознате су као битан услов успостављања нормативних претпоставки за владавину права. Рад на изменама Устава започео је 2017. године. Министарство правде припремило је радни текст Нацрта</w:t>
      </w:r>
      <w:r>
        <w:rPr>
          <w:color w:val="000000"/>
        </w:rPr>
        <w:t xml:space="preserve"> амандмана на Устав</w:t>
      </w:r>
      <w:r>
        <w:rPr>
          <w:color w:val="000000"/>
          <w:vertAlign w:val="superscript"/>
        </w:rPr>
        <w:t>513</w:t>
      </w:r>
      <w:r>
        <w:rPr>
          <w:color w:val="000000"/>
        </w:rPr>
        <w:t>, а о том амандману током 2018. године вођена је јавна расправа. Критичке замерке на предложена решења упутили су: Високи савет судства</w:t>
      </w:r>
      <w:r>
        <w:rPr>
          <w:color w:val="000000"/>
          <w:vertAlign w:val="superscript"/>
        </w:rPr>
        <w:t>514</w:t>
      </w:r>
      <w:r>
        <w:rPr>
          <w:color w:val="000000"/>
        </w:rPr>
        <w:t>, струковнa удружења организације судија</w:t>
      </w:r>
      <w:r>
        <w:rPr>
          <w:color w:val="000000"/>
          <w:vertAlign w:val="superscript"/>
        </w:rPr>
        <w:t>515</w:t>
      </w:r>
      <w:r>
        <w:rPr>
          <w:color w:val="000000"/>
        </w:rPr>
        <w:t xml:space="preserve"> и тужилаца</w:t>
      </w:r>
      <w:r>
        <w:rPr>
          <w:color w:val="000000"/>
          <w:vertAlign w:val="superscript"/>
        </w:rPr>
        <w:t>516</w:t>
      </w:r>
      <w:r>
        <w:rPr>
          <w:color w:val="000000"/>
        </w:rPr>
        <w:t>, више ОЦД</w:t>
      </w:r>
      <w:r>
        <w:rPr>
          <w:color w:val="000000"/>
          <w:vertAlign w:val="superscript"/>
        </w:rPr>
        <w:t>517</w:t>
      </w:r>
      <w:r>
        <w:rPr>
          <w:color w:val="000000"/>
        </w:rPr>
        <w:t>, академска заједница.</w:t>
      </w:r>
      <w:r>
        <w:rPr>
          <w:color w:val="000000"/>
          <w:vertAlign w:val="superscript"/>
        </w:rPr>
        <w:t>518</w:t>
      </w:r>
      <w:r>
        <w:rPr>
          <w:color w:val="000000"/>
        </w:rPr>
        <w:t xml:space="preserve"> </w:t>
      </w:r>
      <w:r>
        <w:rPr>
          <w:color w:val="000000"/>
        </w:rPr>
        <w:t xml:space="preserve">Након примедаба изнетих у јавној расправи </w:t>
      </w:r>
      <w:r>
        <w:rPr>
          <w:color w:val="000000"/>
        </w:rPr>
        <w:lastRenderedPageBreak/>
        <w:t>сачињено је више (4) верзијa Нацрта амандмана на Устав.</w:t>
      </w:r>
      <w:r>
        <w:rPr>
          <w:color w:val="000000"/>
          <w:vertAlign w:val="superscript"/>
        </w:rPr>
        <w:t>519</w:t>
      </w:r>
      <w:r>
        <w:rPr>
          <w:color w:val="000000"/>
        </w:rPr>
        <w:t xml:space="preserve"> Предлог за промену Устава, Влада је упутила Народној скупштини новембра 2018. године. Током 2019. и 2020.</w:t>
      </w:r>
      <w:r>
        <w:rPr>
          <w:color w:val="000000"/>
          <w:vertAlign w:val="superscript"/>
        </w:rPr>
        <w:t>520</w:t>
      </w:r>
      <w:r>
        <w:rPr>
          <w:color w:val="000000"/>
        </w:rPr>
        <w:t xml:space="preserve"> године активности на промени Устава се нису од</w:t>
      </w:r>
      <w:r>
        <w:rPr>
          <w:color w:val="000000"/>
        </w:rPr>
        <w:t>вијале, а интензивиране су 2021. године. Одбор за уставна питања и законодавство организовао је јавна слушања</w:t>
      </w:r>
      <w:r>
        <w:rPr>
          <w:color w:val="000000"/>
          <w:vertAlign w:val="superscript"/>
        </w:rPr>
        <w:t>521</w:t>
      </w:r>
      <w:r>
        <w:rPr>
          <w:color w:val="000000"/>
        </w:rPr>
        <w:t xml:space="preserve"> и дебату о томе шта је потребно мењати у Уставу РС</w:t>
      </w:r>
      <w:r>
        <w:rPr>
          <w:color w:val="000000"/>
          <w:vertAlign w:val="superscript"/>
        </w:rPr>
        <w:t>522</w:t>
      </w:r>
      <w:r>
        <w:rPr>
          <w:color w:val="000000"/>
        </w:rPr>
        <w:t xml:space="preserve"> у области правосуђа,</w:t>
      </w:r>
      <w:r>
        <w:rPr>
          <w:color w:val="000000"/>
          <w:vertAlign w:val="superscript"/>
        </w:rPr>
        <w:t>523</w:t>
      </w:r>
      <w:r>
        <w:rPr>
          <w:color w:val="000000"/>
        </w:rPr>
        <w:t xml:space="preserve"> а 21. јуна 2021. године формирао је Радну групу која припрема Нац</w:t>
      </w:r>
      <w:r>
        <w:rPr>
          <w:color w:val="000000"/>
        </w:rPr>
        <w:t xml:space="preserve">рт амандмана на Устав у чији састав су укључени представници/це струковних удружења судија и тужилаца. Променама Устава потребно је поставити темељне нормативне претпоставке за владавину права у складу са европским и међународним стандардима у документима </w:t>
      </w:r>
      <w:r>
        <w:rPr>
          <w:color w:val="000000"/>
        </w:rPr>
        <w:t>ЕУ, УН, СЕ, посебно Венецијанске комисије, групе држава против корупције ГРЕКО, Европске комисије за ефикасност правосуђа СЕПЕЖ, Консултативног већа европских судија, Консултативног већа европских тужилаца и Европске мреже савета правосуђа.</w:t>
      </w:r>
    </w:p>
    <w:p w:rsidR="00BC3CE6" w:rsidRDefault="009A2DE5">
      <w:pPr>
        <w:spacing w:after="150"/>
      </w:pPr>
      <w:r>
        <w:rPr>
          <w:color w:val="000000"/>
        </w:rPr>
        <w:t>Усвојено је нек</w:t>
      </w:r>
      <w:r>
        <w:rPr>
          <w:color w:val="000000"/>
        </w:rPr>
        <w:t>олико закона, значајних за родну равноправност, владавину права и приступ правди на чије се усвајање чекало готово деценију. Поред измена и допуна Закона о забрани дискриминације</w:t>
      </w:r>
      <w:r>
        <w:rPr>
          <w:color w:val="000000"/>
          <w:vertAlign w:val="superscript"/>
        </w:rPr>
        <w:t>524</w:t>
      </w:r>
      <w:r>
        <w:rPr>
          <w:color w:val="000000"/>
        </w:rPr>
        <w:t xml:space="preserve"> и усвајања новог Закона о родној равноправности</w:t>
      </w:r>
      <w:r>
        <w:rPr>
          <w:color w:val="000000"/>
          <w:vertAlign w:val="superscript"/>
        </w:rPr>
        <w:t>525</w:t>
      </w:r>
      <w:r>
        <w:rPr>
          <w:color w:val="000000"/>
        </w:rPr>
        <w:t xml:space="preserve"> којима је целовито регу</w:t>
      </w:r>
      <w:r>
        <w:rPr>
          <w:color w:val="000000"/>
        </w:rPr>
        <w:t xml:space="preserve">лисана заштита од родно засноване дискриминације у складу са међународним стандардима, прописане су и посебне мере чији циљ је стварање једнаких могућности за остваривање свих људских права за жене и мушкарце, регулисане обавезе јавних власти, послодаваца </w:t>
      </w:r>
      <w:r>
        <w:rPr>
          <w:color w:val="000000"/>
        </w:rPr>
        <w:t>и других субјеката, инструменти и одговорност јавних власти за имплементацију закона, показатељи релевантни за родну статистику</w:t>
      </w:r>
      <w:r>
        <w:rPr>
          <w:color w:val="000000"/>
          <w:vertAlign w:val="superscript"/>
        </w:rPr>
        <w:t>526</w:t>
      </w:r>
      <w:r>
        <w:rPr>
          <w:color w:val="000000"/>
        </w:rPr>
        <w:t>, прописане санкције за кршење закона и др. Тиме су на нормативном плану, отклоњени недостаци (непотпуна и међусобно неусклађе</w:t>
      </w:r>
      <w:r>
        <w:rPr>
          <w:color w:val="000000"/>
        </w:rPr>
        <w:t>на законска решења, вишегодишње кашњење рада на променама ових закона) који су отежавали примену антидискриминационих закона и унапређивање родне равноправности. Ефекти примене ових недавно донетих закона се још не могу пратити.</w:t>
      </w:r>
    </w:p>
    <w:p w:rsidR="00BC3CE6" w:rsidRDefault="009A2DE5">
      <w:pPr>
        <w:spacing w:after="150"/>
      </w:pPr>
      <w:r>
        <w:rPr>
          <w:color w:val="000000"/>
        </w:rPr>
        <w:t>Бесплатна правна помоћ је з</w:t>
      </w:r>
      <w:r>
        <w:rPr>
          <w:color w:val="000000"/>
        </w:rPr>
        <w:t>начајан предуслов за једнаке могућности за приступ правди. Делотворан приступ правди подразумева адекватан систем правне помоћи, који обезбеђује пружање квалитетне правне помоћи, бесплатно или по смањеним трошковима, свима који нису у стању да је плате.</w:t>
      </w:r>
    </w:p>
    <w:p w:rsidR="00BC3CE6" w:rsidRDefault="009A2DE5">
      <w:pPr>
        <w:spacing w:after="150"/>
      </w:pPr>
      <w:r>
        <w:rPr>
          <w:color w:val="000000"/>
        </w:rPr>
        <w:t>По</w:t>
      </w:r>
      <w:r>
        <w:rPr>
          <w:color w:val="000000"/>
        </w:rPr>
        <w:t>сле дужег времена 2018. године усвојен је Закон о бесплатној правној помоћи</w:t>
      </w:r>
      <w:r>
        <w:rPr>
          <w:color w:val="000000"/>
          <w:vertAlign w:val="superscript"/>
        </w:rPr>
        <w:t>527</w:t>
      </w:r>
      <w:r>
        <w:rPr>
          <w:color w:val="000000"/>
        </w:rPr>
        <w:t xml:space="preserve"> чија примена је започела 1. октобра 2019. године, којим је успостављен систем пружања бесплатне правне помоћи. Позитиван помак је гарантовање права на бесплатну правну помоћ жрт</w:t>
      </w:r>
      <w:r>
        <w:rPr>
          <w:color w:val="000000"/>
        </w:rPr>
        <w:t>вама насиља у породици, лицу које остварује правну заштиту од тортуре, нечовечног или понижавајућег поступања или кажњавања или трговине људима.</w:t>
      </w:r>
      <w:r>
        <w:rPr>
          <w:color w:val="000000"/>
          <w:vertAlign w:val="superscript"/>
        </w:rPr>
        <w:t>528</w:t>
      </w:r>
      <w:r>
        <w:rPr>
          <w:color w:val="000000"/>
        </w:rPr>
        <w:t xml:space="preserve"> Круг корисника бесплатне правне помоћи не обухвата жртве свих облика родно заснованог насиља, па би изменама</w:t>
      </w:r>
      <w:r>
        <w:rPr>
          <w:color w:val="000000"/>
        </w:rPr>
        <w:t xml:space="preserve"> Закона круг корисника бесплатне правне помоћи требало проширити и укључити и жртве родно заснованог насиља према женама, што је наглашено и у Стратегији за спречавање и </w:t>
      </w:r>
      <w:r>
        <w:rPr>
          <w:color w:val="000000"/>
        </w:rPr>
        <w:lastRenderedPageBreak/>
        <w:t>борбу против родно заснованог насиља према женама и насиља у породици (2021–2025).</w:t>
      </w:r>
      <w:r>
        <w:rPr>
          <w:color w:val="000000"/>
          <w:vertAlign w:val="superscript"/>
        </w:rPr>
        <w:t>529</w:t>
      </w:r>
    </w:p>
    <w:p w:rsidR="00BC3CE6" w:rsidRDefault="009A2DE5">
      <w:pPr>
        <w:spacing w:after="150"/>
      </w:pPr>
      <w:r>
        <w:rPr>
          <w:color w:val="000000"/>
        </w:rPr>
        <w:t>Законом је уведен Регистар пружалаца бесплатне правне помоћи и бесплатне правне подршке,</w:t>
      </w:r>
      <w:r>
        <w:rPr>
          <w:color w:val="000000"/>
          <w:vertAlign w:val="superscript"/>
        </w:rPr>
        <w:t>530</w:t>
      </w:r>
      <w:r>
        <w:rPr>
          <w:color w:val="000000"/>
        </w:rPr>
        <w:t xml:space="preserve"> а која се пружа по претходном одобрењу. У првих шест месеци примене Закона, примљено је 2.079 захтева, 1902 особа је добило помоћ у парничним и управним поступцима.</w:t>
      </w:r>
      <w:r>
        <w:rPr>
          <w:color w:val="000000"/>
          <w:vertAlign w:val="superscript"/>
        </w:rPr>
        <w:t>531</w:t>
      </w:r>
      <w:r>
        <w:rPr>
          <w:color w:val="000000"/>
        </w:rPr>
        <w:t xml:space="preserve"> Према подацима органа управе, у првих шест месеци примене закона само шест ЈЛС је навело „насиље у породици” као област у којој је одобрена бесплатна правна помоћ. Није, међутим, познато колико је било одобрених захтева, с обзиром да су ЈЛС доставиле з</w:t>
      </w:r>
      <w:r>
        <w:rPr>
          <w:color w:val="000000"/>
        </w:rPr>
        <w:t>бирне податке, а није познато ни колико је међу њима жена, јер подаци који се прикупљају нису разврстани по полу.</w:t>
      </w:r>
      <w:r>
        <w:rPr>
          <w:color w:val="000000"/>
          <w:vertAlign w:val="superscript"/>
        </w:rPr>
        <w:t>532</w:t>
      </w:r>
      <w:r>
        <w:rPr>
          <w:color w:val="000000"/>
        </w:rPr>
        <w:t xml:space="preserve"> Када је у питању бесплатна правна подршка коју пружају медијатори, односно посредници у решавању спорова, јавни бележници и ОЦД укупан број</w:t>
      </w:r>
      <w:r>
        <w:rPr>
          <w:color w:val="000000"/>
        </w:rPr>
        <w:t xml:space="preserve"> корисника којима је пружен правни савет је 7.460.</w:t>
      </w:r>
      <w:r>
        <w:rPr>
          <w:color w:val="000000"/>
          <w:vertAlign w:val="superscript"/>
        </w:rPr>
        <w:t>533</w:t>
      </w:r>
    </w:p>
    <w:p w:rsidR="00BC3CE6" w:rsidRDefault="009A2DE5">
      <w:pPr>
        <w:spacing w:after="150"/>
      </w:pPr>
      <w:r>
        <w:rPr>
          <w:color w:val="000000"/>
        </w:rPr>
        <w:t>Право на бесплатну правну помоћ признато је лицима која испуњавају услове за новчану социјалну помоћ или дечији додатак као и члановима њихових породица, односно, заједничког домаћинства. Ово право имај</w:t>
      </w:r>
      <w:r>
        <w:rPr>
          <w:color w:val="000000"/>
        </w:rPr>
        <w:t>у и они који не испуњавају услове да буду корисници ових права, али који би због плаћања правне помоћи из сопствених прихода испунили прописане услове. Критеријуме за стицање права на бесплатну правну помоћ треба преиспитати и поред жртава насиља у породиц</w:t>
      </w:r>
      <w:r>
        <w:rPr>
          <w:color w:val="000000"/>
        </w:rPr>
        <w:t>и и жртава тортуре, нечовечног или понижавајућег поступања или кажњавања као и жртава трговине људима, укључити и жртве родно заснованог насиља, посебно жртве из рањивих и вишеструко дискриминисаних група. У противном жртве других облика родно заснованог н</w:t>
      </w:r>
      <w:r>
        <w:rPr>
          <w:color w:val="000000"/>
        </w:rPr>
        <w:t>асиља које право на бесплатну правну помоћ остварују под општим законским условим, биле би дискриминисане и стављене у неједнак положај у односу на жртве породичног насиља.</w:t>
      </w:r>
    </w:p>
    <w:p w:rsidR="00BC3CE6" w:rsidRDefault="009A2DE5">
      <w:pPr>
        <w:spacing w:after="150"/>
      </w:pPr>
      <w:r>
        <w:rPr>
          <w:color w:val="000000"/>
        </w:rPr>
        <w:t>Круг пружалаца бесплатне правне помоћи укључује само адвокате и службе бесплатне пр</w:t>
      </w:r>
      <w:r>
        <w:rPr>
          <w:color w:val="000000"/>
        </w:rPr>
        <w:t>авне помоћи у ЈЛС.</w:t>
      </w:r>
      <w:r>
        <w:rPr>
          <w:color w:val="000000"/>
          <w:vertAlign w:val="superscript"/>
        </w:rPr>
        <w:t>534</w:t>
      </w:r>
      <w:r>
        <w:rPr>
          <w:color w:val="000000"/>
        </w:rPr>
        <w:t xml:space="preserve"> Међу регистрованим пружаоцима бесплатне правне помоћи и подршке тренутно је 3.304 адвоката, 24 ЈЛС нису регистровале пружаоце бесплатне правне помоћи, а међу регистрованим пружаоцима правне подршке само је 31 ОЦД, од којих су 11 у Бео</w:t>
      </w:r>
      <w:r>
        <w:rPr>
          <w:color w:val="000000"/>
        </w:rPr>
        <w:t>граду.</w:t>
      </w:r>
      <w:r>
        <w:rPr>
          <w:color w:val="000000"/>
          <w:vertAlign w:val="superscript"/>
        </w:rPr>
        <w:t>535</w:t>
      </w:r>
      <w:r>
        <w:rPr>
          <w:color w:val="000000"/>
        </w:rPr>
        <w:t xml:space="preserve"> И због тога жртве родно заснованог насиља нису изједначене у погледу приступа квалитетној бесплатној правној помоћи и подршци.</w:t>
      </w:r>
    </w:p>
    <w:p w:rsidR="00BC3CE6" w:rsidRDefault="009A2DE5">
      <w:pPr>
        <w:spacing w:after="150"/>
      </w:pPr>
      <w:r>
        <w:rPr>
          <w:color w:val="000000"/>
        </w:rPr>
        <w:t>Удружењима грађана која се дуго времена и систематски баве пружањем бесплатне правне помоћи, посебно жртвама родно засн</w:t>
      </w:r>
      <w:r>
        <w:rPr>
          <w:color w:val="000000"/>
        </w:rPr>
        <w:t>ованог насиља, закон допушта само пружање бесплатне правне подршке (давање општих правних информација и попуњавање формулара)</w:t>
      </w:r>
      <w:r>
        <w:rPr>
          <w:color w:val="000000"/>
          <w:vertAlign w:val="superscript"/>
        </w:rPr>
        <w:t>536</w:t>
      </w:r>
      <w:r>
        <w:rPr>
          <w:color w:val="000000"/>
        </w:rPr>
        <w:t>, изричито забрањује пружање бесплатне правне помоћи а кршење ове забране санкционише високом прекршајном казном (од 50.000 до 5</w:t>
      </w:r>
      <w:r>
        <w:rPr>
          <w:color w:val="000000"/>
        </w:rPr>
        <w:t>00.000 РСД).</w:t>
      </w:r>
      <w:r>
        <w:rPr>
          <w:color w:val="000000"/>
          <w:vertAlign w:val="superscript"/>
        </w:rPr>
        <w:t>537</w:t>
      </w:r>
      <w:r>
        <w:rPr>
          <w:color w:val="000000"/>
        </w:rPr>
        <w:t xml:space="preserve"> Право пружања бесплатне правне подршке имају и јавни бележници, посредници и правни факултети којима закон, такође, забрањује пружање бесплатне правне помоћи.</w:t>
      </w:r>
      <w:r>
        <w:rPr>
          <w:color w:val="000000"/>
          <w:vertAlign w:val="superscript"/>
        </w:rPr>
        <w:t>538</w:t>
      </w:r>
      <w:r>
        <w:rPr>
          <w:color w:val="000000"/>
        </w:rPr>
        <w:t xml:space="preserve"> Како у свим ЈЛС нису образоване службе правне помоћи</w:t>
      </w:r>
      <w:r>
        <w:rPr>
          <w:color w:val="000000"/>
          <w:vertAlign w:val="superscript"/>
        </w:rPr>
        <w:t>539</w:t>
      </w:r>
      <w:r>
        <w:rPr>
          <w:color w:val="000000"/>
        </w:rPr>
        <w:t xml:space="preserve">, а </w:t>
      </w:r>
      <w:r>
        <w:rPr>
          <w:color w:val="000000"/>
        </w:rPr>
        <w:lastRenderedPageBreak/>
        <w:t xml:space="preserve">адвокати немају </w:t>
      </w:r>
      <w:r>
        <w:rPr>
          <w:color w:val="000000"/>
        </w:rPr>
        <w:t>обавезу пружања бесплатне правне помоћи већ се за то сами опредељују, број могућих пружалаца бесплатне правне помоћи је додатно сужен и територијално неравномерно распоређен.</w:t>
      </w:r>
      <w:r>
        <w:rPr>
          <w:color w:val="000000"/>
          <w:vertAlign w:val="superscript"/>
        </w:rPr>
        <w:t>540</w:t>
      </w:r>
      <w:r>
        <w:rPr>
          <w:color w:val="000000"/>
        </w:rPr>
        <w:t xml:space="preserve"> Стога би требало преиспитати могућност да се круг пружалаца бесплатне правне п</w:t>
      </w:r>
      <w:r>
        <w:rPr>
          <w:color w:val="000000"/>
        </w:rPr>
        <w:t>омоћи прошири и на правне факултете, ОЦД уз постављање критеријума који морају бити испуњени од стране ових пружалаца правне помоћи (нпр. правничко образовање, лиценцирање). Могућност пружања правне помоћи од стране ОЦД већ постоји у Закону о бесплатној пр</w:t>
      </w:r>
      <w:r>
        <w:rPr>
          <w:color w:val="000000"/>
        </w:rPr>
        <w:t>авној помоћи</w:t>
      </w:r>
      <w:r>
        <w:rPr>
          <w:color w:val="000000"/>
          <w:vertAlign w:val="superscript"/>
        </w:rPr>
        <w:t>541</w:t>
      </w:r>
      <w:r>
        <w:rPr>
          <w:color w:val="000000"/>
        </w:rPr>
        <w:t xml:space="preserve"> који регулишу азил и забрану дискриминације.</w:t>
      </w:r>
    </w:p>
    <w:p w:rsidR="00BC3CE6" w:rsidRDefault="009A2DE5">
      <w:pPr>
        <w:spacing w:after="150"/>
      </w:pPr>
      <w:r>
        <w:rPr>
          <w:color w:val="000000"/>
        </w:rPr>
        <w:t>Поступак одлучивања о стицању права на бесплатну правну помоћ је сложен, а службеницима ЈЛС у служби бесплатне правне помоћи остављено је дискреционо право одлучивања и широко постављене могућнос</w:t>
      </w:r>
      <w:r>
        <w:rPr>
          <w:color w:val="000000"/>
        </w:rPr>
        <w:t>ти одбијања захтева за пружање правне помоћи. Евиденција о корисницима бесплатне правне помоћи коју су по закону дужни да воде органи управе надлежни за одобравање бесплатне правне помоћи</w:t>
      </w:r>
      <w:r>
        <w:rPr>
          <w:color w:val="000000"/>
          <w:vertAlign w:val="superscript"/>
        </w:rPr>
        <w:t>542</w:t>
      </w:r>
      <w:r>
        <w:rPr>
          <w:color w:val="000000"/>
        </w:rPr>
        <w:t xml:space="preserve"> није потпуна: Није прописана обавеза вођења евиденције о корисниц</w:t>
      </w:r>
      <w:r>
        <w:rPr>
          <w:color w:val="000000"/>
        </w:rPr>
        <w:t>има бесплатне правне помоћи разврстана по полу корисника и разлозима због којих се захтева ова помоћ. Не постоји обавеза да се прикупљени подаци разврстају по полу, нити да се евидентира право ради чије је заштите правна помоћ тражена/одобрена, већ само „п</w:t>
      </w:r>
      <w:r>
        <w:rPr>
          <w:color w:val="000000"/>
        </w:rPr>
        <w:t>равна област” из које је пружена бесплатна правна помоћ или бесплатна правна подршка. Ови недостаци онемогућавају да се на адекватан начин прати примена закона с аспекта остваривања право заштитних потреба жена. Обавезе везане за вођење евиденција релевант</w:t>
      </w:r>
      <w:r>
        <w:rPr>
          <w:color w:val="000000"/>
        </w:rPr>
        <w:t>них за родну равноправност регулише Закон о родној равноправности.</w:t>
      </w:r>
      <w:r>
        <w:rPr>
          <w:color w:val="000000"/>
          <w:vertAlign w:val="superscript"/>
        </w:rPr>
        <w:t>543</w:t>
      </w:r>
    </w:p>
    <w:p w:rsidR="00BC3CE6" w:rsidRDefault="009A2DE5">
      <w:pPr>
        <w:spacing w:after="150"/>
      </w:pPr>
      <w:r>
        <w:rPr>
          <w:color w:val="000000"/>
        </w:rPr>
        <w:t>Службе бесплатне правне помоћи су тешко доступне и у ЈЛС у којима постоје, јер често не постоји јавни међумесни саобраћај нарочито између сеоских средина и општинских центара, а коришћењ</w:t>
      </w:r>
      <w:r>
        <w:rPr>
          <w:color w:val="000000"/>
        </w:rPr>
        <w:t>е друге врсте превоза захтева знатне трошкове.</w:t>
      </w:r>
      <w:r>
        <w:rPr>
          <w:color w:val="000000"/>
          <w:vertAlign w:val="superscript"/>
        </w:rPr>
        <w:t>544</w:t>
      </w:r>
    </w:p>
    <w:p w:rsidR="00BC3CE6" w:rsidRDefault="009A2DE5">
      <w:pPr>
        <w:spacing w:after="150"/>
      </w:pPr>
      <w:r>
        <w:rPr>
          <w:color w:val="000000"/>
        </w:rPr>
        <w:t>У свим ЈЛС неопходно је успоставити службу пружања бесплатне правне помоћи и обезбедити људске, финансијске и техничке ресурсе за њихов рад и тако створити услове за остваривање права на приступ правди. Зак</w:t>
      </w:r>
      <w:r>
        <w:rPr>
          <w:color w:val="000000"/>
        </w:rPr>
        <w:t>оном је неопходно регулисати и посебне мере (обезбеђивање приступачности објеката, тумачи за знаковни језик, приступачни формати за слепе и слабовиде особе и др.) за отклањање препрека са којима се сусрећу особе са инвалидитетом у приступу правди и установ</w:t>
      </w:r>
      <w:r>
        <w:rPr>
          <w:color w:val="000000"/>
        </w:rPr>
        <w:t>иле једнаке могућности за приступ правди и за особе са инвалидитетом. Није успостављен транспарентан механизам за праћење квалитета пружених услуга правне помоћи. Недостаје и стратешки документ у овој области. Стратегија развоја система бесплатне правне по</w:t>
      </w:r>
      <w:r>
        <w:rPr>
          <w:color w:val="000000"/>
        </w:rPr>
        <w:t>моћи и АП за њену примену (2011–2013) нема дефинисан рок до кога важи па се сматра важећом. Потребно је спровести ex post aнализу постојеће стратегије као и анализу стања у овој области и на основу тога проценити да ли је потребно извршити промене у постој</w:t>
      </w:r>
      <w:r>
        <w:rPr>
          <w:color w:val="000000"/>
        </w:rPr>
        <w:t>ећој стратегији.</w:t>
      </w:r>
    </w:p>
    <w:p w:rsidR="00BC3CE6" w:rsidRDefault="009A2DE5">
      <w:pPr>
        <w:spacing w:after="150"/>
      </w:pPr>
      <w:r>
        <w:rPr>
          <w:color w:val="000000"/>
        </w:rPr>
        <w:lastRenderedPageBreak/>
        <w:t>Приступ правди је отежан. На то утичу неравномеран територијални распоред судова и међусобно неусклађена мрежа судова и јавних тужилаштава</w:t>
      </w:r>
      <w:r>
        <w:rPr>
          <w:color w:val="000000"/>
          <w:vertAlign w:val="superscript"/>
        </w:rPr>
        <w:t>545</w:t>
      </w:r>
      <w:r>
        <w:rPr>
          <w:color w:val="000000"/>
        </w:rPr>
        <w:t>, као и високи трошкови судског поступка.</w:t>
      </w:r>
      <w:r>
        <w:rPr>
          <w:color w:val="000000"/>
          <w:vertAlign w:val="superscript"/>
        </w:rPr>
        <w:t>546</w:t>
      </w:r>
      <w:r>
        <w:rPr>
          <w:color w:val="000000"/>
        </w:rPr>
        <w:t xml:space="preserve"> Судови или тужилаштва не постоје у бројним општинама </w:t>
      </w:r>
      <w:r>
        <w:rPr>
          <w:color w:val="000000"/>
        </w:rPr>
        <w:t>па је приступ судској заштити права отежан не само за становнике/це руралних подручја, већ и за становнике/це у мањим општинама.</w:t>
      </w:r>
      <w:r>
        <w:rPr>
          <w:color w:val="000000"/>
          <w:vertAlign w:val="superscript"/>
        </w:rPr>
        <w:t>547</w:t>
      </w:r>
      <w:r>
        <w:rPr>
          <w:color w:val="000000"/>
        </w:rPr>
        <w:t xml:space="preserve"> Не постоје или се гасе линије међумесног јавног саобраћаја па је приступ суду отежан јер изискује додатне трошкове за превоз</w:t>
      </w:r>
      <w:r>
        <w:rPr>
          <w:color w:val="000000"/>
        </w:rPr>
        <w:t xml:space="preserve"> који је потребно ангажовати или сопствени превоз, а знатно мање жена су власнице аутомобила. Потребно је преиспитати законска решења у Закону о седиштима и подручјима судова и јавних тужилаштава и обезбедити бољу приступачност судова и тужилаштава и ускла</w:t>
      </w:r>
      <w:r>
        <w:rPr>
          <w:color w:val="000000"/>
        </w:rPr>
        <w:t>дити мрежу судова са мрежом тужилаштава како би се омогућио приступ правди. Препрека за приступ правди су и високи трошкови судског поступка који су често разлог да многе жене, али и мушкарци не траже судску заштиту. На пример, таксе на тужбу за развод бра</w:t>
      </w:r>
      <w:r>
        <w:rPr>
          <w:color w:val="000000"/>
        </w:rPr>
        <w:t>ка крећу се од 1.900 до 19.000 РСД, таксе у извршном поступку од 1.900 до 97.000 РСД, трошкови адвоката – састављање поднеска или присуство рочишту је најмање 1/3, а састављање жалбе више од 2/3 просечне плате у Републици Србији, накнаде вештака крећу се о</w:t>
      </w:r>
      <w:r>
        <w:rPr>
          <w:color w:val="000000"/>
        </w:rPr>
        <w:t>д 50% просечне плате за вештаке без средњег образовања до 300% за докторе наука</w:t>
      </w:r>
      <w:r>
        <w:rPr>
          <w:color w:val="000000"/>
          <w:vertAlign w:val="superscript"/>
        </w:rPr>
        <w:t>548</w:t>
      </w:r>
      <w:r>
        <w:rPr>
          <w:color w:val="000000"/>
        </w:rPr>
        <w:t>, различите таксе, трошкови и награде извршитеља (само награде за рад извршитеља крећу се од 3.000 до 47.000 РСД).</w:t>
      </w:r>
      <w:r>
        <w:rPr>
          <w:color w:val="000000"/>
          <w:vertAlign w:val="superscript"/>
        </w:rPr>
        <w:t>549</w:t>
      </w:r>
      <w:r>
        <w:rPr>
          <w:color w:val="000000"/>
        </w:rPr>
        <w:t xml:space="preserve"> Право на ослобађање од претходног плаћања трошкова приме</w:t>
      </w:r>
      <w:r>
        <w:rPr>
          <w:color w:val="000000"/>
        </w:rPr>
        <w:t>њује се ретко и неконзистентно. Трошкови се битно увећавају уколико се потражи заштита и пред Европским судом за људска права (веће таксе, превођење, трошкови превоза и др.).</w:t>
      </w:r>
      <w:r>
        <w:rPr>
          <w:color w:val="000000"/>
          <w:vertAlign w:val="superscript"/>
        </w:rPr>
        <w:t>550</w:t>
      </w:r>
      <w:r>
        <w:rPr>
          <w:color w:val="000000"/>
        </w:rPr>
        <w:t xml:space="preserve"> Тренутно стање у погледу ослобођења од претходног плаћања трошкова поступка ни</w:t>
      </w:r>
      <w:r>
        <w:rPr>
          <w:color w:val="000000"/>
        </w:rPr>
        <w:t>је задовољавајуће. Информисаност јавности о условима за ослобођење од претходног плаћања судских такси и других трошкова поступка веома је ниска. Прописи о ослобођењу од претходног плаћања трошкова поступка примењују се неуједначено, што доводи до недослед</w:t>
      </w:r>
      <w:r>
        <w:rPr>
          <w:color w:val="000000"/>
        </w:rPr>
        <w:t>ног приступа правди за сиромашни део популације</w:t>
      </w:r>
      <w:r>
        <w:rPr>
          <w:color w:val="000000"/>
          <w:vertAlign w:val="superscript"/>
        </w:rPr>
        <w:t>551</w:t>
      </w:r>
      <w:r>
        <w:rPr>
          <w:color w:val="000000"/>
        </w:rPr>
        <w:t>, jeр не постоје смернице, нити стандардизоване форме које би судије користиле приликом одлучивања о захтевима за ослобођења од претходног плаћања трошкова поступка.</w:t>
      </w:r>
    </w:p>
    <w:p w:rsidR="00BC3CE6" w:rsidRDefault="009A2DE5">
      <w:pPr>
        <w:spacing w:after="150"/>
      </w:pPr>
      <w:r>
        <w:rPr>
          <w:color w:val="000000"/>
        </w:rPr>
        <w:t>Заштита права није ефикасна и делотворна</w:t>
      </w:r>
      <w:r>
        <w:rPr>
          <w:color w:val="000000"/>
        </w:rPr>
        <w:t>. Поступци пред судовима дуго трају упркос томе што је усвојен Закон о заштити права на суђење у разумном року.</w:t>
      </w:r>
      <w:r>
        <w:rPr>
          <w:color w:val="000000"/>
          <w:vertAlign w:val="superscript"/>
        </w:rPr>
        <w:t>552</w:t>
      </w:r>
      <w:r>
        <w:rPr>
          <w:color w:val="000000"/>
        </w:rPr>
        <w:t xml:space="preserve"> Законска решења нису допринела ефикаснијој заштити права, о чему говори повећан број уставних жалби на одлуке судова</w:t>
      </w:r>
      <w:r>
        <w:rPr>
          <w:color w:val="000000"/>
          <w:vertAlign w:val="superscript"/>
        </w:rPr>
        <w:t>553</w:t>
      </w:r>
      <w:r>
        <w:rPr>
          <w:color w:val="000000"/>
        </w:rPr>
        <w:t>, што Уставни суд и ко</w:t>
      </w:r>
      <w:r>
        <w:rPr>
          <w:color w:val="000000"/>
        </w:rPr>
        <w:t>нстатује.</w:t>
      </w:r>
      <w:r>
        <w:rPr>
          <w:color w:val="000000"/>
          <w:vertAlign w:val="superscript"/>
        </w:rPr>
        <w:t>554</w:t>
      </w:r>
      <w:r>
        <w:rPr>
          <w:color w:val="000000"/>
        </w:rPr>
        <w:t xml:space="preserve"> Заштита људских права пред Уставним судом је изразито неефикасна. Број предмета који се односе на заштиту људских права континуирано и убрзано расте.</w:t>
      </w:r>
      <w:r>
        <w:rPr>
          <w:color w:val="000000"/>
          <w:vertAlign w:val="superscript"/>
        </w:rPr>
        <w:t>555</w:t>
      </w:r>
      <w:r>
        <w:rPr>
          <w:color w:val="000000"/>
        </w:rPr>
        <w:t xml:space="preserve"> То постаје доминантна надлежност Уставног суда (нпр. у 2019. години 97, 87% предмета), а с</w:t>
      </w:r>
      <w:r>
        <w:rPr>
          <w:color w:val="000000"/>
        </w:rPr>
        <w:t>ве друге надлежности, укључујући и нормативну контролу као основну надлежност овог суда су потиснуте (2% предмета).</w:t>
      </w:r>
      <w:r>
        <w:rPr>
          <w:color w:val="000000"/>
          <w:vertAlign w:val="superscript"/>
        </w:rPr>
        <w:t>556</w:t>
      </w:r>
      <w:r>
        <w:rPr>
          <w:color w:val="000000"/>
        </w:rPr>
        <w:t xml:space="preserve"> Упркос настојању да се организацијом рада и процесним правилима постигне већа ефикасност рада у пракси број нерешених уставних жалби и да</w:t>
      </w:r>
      <w:r>
        <w:rPr>
          <w:color w:val="000000"/>
        </w:rPr>
        <w:t xml:space="preserve">ље континуирано расте. Број </w:t>
      </w:r>
      <w:r>
        <w:rPr>
          <w:color w:val="000000"/>
        </w:rPr>
        <w:lastRenderedPageBreak/>
        <w:t>решених уставних жалби се повећава, али то повећање не прати динамику прилива уставних жалби. Највећи број уставних жалби је одбачен, а мериторно је решен мали број.</w:t>
      </w:r>
      <w:r>
        <w:rPr>
          <w:color w:val="000000"/>
          <w:vertAlign w:val="superscript"/>
        </w:rPr>
        <w:t>557</w:t>
      </w:r>
      <w:r>
        <w:rPr>
          <w:color w:val="000000"/>
        </w:rPr>
        <w:t xml:space="preserve"> Међу правима чија заштита се тражи пред Уставним судом доми</w:t>
      </w:r>
      <w:r>
        <w:rPr>
          <w:color w:val="000000"/>
        </w:rPr>
        <w:t>нирају повреде права на суђење у разумном року и повреда права на правично суђење.</w:t>
      </w:r>
      <w:r>
        <w:rPr>
          <w:color w:val="000000"/>
          <w:vertAlign w:val="superscript"/>
        </w:rPr>
        <w:t>558</w:t>
      </w:r>
      <w:r>
        <w:rPr>
          <w:color w:val="000000"/>
        </w:rPr>
        <w:t xml:space="preserve"> Нормативни оквир је непотпун, о чему сведоче ставови које Уставни суд заузео како би се отклониле правне празнине везане за уставну жалбу као инструмент заштите права. У </w:t>
      </w:r>
      <w:r>
        <w:rPr>
          <w:color w:val="000000"/>
        </w:rPr>
        <w:t>Закон о Уставном суду требало би укључити ставове Уставног суда</w:t>
      </w:r>
      <w:r>
        <w:rPr>
          <w:color w:val="000000"/>
          <w:vertAlign w:val="superscript"/>
        </w:rPr>
        <w:t>559</w:t>
      </w:r>
      <w:r>
        <w:rPr>
          <w:color w:val="000000"/>
        </w:rPr>
        <w:t xml:space="preserve"> који се односе на услове за подношење уставне жалбе и више посебно значајних процесних питања.</w:t>
      </w:r>
      <w:r>
        <w:rPr>
          <w:color w:val="000000"/>
          <w:vertAlign w:val="superscript"/>
        </w:rPr>
        <w:t>560</w:t>
      </w:r>
      <w:r>
        <w:rPr>
          <w:color w:val="000000"/>
        </w:rPr>
        <w:t xml:space="preserve"> Неефикасна уставно судска заштита угрожава Уставом гарантовано право грађана/ки да се обрат</w:t>
      </w:r>
      <w:r>
        <w:rPr>
          <w:color w:val="000000"/>
        </w:rPr>
        <w:t>е ЕСЉП ради заштите права, јер је уставна жалба као последњи правни инструмент за заштиту права у унутрашњем правном систему услов за обраћање ЕСЉП. У циљу унапређења владавине права и приступа правди потребно је обезбедити ефикасну заштиту људских права и</w:t>
      </w:r>
      <w:r>
        <w:rPr>
          <w:color w:val="000000"/>
        </w:rPr>
        <w:t xml:space="preserve"> унапредити ефикасност судских поступака у складу са стандардима УН, EУ и СЕ и праксом ЕСЉП. Ускладити сет правосудских закона са</w:t>
      </w:r>
      <w:r>
        <w:rPr>
          <w:color w:val="000000"/>
          <w:vertAlign w:val="superscript"/>
        </w:rPr>
        <w:t>561</w:t>
      </w:r>
      <w:r>
        <w:rPr>
          <w:color w:val="000000"/>
        </w:rPr>
        <w:t xml:space="preserve"> стандардима УН, EУ и СЕ и праксом Европског суда за људска права.</w:t>
      </w:r>
    </w:p>
    <w:p w:rsidR="00BC3CE6" w:rsidRDefault="009A2DE5">
      <w:pPr>
        <w:spacing w:after="150"/>
      </w:pPr>
      <w:r>
        <w:rPr>
          <w:color w:val="000000"/>
        </w:rPr>
        <w:t>Инструменти заштите људских права нису подједнако доступн</w:t>
      </w:r>
      <w:r>
        <w:rPr>
          <w:color w:val="000000"/>
        </w:rPr>
        <w:t>и свима без било ког вида дискриминације (мрежа судова и тужилаштава, трошкови поступка) и нису делотворни и ефикасни (дуго трајање судских поступака, број нерешених уставних жалби који континуирано расте), а у неким случајевима нису предвиђени инструменти</w:t>
      </w:r>
      <w:r>
        <w:rPr>
          <w:color w:val="000000"/>
        </w:rPr>
        <w:t xml:space="preserve"> за заштиту права.</w:t>
      </w:r>
      <w:r>
        <w:rPr>
          <w:color w:val="000000"/>
          <w:vertAlign w:val="superscript"/>
        </w:rPr>
        <w:t>562</w:t>
      </w:r>
    </w:p>
    <w:p w:rsidR="00BC3CE6" w:rsidRDefault="009A2DE5">
      <w:pPr>
        <w:spacing w:after="150"/>
      </w:pPr>
      <w:r>
        <w:rPr>
          <w:color w:val="000000"/>
        </w:rPr>
        <w:t>Заштита права коју пружају независне институције је специфичан вид заштите права на равноправност коју пружа Повереник за заштиту равноправности и заштита људских права када су повређена пред органима управе, коју пружа Заштитник грађ</w:t>
      </w:r>
      <w:r>
        <w:rPr>
          <w:color w:val="000000"/>
        </w:rPr>
        <w:t>ана Покрајински заштитник грађана – омбудсман у оквиру надлежности АПВ као и локални омбудсмани у оквиру надлежности ЈЛС. Поступак пред овим институцијама је једноставнији. Притужба којом се покреће поступак не захтева ангажовање адвоката. За подносиоца пр</w:t>
      </w:r>
      <w:r>
        <w:rPr>
          <w:color w:val="000000"/>
        </w:rPr>
        <w:t>итужбе нема трошкова поступка. Поступање по притужби је ефикасније, а модалитети решавања притужби флексибилнији (препоруке, упозорења, стратешка парница, покретање поступка оцене уставности и законитости</w:t>
      </w:r>
      <w:r>
        <w:rPr>
          <w:color w:val="000000"/>
          <w:vertAlign w:val="superscript"/>
        </w:rPr>
        <w:t>563</w:t>
      </w:r>
      <w:r>
        <w:rPr>
          <w:color w:val="000000"/>
        </w:rPr>
        <w:t>). Током 2020. године</w:t>
      </w:r>
    </w:p>
    <w:p w:rsidR="00BC3CE6" w:rsidRDefault="009A2DE5">
      <w:pPr>
        <w:spacing w:after="150"/>
      </w:pPr>
      <w:r>
        <w:rPr>
          <w:color w:val="000000"/>
        </w:rPr>
        <w:t>Поверенику за заштиту равно</w:t>
      </w:r>
      <w:r>
        <w:rPr>
          <w:color w:val="000000"/>
        </w:rPr>
        <w:t>правности поднето је 674 притужби од којих су 39,3% поднеле жене, а 47,8% мушкарци.</w:t>
      </w:r>
      <w:r>
        <w:rPr>
          <w:color w:val="000000"/>
          <w:vertAlign w:val="superscript"/>
        </w:rPr>
        <w:t>564</w:t>
      </w:r>
      <w:r>
        <w:rPr>
          <w:color w:val="000000"/>
        </w:rPr>
        <w:t xml:space="preserve"> Од тога поднето је 105 притужби по основу пола као личног својства, те је овај основ као и претходне године међу првим основама, са сличним бројем притужби.</w:t>
      </w:r>
      <w:r>
        <w:rPr>
          <w:color w:val="000000"/>
          <w:vertAlign w:val="superscript"/>
        </w:rPr>
        <w:t>565</w:t>
      </w:r>
      <w:r>
        <w:rPr>
          <w:color w:val="000000"/>
        </w:rPr>
        <w:t xml:space="preserve"> На правос</w:t>
      </w:r>
      <w:r>
        <w:rPr>
          <w:color w:val="000000"/>
        </w:rPr>
        <w:t>уђе и поступак пред органима јавне власти односи се 28% притужби. Повереник је упутио 476 препорука, 12 упозорења, 12 иницијатива за измену прописа, 2 кривичне пријаве и др. Препоруке се поштују о чему говори податак да је по њима поступљено у 89% случајев</w:t>
      </w:r>
      <w:r>
        <w:rPr>
          <w:color w:val="000000"/>
        </w:rPr>
        <w:t>а.</w:t>
      </w:r>
      <w:r>
        <w:rPr>
          <w:color w:val="000000"/>
          <w:vertAlign w:val="superscript"/>
        </w:rPr>
        <w:t>566</w:t>
      </w:r>
      <w:r>
        <w:rPr>
          <w:color w:val="000000"/>
        </w:rPr>
        <w:t xml:space="preserve"> Међу личним својствима која су основ дискриминације доминирају притужбе у вези са здравственим стањем (121), старосним добом посебно лица старијих од 65 година (115), националном </w:t>
      </w:r>
      <w:r>
        <w:rPr>
          <w:color w:val="000000"/>
        </w:rPr>
        <w:lastRenderedPageBreak/>
        <w:t>припадношћу и етничким пореклом (114 од којих се 94 односи на дискримин</w:t>
      </w:r>
      <w:r>
        <w:rPr>
          <w:color w:val="000000"/>
        </w:rPr>
        <w:t>ацију на основу припадности ромској националној мањини), полом (105). По свим наведеним основима дискриминације бележи се раст у односу на претходну годину.</w:t>
      </w:r>
      <w:r>
        <w:rPr>
          <w:color w:val="000000"/>
          <w:vertAlign w:val="superscript"/>
        </w:rPr>
        <w:t>567</w:t>
      </w:r>
      <w:r>
        <w:rPr>
          <w:color w:val="000000"/>
        </w:rPr>
        <w:t xml:space="preserve"> Заштитнику грађана обратило се током 2020. године 18.165 грађана, што је повећање од 67% у однос</w:t>
      </w:r>
      <w:r>
        <w:rPr>
          <w:color w:val="000000"/>
        </w:rPr>
        <w:t>у на 2019. годину. Током 2020. године разматрано је укупно 6.965 предмета, а окончано је 5.456 (78,33%) предмета што говори да је ефикасност рада повећана за више од 10%. У области родне равноправности и права ЛГБТИ особа, Заштитник грађана је у 2020. годи</w:t>
      </w:r>
      <w:r>
        <w:rPr>
          <w:color w:val="000000"/>
        </w:rPr>
        <w:t>ни разматрао 140 предмета, што је за 62% више у односу на претходну годину. Број упућених препорука повећан је за 111% у односу на 2019. годину, а ефикасност Заштитника грађана у поступању по предметима у овој области повећана за више од 12% у односу на 20</w:t>
      </w:r>
      <w:r>
        <w:rPr>
          <w:color w:val="000000"/>
        </w:rPr>
        <w:t>19. годину. Од 5.056 које је решавао Заштитник грађана 1.253 предмета односило се на грађанска и политичка права, од којих се 317 (6,27%) односило на правду и правосуђе.</w:t>
      </w:r>
      <w:r>
        <w:rPr>
          <w:color w:val="000000"/>
          <w:vertAlign w:val="superscript"/>
        </w:rPr>
        <w:t>568</w:t>
      </w:r>
    </w:p>
    <w:p w:rsidR="00BC3CE6" w:rsidRDefault="009A2DE5">
      <w:pPr>
        <w:spacing w:after="150"/>
      </w:pPr>
      <w:r>
        <w:rPr>
          <w:color w:val="000000"/>
        </w:rPr>
        <w:t>Недовољно је познавање међународних конвенција (CEDAW конвенција, Истанбулска конве</w:t>
      </w:r>
      <w:r>
        <w:rPr>
          <w:color w:val="000000"/>
        </w:rPr>
        <w:t>нција, Конвенција о правима особа са инвалидитетом) и националних антидискриминационих прописа од стране актера који суделују у одлучивању о заштити од дискриминације. На правним факултетима се о овој области не стичу неопходна знања. Обуке које организује</w:t>
      </w:r>
      <w:r>
        <w:rPr>
          <w:color w:val="000000"/>
        </w:rPr>
        <w:t xml:space="preserve"> Правосудна академија за судије и тужиоце већ дужи низ година обухватају и антидискриминационе прописе, судску праксу и праксу Европског суда за људска права. Ове активности требало би и надаље континуирано спроводити. У адвокатским коморама нису организов</w:t>
      </w:r>
      <w:r>
        <w:rPr>
          <w:color w:val="000000"/>
        </w:rPr>
        <w:t>ане обуке о антидискриминационим прописима. Током 2019. године одржане су прве обуке за адвокате у Адвокатској комори Војводине и адвокатској комори у Нишу, Лесковцу и Врању коју је похађало више од 100 учесника. У 2021. години планира се одржавање посебне</w:t>
      </w:r>
      <w:r>
        <w:rPr>
          <w:color w:val="000000"/>
        </w:rPr>
        <w:t xml:space="preserve"> обуке за адвокате који би стекли продубљена знања у овој области како би могли сами да преузму обуке адвоката. Ове обуке подржала је мисија ОЕБС у Републици Србији. Неопходно је наставити перманентно обуке и подизање капацитета судија, тужилаца, адвоката,</w:t>
      </w:r>
      <w:r>
        <w:rPr>
          <w:color w:val="000000"/>
        </w:rPr>
        <w:t xml:space="preserve"> запослених у државној управи и јавним службама (укључити ове садржаје у редовне годишње обуке као и обуке за стицање лиценци) о међународним стандардима родне равноправности и антидискриминације (ратификоване међународне конвенције, пракса Европског суда </w:t>
      </w:r>
      <w:r>
        <w:rPr>
          <w:color w:val="000000"/>
        </w:rPr>
        <w:t>за људска права, препоруке међународних тела која прате примену ратификованих међународних конвенција), као и о антидискриминационом законодавству и пракси Уставног суда и судова у Републици Србији.</w:t>
      </w:r>
    </w:p>
    <w:p w:rsidR="00BC3CE6" w:rsidRDefault="009A2DE5">
      <w:pPr>
        <w:spacing w:after="150"/>
      </w:pPr>
      <w:r>
        <w:rPr>
          <w:color w:val="000000"/>
        </w:rPr>
        <w:t>Приступ правди за жене из осетљивих група. Полазећи од об</w:t>
      </w:r>
      <w:r>
        <w:rPr>
          <w:color w:val="000000"/>
        </w:rPr>
        <w:t xml:space="preserve">авезе државе не само да обезбеди да жене имају на располагању доступна и ефикасна, правна средства за заштиту права, већ и приступачност институција заштите права, приступачну и благовремену правну помоћ и подршку, нужно је указати на много лошији положај </w:t>
      </w:r>
      <w:r>
        <w:rPr>
          <w:color w:val="000000"/>
        </w:rPr>
        <w:t xml:space="preserve">жена из осетљивих друштвених група када </w:t>
      </w:r>
      <w:r>
        <w:rPr>
          <w:color w:val="000000"/>
        </w:rPr>
        <w:lastRenderedPageBreak/>
        <w:t>се ради о приступу правди. Као рањиве групе које су изложене дискриминацији и вишеструкој дискриминацији препознају се Роми, жене, ЛГБТ популација, особе са инвалидитетом, сиромашне и старије особе, мигранти, национа</w:t>
      </w:r>
      <w:r>
        <w:rPr>
          <w:color w:val="000000"/>
        </w:rPr>
        <w:t>лне мањине.</w:t>
      </w:r>
      <w:r>
        <w:rPr>
          <w:color w:val="000000"/>
          <w:vertAlign w:val="superscript"/>
        </w:rPr>
        <w:t>569</w:t>
      </w:r>
      <w:r>
        <w:rPr>
          <w:color w:val="000000"/>
        </w:rPr>
        <w:t xml:space="preserve"> Ромкиње</w:t>
      </w:r>
      <w:r>
        <w:rPr>
          <w:color w:val="000000"/>
          <w:vertAlign w:val="superscript"/>
        </w:rPr>
        <w:t>570</w:t>
      </w:r>
      <w:r>
        <w:rPr>
          <w:color w:val="000000"/>
        </w:rPr>
        <w:t>, сиромашне жене, женеиз руралних подручја и старије жене</w:t>
      </w:r>
      <w:r>
        <w:rPr>
          <w:color w:val="000000"/>
          <w:vertAlign w:val="superscript"/>
        </w:rPr>
        <w:t>571</w:t>
      </w:r>
      <w:r>
        <w:rPr>
          <w:color w:val="000000"/>
        </w:rPr>
        <w:t>. Оне имају отежан приступ правди (непознавање прописа и недостатак информација о правима и могућностима заштите права, трошкови поступка, неадекватно постављена мрежа суд</w:t>
      </w:r>
      <w:r>
        <w:rPr>
          <w:color w:val="000000"/>
        </w:rPr>
        <w:t xml:space="preserve">ова и тужилаштава, недостатак јавног превоза) као и припаднице националних мањина због језичких баријера (језици националних мањина користе се само у првостепеном судском поступку, не и у поступцима пред вишим судским инстанцама, у судској статистици нема </w:t>
      </w:r>
      <w:r>
        <w:rPr>
          <w:color w:val="000000"/>
        </w:rPr>
        <w:t>података о броју спорова у којима је коришћен језик националне мањине). У посебно тешком положају су жене са инвалидитетом, које чине 58% у укупном броју особа са инвалидитетом (зграде судова су физички неприступачне, нема довољно тумача за знаковни језик,</w:t>
      </w:r>
      <w:r>
        <w:rPr>
          <w:color w:val="000000"/>
        </w:rPr>
        <w:t xml:space="preserve"> судски документи нису доступни у приступачним форматима, поступци нису родно и старосно прилагођени)</w:t>
      </w:r>
      <w:r>
        <w:rPr>
          <w:color w:val="000000"/>
          <w:vertAlign w:val="superscript"/>
        </w:rPr>
        <w:t>572</w:t>
      </w:r>
      <w:r>
        <w:rPr>
          <w:color w:val="000000"/>
        </w:rPr>
        <w:t>, а нарочито жене са интелектуалним и психосоцијалним инвалидитетом које су смештене у резиденцијалне установе и којима је онемогућен самосталан приступ</w:t>
      </w:r>
      <w:r>
        <w:rPr>
          <w:color w:val="000000"/>
        </w:rPr>
        <w:t xml:space="preserve"> правди, јер су лишене пословне способности. На то указују и препоруке CEDAW комитета</w:t>
      </w:r>
      <w:r>
        <w:rPr>
          <w:color w:val="000000"/>
          <w:vertAlign w:val="superscript"/>
        </w:rPr>
        <w:t>573</w:t>
      </w:r>
      <w:r>
        <w:rPr>
          <w:color w:val="000000"/>
        </w:rPr>
        <w:t xml:space="preserve"> које се односе на укидање могућности лишења пословне способности на основу инвалидитета. Иако се особе са инвалидитетом сусрећу са бројним препрекама у приступу правди</w:t>
      </w:r>
      <w:r>
        <w:rPr>
          <w:color w:val="000000"/>
        </w:rPr>
        <w:t>, Закон о бесплатној правној помоћи не регулише посебне мере за отклањање ових препрека, нити, у складу са принципом једнаких могућности, омогућава особама са инвалидитетом приступ правди. Закон о бесплатној правној помоћи</w:t>
      </w:r>
      <w:r>
        <w:rPr>
          <w:color w:val="000000"/>
          <w:vertAlign w:val="superscript"/>
        </w:rPr>
        <w:t>574</w:t>
      </w:r>
      <w:r>
        <w:rPr>
          <w:color w:val="000000"/>
        </w:rPr>
        <w:t xml:space="preserve">, гарантује право на бесплатну </w:t>
      </w:r>
      <w:r>
        <w:rPr>
          <w:color w:val="000000"/>
        </w:rPr>
        <w:t>правну помоћ жртвама насиља у породици, лицу које остварује правну заштиту од тортуре, нечовечног или понижавајућег поступања или кажњавања или трговине људима, тражиоцима азила, малолетном детету, избеглицама, интерно расељеним лицима, старијим лицима, ли</w:t>
      </w:r>
      <w:r>
        <w:rPr>
          <w:color w:val="000000"/>
        </w:rPr>
        <w:t>цима на обавезном психијатријском лечењу у здравственим установама, одраслим и старијим лицима која су без сопственог пристанка смештена у установу социјалне заштите.</w:t>
      </w:r>
      <w:r>
        <w:rPr>
          <w:color w:val="000000"/>
          <w:vertAlign w:val="superscript"/>
        </w:rPr>
        <w:t>575</w:t>
      </w:r>
      <w:r>
        <w:rPr>
          <w:color w:val="000000"/>
        </w:rPr>
        <w:t xml:space="preserve"> Жртве свих других облика родно заснованог насиља, а посебно рањивe групe, изузев жртав</w:t>
      </w:r>
      <w:r>
        <w:rPr>
          <w:color w:val="000000"/>
        </w:rPr>
        <w:t>а насиља у породици, нису међу корисницима бесплатне правне помоћи, па би изменама Закона (члан 4) међу кориснике бесплатне правне помоћи требало уврстити и жртве свих облика родно заснованог насиља. Права мигранткиња на приступ правди регулише Закон о ази</w:t>
      </w:r>
      <w:r>
        <w:rPr>
          <w:color w:val="000000"/>
        </w:rPr>
        <w:t>лу и привременој заштити</w:t>
      </w:r>
      <w:r>
        <w:rPr>
          <w:color w:val="000000"/>
          <w:vertAlign w:val="superscript"/>
        </w:rPr>
        <w:t>576</w:t>
      </w:r>
      <w:r>
        <w:rPr>
          <w:color w:val="000000"/>
        </w:rPr>
        <w:t>, који забрањује дискриминацију због пола</w:t>
      </w:r>
      <w:r>
        <w:rPr>
          <w:color w:val="000000"/>
          <w:vertAlign w:val="superscript"/>
        </w:rPr>
        <w:t>577</w:t>
      </w:r>
      <w:r>
        <w:rPr>
          <w:color w:val="000000"/>
        </w:rPr>
        <w:t xml:space="preserve"> и протеривање уколико би слобода или безбедност лица била угрожена због пола</w:t>
      </w:r>
      <w:r>
        <w:rPr>
          <w:color w:val="000000"/>
          <w:vertAlign w:val="superscript"/>
        </w:rPr>
        <w:t>578</w:t>
      </w:r>
      <w:r>
        <w:rPr>
          <w:color w:val="000000"/>
        </w:rPr>
        <w:t>, регулише начело родне равноправности (родно осетљиво тумачење одредби закона, саслушање тражиоца уз пом</w:t>
      </w:r>
      <w:r>
        <w:rPr>
          <w:color w:val="000000"/>
        </w:rPr>
        <w:t>оћ преводиоца или тумача истог пола, жене тражиоци азила које су у мушкој пратњи дају изјаву одвојено од пратиоца)</w:t>
      </w:r>
      <w:r>
        <w:rPr>
          <w:color w:val="000000"/>
          <w:vertAlign w:val="superscript"/>
        </w:rPr>
        <w:t>579</w:t>
      </w:r>
      <w:r>
        <w:rPr>
          <w:color w:val="000000"/>
        </w:rPr>
        <w:t xml:space="preserve">, прописује посебне процесне прихватне гаранције за малолетна лица, особе са инвалидитетом, старија лица, самохране родитеље са малолетном </w:t>
      </w:r>
      <w:r>
        <w:rPr>
          <w:color w:val="000000"/>
        </w:rPr>
        <w:t xml:space="preserve">децом, жртве трговине људима, тешко болесна лица, особе са </w:t>
      </w:r>
      <w:r>
        <w:rPr>
          <w:color w:val="000000"/>
        </w:rPr>
        <w:lastRenderedPageBreak/>
        <w:t>душевним поремећајима, лица која су била мучена, силована или изложена другим облицима психичког или полног насиља, жене жртве сакаћења полних органа</w:t>
      </w:r>
      <w:r>
        <w:rPr>
          <w:color w:val="000000"/>
          <w:vertAlign w:val="superscript"/>
        </w:rPr>
        <w:t>580</w:t>
      </w:r>
      <w:r>
        <w:rPr>
          <w:color w:val="000000"/>
        </w:rPr>
        <w:t>, гарантује право на спајање породице</w:t>
      </w:r>
      <w:r>
        <w:rPr>
          <w:color w:val="000000"/>
          <w:vertAlign w:val="superscript"/>
        </w:rPr>
        <w:t>581</w:t>
      </w:r>
      <w:r>
        <w:rPr>
          <w:color w:val="000000"/>
        </w:rPr>
        <w:t xml:space="preserve"> и др</w:t>
      </w:r>
      <w:r>
        <w:rPr>
          <w:color w:val="000000"/>
        </w:rPr>
        <w:t>. Проблем је и недостатак података који би омогућили континуирано праћење положаја жена из вишеструко дискриминисаних група, као и свеобухватна анализа њиховог положаја, што би допринело бољем сагледавању и разумевању и њихових потреба везаних за приступ п</w:t>
      </w:r>
      <w:r>
        <w:rPr>
          <w:color w:val="000000"/>
        </w:rPr>
        <w:t>равди и резултирало укључивањем одговарајућих мера у јавне политике како би се отклониле препреке које отежавају приступ правди. На потребу спровођења свеобухватне анализе за процену ситуације у којој су жене изложене вишеструкој дискриминацији упућују и п</w:t>
      </w:r>
      <w:r>
        <w:rPr>
          <w:color w:val="000000"/>
        </w:rPr>
        <w:t>репоруке CEDAW комитета, као и на потребу да се наставе напори на елиминисању вишеструке и међусобно повезане дискриминације и када је у питању приступ правди.</w:t>
      </w:r>
      <w:r>
        <w:rPr>
          <w:color w:val="000000"/>
          <w:vertAlign w:val="superscript"/>
        </w:rPr>
        <w:t>582</w:t>
      </w:r>
    </w:p>
    <w:p w:rsidR="00BC3CE6" w:rsidRDefault="009A2DE5">
      <w:pPr>
        <w:spacing w:after="150"/>
      </w:pPr>
      <w:r>
        <w:rPr>
          <w:color w:val="000000"/>
        </w:rPr>
        <w:t>Информисање јавности, грађана и грађанки о правима која су им гарантована, инструментима и мо</w:t>
      </w:r>
      <w:r>
        <w:rPr>
          <w:color w:val="000000"/>
        </w:rPr>
        <w:t>гућностима заштите права је неопходно континуирано спроводити. У тим активностима медији имају веома важну улогу, али и обавезу да активности везане за информисање о правима и могућностима њихове заштите, родним предрасудама и стереотипима, као и промовиса</w:t>
      </w:r>
      <w:r>
        <w:rPr>
          <w:color w:val="000000"/>
        </w:rPr>
        <w:t>ње владавине права континуирано предузимају. Активности мреже „Новинарке против насиља према женама” је пример добре праксе.</w:t>
      </w:r>
      <w:r>
        <w:rPr>
          <w:color w:val="000000"/>
          <w:vertAlign w:val="superscript"/>
        </w:rPr>
        <w:t>583</w:t>
      </w:r>
      <w:r>
        <w:rPr>
          <w:color w:val="000000"/>
        </w:rPr>
        <w:t xml:space="preserve"> Поред тога, треба користити и друге могућности за информисање рањивих група (непосредан контакт, сарадња са различитим ОЦД чија </w:t>
      </w:r>
      <w:r>
        <w:rPr>
          <w:color w:val="000000"/>
        </w:rPr>
        <w:t>је активност концентрисана на рањиве групе, кампање, лифлети, водичи, приручници и сл.)</w:t>
      </w:r>
    </w:p>
    <w:p w:rsidR="00BC3CE6" w:rsidRDefault="009A2DE5">
      <w:pPr>
        <w:spacing w:after="120"/>
        <w:jc w:val="center"/>
      </w:pPr>
      <w:r>
        <w:rPr>
          <w:i/>
          <w:color w:val="000000"/>
        </w:rPr>
        <w:t>5.2.2. Људска безбедност</w:t>
      </w:r>
    </w:p>
    <w:p w:rsidR="00BC3CE6" w:rsidRDefault="009A2DE5">
      <w:pPr>
        <w:spacing w:after="150"/>
      </w:pPr>
      <w:r>
        <w:rPr>
          <w:color w:val="000000"/>
        </w:rPr>
        <w:t>Кризе и сукоби различито утичу и на мушкарце и на жене, дечаке и девојчице, а родна димензија је кључна за потпуније разумевање било које живот</w:t>
      </w:r>
      <w:r>
        <w:rPr>
          <w:color w:val="000000"/>
        </w:rPr>
        <w:t>не ситуације. Присутност и пораст ксенофобног популизма, претње женским правима широм света, увећање неједнакости, посебно оних повезаних са женама, директно или индиректно одражава се на личну безбедност како мушкараца тако и жена. Постизање родне равнопр</w:t>
      </w:r>
      <w:r>
        <w:rPr>
          <w:color w:val="000000"/>
        </w:rPr>
        <w:t>авности у остваривању људских права и људске безбедности тесно је повезано за циљ 5. Агенде 2030, потциљ 5.1. (окончање свуда и свих облика дискриминације против жена и девојчица), потциљ 5.2. (елиминисање свих облика насиља према женама и девојчицама у ја</w:t>
      </w:r>
      <w:r>
        <w:rPr>
          <w:color w:val="000000"/>
        </w:rPr>
        <w:t>вној и приватној сфери, укључујући трговину људима и сексуалну и друге облике експлоатације) и потциљ 5.3. (елиминисање свих штетних пракси као што су дечији, рани и насилни бракови и сакаћење женских гениталија) као и за циљ 16. посебно за потциљ 16.1 (по</w:t>
      </w:r>
      <w:r>
        <w:rPr>
          <w:color w:val="000000"/>
        </w:rPr>
        <w:t>треба значајног смањења свих облика насиља и са њима повезаним стопама смртних случајева) и потциљ 16.б (спровођење недискриминаторних закона и политика ради постизања одрживог развоја). Циљеве и активности из АП ЕУ за жене мир, безбедност (2019–2024),</w:t>
      </w:r>
      <w:r>
        <w:rPr>
          <w:color w:val="000000"/>
          <w:vertAlign w:val="superscript"/>
        </w:rPr>
        <w:t>584</w:t>
      </w:r>
      <w:r>
        <w:rPr>
          <w:color w:val="000000"/>
        </w:rPr>
        <w:t xml:space="preserve"> </w:t>
      </w:r>
      <w:r>
        <w:rPr>
          <w:color w:val="000000"/>
        </w:rPr>
        <w:t>допуњује нови АП за родну равноправност ЕУ (2021–2025) (ГАП 3)</w:t>
      </w:r>
      <w:r>
        <w:rPr>
          <w:color w:val="000000"/>
          <w:vertAlign w:val="superscript"/>
        </w:rPr>
        <w:t>585</w:t>
      </w:r>
      <w:r>
        <w:rPr>
          <w:color w:val="000000"/>
        </w:rPr>
        <w:t xml:space="preserve"> који предвиђа: 1. родно одговорно лидерство на свим нивоима ЕУ, од политичког </w:t>
      </w:r>
      <w:r>
        <w:rPr>
          <w:color w:val="000000"/>
        </w:rPr>
        <w:lastRenderedPageBreak/>
        <w:t>до менаџерског, 2. Обезбеђивање довољно интерних капацитета и способности за системску интеграцију родне перспек</w:t>
      </w:r>
      <w:r>
        <w:rPr>
          <w:color w:val="000000"/>
        </w:rPr>
        <w:t>тиве и спровођење родних анализа у сектору безбедност и 3. блиски дијалог и сарадњу са државама чланицама и ангажовање ОЦД и других партнера, као што су мултилатералне и регионалне организације, академска заједница, истраживачки центри и приватни сектор, к</w:t>
      </w:r>
      <w:r>
        <w:rPr>
          <w:color w:val="000000"/>
        </w:rPr>
        <w:t>роз приоритетне области деловања: учешће, увођење родне перспективе засноване на родним анализама, водство засновано на примерима, превенција, заштита и опоравак.</w:t>
      </w:r>
    </w:p>
    <w:p w:rsidR="00BC3CE6" w:rsidRDefault="009A2DE5">
      <w:pPr>
        <w:spacing w:after="150"/>
      </w:pPr>
      <w:r>
        <w:rPr>
          <w:color w:val="000000"/>
        </w:rPr>
        <w:t>У Закључним запажањима у вези са Четвртим периодичном извештајем Републике Србије, CEDAW коми</w:t>
      </w:r>
      <w:r>
        <w:rPr>
          <w:color w:val="000000"/>
        </w:rPr>
        <w:t>тет је поздравио усвајање Националног акционог плана (2017–2020) за спровођење Резолуције 1325 (2000) СБ УН – Жена, мир и безбедност.</w:t>
      </w:r>
      <w:r>
        <w:rPr>
          <w:color w:val="000000"/>
          <w:vertAlign w:val="superscript"/>
        </w:rPr>
        <w:t>586</w:t>
      </w:r>
      <w:r>
        <w:rPr>
          <w:color w:val="000000"/>
        </w:rPr>
        <w:t xml:space="preserve"> Комитет је изразио и забринутост због: а) непостојања специфичних информација о корацима предузетим за праћење и процен</w:t>
      </w:r>
      <w:r>
        <w:rPr>
          <w:color w:val="000000"/>
        </w:rPr>
        <w:t>у утицаја НАП-а и услуга које се пружају женама и девојкама жртвама насиља повезаних са сукобом; б) недовољне буџетске алокације за спровођење НАП-а; в) недостатка ангажовања на изради извештаја од стране жена погођених сукобом и ОЦД које раде са преживели</w:t>
      </w:r>
      <w:r>
        <w:rPr>
          <w:color w:val="000000"/>
        </w:rPr>
        <w:t>ма; г) непостојања статистичких података о насиљу према женама и девојкама који се односи на оружане сукобе. Позивајући се на општу препоруку бр. 30,</w:t>
      </w:r>
      <w:r>
        <w:rPr>
          <w:color w:val="000000"/>
          <w:vertAlign w:val="superscript"/>
        </w:rPr>
        <w:t>587</w:t>
      </w:r>
      <w:r>
        <w:rPr>
          <w:color w:val="000000"/>
        </w:rPr>
        <w:t xml:space="preserve"> Резолуцију СБ УН 1325 (2000) и накнадне резолуције, Комитет je препоручиo да држава уговорница: а) издв</w:t>
      </w:r>
      <w:r>
        <w:rPr>
          <w:color w:val="000000"/>
        </w:rPr>
        <w:t>оји довољна средства и побољша механизме за ефикасно спровођење, праћење и процену утицаја НАП-а за спровођење Резолуције СБ УН 1325; предузме средњорочну евалуацију плана без одлагања; б) активно укључи ОЦД, укључујући жене погођене сукобом и организације</w:t>
      </w:r>
      <w:r>
        <w:rPr>
          <w:color w:val="000000"/>
        </w:rPr>
        <w:t xml:space="preserve"> које раде са преживелима, у спровођење, праћење и процену утицаја НАП-а за спровођење Резолуције СБ УН 1325, као и развој било ког стратешког документа, мировних преговора, обнове и реконструкције након сукоба; в) ојача и промовише заступљеност жена међу </w:t>
      </w:r>
      <w:r>
        <w:rPr>
          <w:color w:val="000000"/>
        </w:rPr>
        <w:t xml:space="preserve">особљем за мировне преговоре и посредовање, укључујући и на вишим нивоима; прикупи податке о учешћу жена у спровођењу НАП-а за примену Резолуције СБ УН 1325 на законодавном, извршном и судском нивоу; г) обезбеди процену потреба и ефикасан приступ правним, </w:t>
      </w:r>
      <w:r>
        <w:rPr>
          <w:color w:val="000000"/>
        </w:rPr>
        <w:t>здравственим и психосоцијалним услугама за све жене и девојке жртве насиља у вези са сукобом, укључујући жене и девојке из руралних подручја и жена и девојака из других друштвено осетљивих група; д) предузме мере за заштиту интерно расељених жена и девојак</w:t>
      </w:r>
      <w:r>
        <w:rPr>
          <w:color w:val="000000"/>
        </w:rPr>
        <w:t>а од присилног расељавања и насиља; ђ) унапреди стандардизовано прикупљање података о насиљу према женама и девојкама у вези са сукобом.</w:t>
      </w:r>
    </w:p>
    <w:p w:rsidR="00BC3CE6" w:rsidRDefault="009A2DE5">
      <w:pPr>
        <w:spacing w:after="150"/>
      </w:pPr>
      <w:r>
        <w:rPr>
          <w:color w:val="000000"/>
        </w:rPr>
        <w:t>Стратегија националне безбедности</w:t>
      </w:r>
      <w:r>
        <w:rPr>
          <w:color w:val="000000"/>
          <w:vertAlign w:val="superscript"/>
        </w:rPr>
        <w:t>588</w:t>
      </w:r>
      <w:r>
        <w:rPr>
          <w:color w:val="000000"/>
        </w:rPr>
        <w:t xml:space="preserve"> и Стратегија одбране</w:t>
      </w:r>
      <w:r>
        <w:rPr>
          <w:color w:val="000000"/>
          <w:vertAlign w:val="superscript"/>
        </w:rPr>
        <w:t>589</w:t>
      </w:r>
      <w:r>
        <w:rPr>
          <w:color w:val="000000"/>
        </w:rPr>
        <w:t xml:space="preserve"> су фундаментални политички документи у области националне </w:t>
      </w:r>
      <w:r>
        <w:rPr>
          <w:color w:val="000000"/>
        </w:rPr>
        <w:t xml:space="preserve">безбедности и одбране. Позитивна новина је решење које предвиђа да Влада континуирано прати спровођење обе стратегије на основу АП за чију израду је задужено МО, што још није учињено. Законом о планском систему Републике Србије </w:t>
      </w:r>
      <w:r>
        <w:rPr>
          <w:color w:val="000000"/>
        </w:rPr>
        <w:lastRenderedPageBreak/>
        <w:t>који прописује обавезу спров</w:t>
      </w:r>
      <w:r>
        <w:rPr>
          <w:color w:val="000000"/>
        </w:rPr>
        <w:t>ођења ex–ante анализе ефеката, Влада је овлашћена да ближе уређује за која документа јавних политика се та анализа не мора спроводити. То решење је контрадикторно. Уредба о методологији управљања јавним политикама, анализи ефеката јавних политика и прописа</w:t>
      </w:r>
      <w:r>
        <w:rPr>
          <w:color w:val="000000"/>
        </w:rPr>
        <w:t xml:space="preserve"> и садржају појединачних докумената јавних политика</w:t>
      </w:r>
      <w:r>
        <w:rPr>
          <w:color w:val="000000"/>
          <w:vertAlign w:val="superscript"/>
        </w:rPr>
        <w:t>590</w:t>
      </w:r>
      <w:r>
        <w:rPr>
          <w:color w:val="000000"/>
        </w:rPr>
        <w:t xml:space="preserve"> такође регулише када спровођење анализе ефеката није обавезно, па између осталог наводи „документа јавних политика и прописа, на републичком нивоу, који су од значаја за одбрану и безбедност или којима</w:t>
      </w:r>
      <w:r>
        <w:rPr>
          <w:color w:val="000000"/>
        </w:rPr>
        <w:t xml:space="preserve"> се ублажавају или отклањају последице катастрофа, елементарних и других непогода и ванредних ситуација.” Стратегија превенције и сузбијања трговине људима, посебно женама и децом и заштите жртава (2017–2022)</w:t>
      </w:r>
      <w:r>
        <w:rPr>
          <w:color w:val="000000"/>
          <w:vertAlign w:val="superscript"/>
        </w:rPr>
        <w:t>591</w:t>
      </w:r>
      <w:r>
        <w:rPr>
          <w:color w:val="000000"/>
        </w:rPr>
        <w:t xml:space="preserve"> са АП (2017–2018) и АП (2019–2020) је такође</w:t>
      </w:r>
      <w:r>
        <w:rPr>
          <w:color w:val="000000"/>
        </w:rPr>
        <w:t xml:space="preserve"> важан плански документ за област јавне безбедности. Израђен је Предлог акционог плана за период 2021–2022. године за спровођење Стратегије превенције и сузбијања трговине људима посебно женама и децом и заштите жртава за 2017–2022. године.</w:t>
      </w:r>
      <w:r>
        <w:rPr>
          <w:color w:val="000000"/>
          <w:vertAlign w:val="superscript"/>
        </w:rPr>
        <w:t>592</w:t>
      </w:r>
      <w:r>
        <w:rPr>
          <w:color w:val="000000"/>
        </w:rPr>
        <w:t xml:space="preserve"> Именован је </w:t>
      </w:r>
      <w:r>
        <w:rPr>
          <w:color w:val="000000"/>
        </w:rPr>
        <w:t>национални координатор за борбу против трговине људима</w:t>
      </w:r>
      <w:r>
        <w:rPr>
          <w:color w:val="000000"/>
          <w:vertAlign w:val="superscript"/>
        </w:rPr>
        <w:t>593</w:t>
      </w:r>
      <w:r>
        <w:rPr>
          <w:color w:val="000000"/>
        </w:rPr>
        <w:t>, као један од предуслова за њено спровођење. Континуирано се спроводе обуке и семинари намењени полицајцима који раде на предметима трговине људима. Извршене су и одређене организационе промене. У о</w:t>
      </w:r>
      <w:r>
        <w:rPr>
          <w:color w:val="000000"/>
        </w:rPr>
        <w:t>квиру дирекције полиције формирана је Канцеларија за координацију активности у борби против трговине људима. Надлежност за поступање у случајевима трговине људима из Управе граничне полиције прешла је у Управу криминалистичке полиције. У оквиру Службе за б</w:t>
      </w:r>
      <w:r>
        <w:rPr>
          <w:color w:val="000000"/>
        </w:rPr>
        <w:t>орбу против организованог криминала формирано је Одељење за сузбијање трговине људима и кријумчарење људи, са три одсека: Одсек за координацију, анализу и превенцију трговине људима, Одсек за сузбијање трговине људима и Одсек за сузбијање кријумчарења људи</w:t>
      </w:r>
      <w:r>
        <w:rPr>
          <w:color w:val="000000"/>
        </w:rPr>
        <w:t>. Измене су извршене и у оквиру полицијских управа у већим градовима.</w:t>
      </w:r>
      <w:r>
        <w:rPr>
          <w:color w:val="000000"/>
          <w:vertAlign w:val="superscript"/>
        </w:rPr>
        <w:t>594</w:t>
      </w:r>
      <w:r>
        <w:rPr>
          <w:color w:val="000000"/>
        </w:rPr>
        <w:t xml:space="preserve"> У АП за реализацију ове стратегије предвиђено је знатно мање активности. У Извештају коалиције прЕУговор о напретку Републике Србије у Поглављима 23 и 24, наведено је да је из 4 мере </w:t>
      </w:r>
      <w:r>
        <w:rPr>
          <w:color w:val="000000"/>
        </w:rPr>
        <w:t>изостављено 23 активности, од којих се највећи број односи на директну подршку жртвама.</w:t>
      </w:r>
      <w:r>
        <w:rPr>
          <w:color w:val="000000"/>
          <w:vertAlign w:val="superscript"/>
        </w:rPr>
        <w:t>595</w:t>
      </w:r>
      <w:r>
        <w:rPr>
          <w:color w:val="000000"/>
        </w:rPr>
        <w:t xml:space="preserve"> Република Србија је једна од ретких држава чланица УН чији НАП за Резолуцију СБ УН 1325 садржи меру која се односи на разоружање друштва и контролу незаконите тргови</w:t>
      </w:r>
      <w:r>
        <w:rPr>
          <w:color w:val="000000"/>
        </w:rPr>
        <w:t>не малим и лаким оружјем (МиЛО) и родно засновано насиље. У Извештају о резултатима спровођења АП за 2019. и 2020. годину за спровођење Стратегије превенције и сузбијања трговине људима, посебно женама и децом и заштите жртава 2017–2022. године, који је из</w:t>
      </w:r>
      <w:r>
        <w:rPr>
          <w:color w:val="000000"/>
        </w:rPr>
        <w:t>радила мултисекторска Посебна радна група за спровођење и праћење Стратегије превенције и сузбијања трговине људима, посебно женама и децом и заштите жртава 2017–2022. године се наводи: да су одређени задаци нереално постављени, како по обиму, тако и по сп</w:t>
      </w:r>
      <w:r>
        <w:rPr>
          <w:color w:val="000000"/>
        </w:rPr>
        <w:t xml:space="preserve">роводљивости; одређени индикатори су сложено постављени, на које се не може одговорити без дубље анализе; у више различитих активности предвиђени су истоветни </w:t>
      </w:r>
      <w:r>
        <w:rPr>
          <w:color w:val="000000"/>
        </w:rPr>
        <w:lastRenderedPageBreak/>
        <w:t>индикатори, што приликом извештавања о резултатима спровођења доводи до понављања.</w:t>
      </w:r>
      <w:r>
        <w:rPr>
          <w:color w:val="000000"/>
          <w:vertAlign w:val="superscript"/>
        </w:rPr>
        <w:t>596</w:t>
      </w:r>
    </w:p>
    <w:p w:rsidR="00BC3CE6" w:rsidRDefault="009A2DE5">
      <w:pPr>
        <w:spacing w:after="150"/>
      </w:pPr>
      <w:r>
        <w:rPr>
          <w:color w:val="000000"/>
        </w:rPr>
        <w:t>Иако не пом</w:t>
      </w:r>
      <w:r>
        <w:rPr>
          <w:color w:val="000000"/>
        </w:rPr>
        <w:t>иње Резолуцију СБ УН 1325 нова Стратегија контроле малог и лаког оружја (2019–2024), препознаје да „поседовање, употреба, злоупотреба и ефекти малог и лаког оружја испољавају јасне родне димензије” што је у складу са мерама другог НАП-а за имплементацију Р</w:t>
      </w:r>
      <w:r>
        <w:rPr>
          <w:color w:val="000000"/>
        </w:rPr>
        <w:t>езолуције СБ УН 1325 у Републици Србији. ОЦД Центар за истраживање јавних политика кроз активан процес заговарања значајно је допринео увођењу родне димензије контроле МиЛО у НАП и спровео низ истраживања о родној димензији употребе ватреног оружја у перио</w:t>
      </w:r>
      <w:r>
        <w:rPr>
          <w:color w:val="000000"/>
        </w:rPr>
        <w:t>ду од 2017–2019. године подржавајући на тај начин спровођење НАП за Резолуцију СБ УН 1325.</w:t>
      </w:r>
      <w:r>
        <w:rPr>
          <w:color w:val="000000"/>
          <w:vertAlign w:val="superscript"/>
        </w:rPr>
        <w:t>597</w:t>
      </w:r>
      <w:r>
        <w:rPr>
          <w:color w:val="000000"/>
        </w:rPr>
        <w:t xml:space="preserve"> НАП за Резолуцију СБ УН 1325 је компатибилан са Законом о спречавању насиља у породици и Законом о оружју и муницији, који препознају важност превентивног деловањ</w:t>
      </w:r>
      <w:r>
        <w:rPr>
          <w:color w:val="000000"/>
        </w:rPr>
        <w:t>а за шта је значајна и мера одузимања ватреног оружја починиоцима насиља у породици, легализација ватреног оружја у нелегалном поседу и безбедно руковање легалним оружјем, као важних мера у превенцији фемицида. Према налазима Центра за истраживања јавних п</w:t>
      </w:r>
      <w:r>
        <w:rPr>
          <w:color w:val="000000"/>
        </w:rPr>
        <w:t>олитика, грађани су заинтересовани да се укључе у локалне кампање за легализацију оружја као део напора да се унапреди безбедност заједница, а посебно жена и других рањивих група.</w:t>
      </w:r>
      <w:r>
        <w:rPr>
          <w:color w:val="000000"/>
          <w:vertAlign w:val="superscript"/>
        </w:rPr>
        <w:t>598</w:t>
      </w:r>
    </w:p>
    <w:p w:rsidR="00BC3CE6" w:rsidRDefault="009A2DE5">
      <w:pPr>
        <w:spacing w:after="150"/>
      </w:pPr>
      <w:r>
        <w:rPr>
          <w:color w:val="000000"/>
        </w:rPr>
        <w:t>НАП за Резолуцију СБ УН 1325 (2017–2020)</w:t>
      </w:r>
      <w:r>
        <w:rPr>
          <w:color w:val="000000"/>
          <w:vertAlign w:val="superscript"/>
        </w:rPr>
        <w:t>599</w:t>
      </w:r>
      <w:r>
        <w:rPr>
          <w:color w:val="000000"/>
        </w:rPr>
        <w:t xml:space="preserve"> је обухватао пет области: акт</w:t>
      </w:r>
      <w:r>
        <w:rPr>
          <w:color w:val="000000"/>
        </w:rPr>
        <w:t>ери, институционална тела и механизми, превенција, учествовање, заштита и опоравак, као и три прилога. Циљеви, активности, носиоци активности и партнери, потребни ресурси и показатељи учинка били су усмерени ка унапређењу свих аспеката безбедности жена у д</w:t>
      </w:r>
      <w:r>
        <w:rPr>
          <w:color w:val="000000"/>
        </w:rPr>
        <w:t>руштву. Активности су претежно биле усмерене на спречавање насиља према женама у мултинационалним операцијама, у конфликтном и постконфликтном опоравку друштва, кризним и ванредним ситуацијама, са посебним освртом на превентивно деловање, заштиту и опорава</w:t>
      </w:r>
      <w:r>
        <w:rPr>
          <w:color w:val="000000"/>
        </w:rPr>
        <w:t>к жена услед деловања савремених изазова, ризика и претњи безбедности који посебно погађају маргинализоване и вишеструко дискриминисане категорије становништва. Радна група за израду новог НАП-а суочила се са неуједначеним родним евиденцијама у појединим о</w:t>
      </w:r>
      <w:r>
        <w:rPr>
          <w:color w:val="000000"/>
        </w:rPr>
        <w:t>рганима државне управе и локалне самоуправе и неуједначеним системом извештавања који би омогућили да нови НАП садржи прецизне почетне, као и циљане вредности и циљеве које треба достићи до краја 2020. године</w:t>
      </w:r>
      <w:r>
        <w:rPr>
          <w:color w:val="000000"/>
          <w:vertAlign w:val="superscript"/>
        </w:rPr>
        <w:t>600</w:t>
      </w:r>
      <w:r>
        <w:rPr>
          <w:color w:val="000000"/>
        </w:rPr>
        <w:t xml:space="preserve"> У Извештају о спровођењу НАП за примену Резо</w:t>
      </w:r>
      <w:r>
        <w:rPr>
          <w:color w:val="000000"/>
        </w:rPr>
        <w:t>луције СБ УН 1325 у МО и ВС, за 2020. годину,</w:t>
      </w:r>
      <w:r>
        <w:rPr>
          <w:color w:val="000000"/>
          <w:vertAlign w:val="superscript"/>
        </w:rPr>
        <w:t>601</w:t>
      </w:r>
      <w:r>
        <w:rPr>
          <w:color w:val="000000"/>
        </w:rPr>
        <w:t xml:space="preserve"> наводи се да су МО и ВС наставили са спровођењем НАП 1325 ради што обухватнијег и потпунијег остваривања циљева, дефинисаних НАП-ом.</w:t>
      </w:r>
      <w:r>
        <w:rPr>
          <w:color w:val="000000"/>
          <w:vertAlign w:val="superscript"/>
        </w:rPr>
        <w:t>602</w:t>
      </w:r>
      <w:r>
        <w:rPr>
          <w:color w:val="000000"/>
        </w:rPr>
        <w:t xml:space="preserve"> Влада је усвојила измену Закључка о образовању Политичког савета за спр</w:t>
      </w:r>
      <w:r>
        <w:rPr>
          <w:color w:val="000000"/>
        </w:rPr>
        <w:t>овођење НАП за примену Резолуције 1325 СБ УН (2017–2020).</w:t>
      </w:r>
      <w:r>
        <w:rPr>
          <w:color w:val="000000"/>
          <w:vertAlign w:val="superscript"/>
        </w:rPr>
        <w:t>603</w:t>
      </w:r>
      <w:r>
        <w:rPr>
          <w:color w:val="000000"/>
        </w:rPr>
        <w:t xml:space="preserve"> Министар одбране донео је Одлуку о одређивању саветнице министра одбране за спровођење НАП-а за примену Резолуције 1325 СБ УН (2017–2020)</w:t>
      </w:r>
      <w:r>
        <w:rPr>
          <w:color w:val="000000"/>
          <w:vertAlign w:val="superscript"/>
        </w:rPr>
        <w:t>604</w:t>
      </w:r>
      <w:r>
        <w:rPr>
          <w:color w:val="000000"/>
        </w:rPr>
        <w:t xml:space="preserve"> и Решење о образовању Аналитичке групе за спровођење </w:t>
      </w:r>
      <w:r>
        <w:rPr>
          <w:color w:val="000000"/>
        </w:rPr>
        <w:lastRenderedPageBreak/>
        <w:t>Н</w:t>
      </w:r>
      <w:r>
        <w:rPr>
          <w:color w:val="000000"/>
        </w:rPr>
        <w:t>АП за примену Резолуције 1325 СБ УН (2017–2020) из надлежности МО и ВС.</w:t>
      </w:r>
      <w:r>
        <w:rPr>
          <w:color w:val="000000"/>
          <w:vertAlign w:val="superscript"/>
        </w:rPr>
        <w:t>605</w:t>
      </w:r>
      <w:r>
        <w:rPr>
          <w:color w:val="000000"/>
        </w:rPr>
        <w:t xml:space="preserve"> Аналитичка група МО и ВС, формирана 2019. године решењем министра одбране, у току 2020. године израдила je две родне анализе и нацрте годишњег и полугодишњег извештаја о спровођењу </w:t>
      </w:r>
      <w:r>
        <w:rPr>
          <w:color w:val="000000"/>
        </w:rPr>
        <w:t>НАП у МО и ВС. Задатке Мултисекторског тела, које је преименовано у Оперативно тело, сада врши КТРР Владе РС. У току 2020. године у МO и ВС је редовно функционисао механизам за родну равноправност у МО и ВС „особа од поверења” које су, у складу са Инструкц</w:t>
      </w:r>
      <w:r>
        <w:rPr>
          <w:color w:val="000000"/>
        </w:rPr>
        <w:t>ијом о избору и функцији „особе од поверења”</w:t>
      </w:r>
      <w:r>
        <w:rPr>
          <w:color w:val="000000"/>
          <w:vertAlign w:val="superscript"/>
        </w:rPr>
        <w:t>606</w:t>
      </w:r>
      <w:r>
        <w:rPr>
          <w:color w:val="000000"/>
        </w:rPr>
        <w:t xml:space="preserve"> редовно подносиле извештај о свом раду саветници за родну равноправност. Издвајања у буџету РС за МО и ВС у 2020. години су смањена са 93,8 милијарди динара у 2019. на 92,4 милијарди динара.</w:t>
      </w:r>
      <w:r>
        <w:rPr>
          <w:color w:val="000000"/>
          <w:vertAlign w:val="superscript"/>
        </w:rPr>
        <w:t>607</w:t>
      </w:r>
      <w:r>
        <w:rPr>
          <w:color w:val="000000"/>
        </w:rPr>
        <w:t xml:space="preserve"> Буџет за 2020.</w:t>
      </w:r>
      <w:r>
        <w:rPr>
          <w:color w:val="000000"/>
        </w:rPr>
        <w:t xml:space="preserve"> годину је повећан за МУП са 85,2 милијарде динара у 2019. на 109,6 милијарди динара у 2020. години.</w:t>
      </w:r>
      <w:r>
        <w:rPr>
          <w:color w:val="000000"/>
          <w:vertAlign w:val="superscript"/>
        </w:rPr>
        <w:t>608</w:t>
      </w:r>
      <w:r>
        <w:rPr>
          <w:color w:val="000000"/>
        </w:rPr>
        <w:t xml:space="preserve"> У МО и ВС успостављен je процес родно одговорног буџетирања. Средства за активности МО за спровођење НАП за примену Резолуције СБ УН 1325 у току 2020. г</w:t>
      </w:r>
      <w:r>
        <w:rPr>
          <w:color w:val="000000"/>
        </w:rPr>
        <w:t>одине нису коришћена из буџета. МУП је, такође, активно учествовало у примени НАП за примену Резолуције СБ УН 1325. Аналитичка група МУП-а је реализовала бројне активности од којих се могу издвојити именовање контакт особа у полицијским управама за праћење</w:t>
      </w:r>
      <w:r>
        <w:rPr>
          <w:color w:val="000000"/>
        </w:rPr>
        <w:t xml:space="preserve"> спровођења НАП-а, израда родних анализа и Плана МУП-а за спровођење НАП-а, као и Извештаја о спровођењу НАП–а, који су током периода спровођења другог НАП-а достављани Координационом телу за родну равноправност. Аналитичка група и саветница министра за ро</w:t>
      </w:r>
      <w:r>
        <w:rPr>
          <w:color w:val="000000"/>
        </w:rPr>
        <w:t xml:space="preserve">дну равноправност, кроз координацију сарадње са страним партнерима МУП-а, првенствено кроз сарадњу и комуникацију са Канцеларијом Шведске полиције у Београду, иницирала је припрему пројекта „Развијање родне агенде у МУПРС”. Циљеви и активности пројекта су </w:t>
      </w:r>
      <w:r>
        <w:rPr>
          <w:color w:val="000000"/>
        </w:rPr>
        <w:t>базирани на циљевима и активностима дефинисаним у другом НАП-у, како би се системски обезбедила реализација активности из НАП-а, чији је носилац МУП, а посебно у делу повећаног учешћа и улоге жена на полицијским пословима, заштите од насиља и дискриминациј</w:t>
      </w:r>
      <w:r>
        <w:rPr>
          <w:color w:val="000000"/>
        </w:rPr>
        <w:t>е, у области едукације о родној равноправности и начину интеграције у систем какав је полиција, већег броја жена на оперативним пословима и на местима руковођења.</w:t>
      </w:r>
    </w:p>
    <w:p w:rsidR="00BC3CE6" w:rsidRDefault="009A2DE5">
      <w:pPr>
        <w:spacing w:after="150"/>
      </w:pPr>
      <w:r>
        <w:rPr>
          <w:color w:val="000000"/>
        </w:rPr>
        <w:t>Реализација пројекта „Развијање родне агенде у МУПРС”</w:t>
      </w:r>
      <w:r>
        <w:rPr>
          <w:color w:val="000000"/>
          <w:vertAlign w:val="superscript"/>
        </w:rPr>
        <w:t>609</w:t>
      </w:r>
      <w:r>
        <w:rPr>
          <w:color w:val="000000"/>
        </w:rPr>
        <w:t xml:space="preserve"> у оквиру Програма подршке полиције Шведске МУП-у РС” (SPAP II), коју је МУП спроводио уз стручну подршку полиције Краљевине Шведске, као имплементационог партнера и финансијску помоћ и подршку Шведске агенције за развој, започела је 2016. године. Крајем 2</w:t>
      </w:r>
      <w:r>
        <w:rPr>
          <w:color w:val="000000"/>
        </w:rPr>
        <w:t>019. године одобрен је наставак рада на пројекту до краја 2021. године, у циљу обезбеђења одрживости резултата остварених у МУП.</w:t>
      </w:r>
      <w:r>
        <w:rPr>
          <w:color w:val="000000"/>
          <w:vertAlign w:val="superscript"/>
        </w:rPr>
        <w:t>610</w:t>
      </w:r>
      <w:r>
        <w:rPr>
          <w:color w:val="000000"/>
        </w:rPr>
        <w:t xml:space="preserve"> Један од најзначајних исхода пројекта је формирање Мреже жена у полицији крајем 2018. године.</w:t>
      </w:r>
      <w:r>
        <w:rPr>
          <w:color w:val="000000"/>
          <w:vertAlign w:val="superscript"/>
        </w:rPr>
        <w:t>611</w:t>
      </w:r>
      <w:r>
        <w:rPr>
          <w:color w:val="000000"/>
        </w:rPr>
        <w:t xml:space="preserve"> Мрежа представља модел подршке и охрабрења женама у полицији да развијају своје вештине и компетенције како би пружилe допринос ефикасности полиције и подстицај полицијској служби да поштује политику једнаких могућности у свим реформским процесима. МУП је</w:t>
      </w:r>
      <w:r>
        <w:rPr>
          <w:color w:val="000000"/>
        </w:rPr>
        <w:t xml:space="preserve"> први пример </w:t>
      </w:r>
      <w:r>
        <w:rPr>
          <w:color w:val="000000"/>
        </w:rPr>
        <w:lastRenderedPageBreak/>
        <w:t>државне институције у Републици Србији која систематски регулише спречавање дискриминације унутар органа. Механизми РР у сектору безбедности, попут Политичког савета и аналитичких група, били су главни носиоци промена у претходном периоду. Пол</w:t>
      </w:r>
      <w:r>
        <w:rPr>
          <w:color w:val="000000"/>
        </w:rPr>
        <w:t>итички савет пружио је политичку подршку примени плана унутар државних органа у сектору безбедности, а аналитичке групе у МО, МУП, Управи царина, Управи за извршење кривичних санкција и Безбедносно-информативној агенцији су спроводиле активности из плана у</w:t>
      </w:r>
      <w:r>
        <w:rPr>
          <w:color w:val="000000"/>
        </w:rPr>
        <w:t xml:space="preserve"> оквиру својих институција, прикупљале податке и извештавале Мултисекторско тело и Политички савет о напретку у спровођењу првог НАП. Континуирану едукацију чланова ових тела вршили су ОЦД уз подршку донатора, првенствено UN Women и UNDP. Након персоналних</w:t>
      </w:r>
      <w:r>
        <w:rPr>
          <w:color w:val="000000"/>
        </w:rPr>
        <w:t xml:space="preserve"> промена чланова/ца ових тела, њихова активност и утицај је умањен, а тема жене, мир и безбедност маргинализована. Скупштински надзор над спровођењем првог НАП-а вршила је у кратком периоду Комисија за праћење спровођења НАП-а за примену Резолуције СБ УН 1</w:t>
      </w:r>
      <w:r>
        <w:rPr>
          <w:color w:val="000000"/>
        </w:rPr>
        <w:t>325 у Републици Србији. Нова Комисија која би вршила скупштински надзор над применом другог НАП-а није формирана. У претходном периоду Повереница за заштиту равноправности је надзирала рад сектора безбедности, давала мишљења и препоруке за отклањање дискри</w:t>
      </w:r>
      <w:r>
        <w:rPr>
          <w:color w:val="000000"/>
        </w:rPr>
        <w:t>минације и у сарадњи са МУП спроводила активности на примени њиховог АП. Изазови са којима се сусрећу механизми РР у ЈЛС</w:t>
      </w:r>
      <w:r>
        <w:rPr>
          <w:color w:val="000000"/>
          <w:vertAlign w:val="superscript"/>
        </w:rPr>
        <w:t>612</w:t>
      </w:r>
      <w:r>
        <w:rPr>
          <w:color w:val="000000"/>
        </w:rPr>
        <w:t xml:space="preserve"> карактеристични су и за Савете за безбедност у ЈЛС. Од 2015. године интензивирано је оснивање и деловање ових савета. МУП и СКГО, уз</w:t>
      </w:r>
      <w:r>
        <w:rPr>
          <w:color w:val="000000"/>
        </w:rPr>
        <w:t xml:space="preserve"> финансијску подршку ОЕБС-а припремили су Приручник за деловање савета за безбедност у градовима и општинама</w:t>
      </w:r>
      <w:r>
        <w:rPr>
          <w:color w:val="000000"/>
          <w:vertAlign w:val="superscript"/>
        </w:rPr>
        <w:t>613</w:t>
      </w:r>
      <w:r>
        <w:rPr>
          <w:color w:val="000000"/>
        </w:rPr>
        <w:t xml:space="preserve"> који садржи информације о оснивању, надлежностима и значају деловања ових савета у превенцији криминала и стратешком дугорочном планирању превен</w:t>
      </w:r>
      <w:r>
        <w:rPr>
          <w:color w:val="000000"/>
        </w:rPr>
        <w:t>ције у ЈЛС и сл. На основу праћења ситуације у Расинском округу, поводом 20. годишњице Резолуције СБ УН 1325 организован је округли сто на коме је указано на негативан тренд који показује да су „савети за локалну безбедност основани, али да понегде дуго ни</w:t>
      </w:r>
      <w:r>
        <w:rPr>
          <w:color w:val="000000"/>
        </w:rPr>
        <w:t>су именовани чланови, или у њима није било жена, нити ОЦД које ту треба да буду, док су биле заступљене одређене организације којима у тим саветима није место,” као и да је примену НАП за Резолуцију СБ УН 1325 немогуће проценити на нивоу спровођења свих ак</w:t>
      </w:r>
      <w:r>
        <w:rPr>
          <w:color w:val="000000"/>
        </w:rPr>
        <w:t>тивности, услед недовољне транспарентности локалних самоуправа и неажурних јавних података.</w:t>
      </w:r>
      <w:r>
        <w:rPr>
          <w:color w:val="000000"/>
          <w:vertAlign w:val="superscript"/>
        </w:rPr>
        <w:t>614</w:t>
      </w:r>
      <w:r>
        <w:rPr>
          <w:color w:val="000000"/>
        </w:rPr>
        <w:t xml:space="preserve"> Истраживање Националног конвента о ЕУ спроведено након укидања ванредног показало је да су ЈЛС у Србији активирале штабове за ванредне ситуације као део мера за </w:t>
      </w:r>
      <w:r>
        <w:rPr>
          <w:color w:val="000000"/>
        </w:rPr>
        <w:t>координацију релевантних институција и организација у спречавању ширења пандемије на својој територији, као и да су у неким ЈЛС формирани кризни штабови или стручно-оперативни тимови са ужим саставом од штабова за ванредне ситуације.</w:t>
      </w:r>
      <w:r>
        <w:rPr>
          <w:color w:val="000000"/>
          <w:vertAlign w:val="superscript"/>
        </w:rPr>
        <w:t>615</w:t>
      </w:r>
    </w:p>
    <w:p w:rsidR="00BC3CE6" w:rsidRDefault="009A2DE5">
      <w:pPr>
        <w:spacing w:after="150"/>
      </w:pPr>
      <w:r>
        <w:rPr>
          <w:color w:val="000000"/>
        </w:rPr>
        <w:t>Од усвајања НАП-а к</w:t>
      </w:r>
      <w:r>
        <w:rPr>
          <w:color w:val="000000"/>
        </w:rPr>
        <w:t>онстантно се повећава проценат жена запослених у сектору безбедности. Од укупног броја запослених у МО и ВС на крају 2020. године, жене чине 22,94%, што је за 1,01% више него у 2019. години. Међу официрима жене су заступљене са 7,91% (повећање за 0,92%), м</w:t>
      </w:r>
      <w:r>
        <w:rPr>
          <w:color w:val="000000"/>
        </w:rPr>
        <w:t xml:space="preserve">еђу </w:t>
      </w:r>
      <w:r>
        <w:rPr>
          <w:color w:val="000000"/>
        </w:rPr>
        <w:lastRenderedPageBreak/>
        <w:t>подофицирима са 2,40% (повећање за 0,44%), међу професионалним војницима са 15,89% (повећање за 0,48%) и међу цивилним лицима са 52,99% (повећање за 1,02%). Заступљеност жена на командним и руководећим дужностима на крају 2020. године, у односу на укуп</w:t>
      </w:r>
      <w:r>
        <w:rPr>
          <w:color w:val="000000"/>
        </w:rPr>
        <w:t>ан број командних и руководећих дужности у МО и ВС је 8,96% (0,47% више него у 2019. години). За време примене НАП (2017–2020) повећана је заступљеност жена у Војнообавештајној агенцији (ВОА) са око 19,5% на 24%, (повећање за око 4,5%), чему је допринела и</w:t>
      </w:r>
      <w:r>
        <w:rPr>
          <w:color w:val="000000"/>
        </w:rPr>
        <w:t>змена формације ВОА којом је повећан број формацијских места цивилних лица на која жене могу равноправно да аплицирају у складу са потребним квалификацијама. ВОА је, водећи рачуна о родној равноправности, уподобила прописе, тако да на конкурсе за изасланик</w:t>
      </w:r>
      <w:r>
        <w:rPr>
          <w:color w:val="000000"/>
        </w:rPr>
        <w:t>е одбране равноправно могу да конкуришу професионални припадници ВС оба пола. Заступљеност жена у ВС је повећана са 11,7% у 2019. години на 12,35% у 2020. години. Заступљеност жена на командним и руководећим дужностима у ВС је 4,80%, што чини 1,05% укупног</w:t>
      </w:r>
      <w:r>
        <w:rPr>
          <w:color w:val="000000"/>
        </w:rPr>
        <w:t xml:space="preserve"> броја припадника ВС (повећање за 0,15% у односу на 2019. годину). У мултинационалне операције УН и ЕУ, у току 2020. године, упућено је 43 (13,78%) припадница МО и ВС, од укупно 312 упућених припадника (4,34% више у односу на 2019. годину). У школској 2020</w:t>
      </w:r>
      <w:r>
        <w:rPr>
          <w:color w:val="000000"/>
        </w:rPr>
        <w:t>/2021. години на основне студије у Војној академији уписано је 38% девојака, а на интегрисаним академским студијама Медицинског факултета ВМА уписано је 68% девојака, што је благо повећање (за 1%, односно 3%) у односу на 2019. годину. У школској 2020/2021.</w:t>
      </w:r>
      <w:r>
        <w:rPr>
          <w:color w:val="000000"/>
        </w:rPr>
        <w:t xml:space="preserve"> години у први разред Војне гимназије уписано је 57%, а у Средњу стручну војну школу 46% девојака што је знатно више (за 21%, односно 25%) него претходне године. У току 2020. године на Курс слушалаца резервних официра упућено је укупно 88 кандидата, од кој</w:t>
      </w:r>
      <w:r>
        <w:rPr>
          <w:color w:val="000000"/>
        </w:rPr>
        <w:t>их су 26, односно 29,54% биле девојке. У току 2020. године су реализована четири упутна рока на добровољно служење војног рока (март, јун, септембар и децембар) у којима је упућено 1.154 кандидата, од којих су 200 (17,33%) жене.</w:t>
      </w:r>
    </w:p>
    <w:p w:rsidR="00BC3CE6" w:rsidRDefault="009A2DE5">
      <w:pPr>
        <w:spacing w:after="150"/>
      </w:pPr>
      <w:r>
        <w:rPr>
          <w:color w:val="000000"/>
        </w:rPr>
        <w:t>У Министарству унутрашњих п</w:t>
      </w:r>
      <w:r>
        <w:rPr>
          <w:color w:val="000000"/>
        </w:rPr>
        <w:t>ослова, пратећи тренд од 2016. године, до краја 2020. године проценат жена се повећао са 23% на 26%, са тенденцијом раста.</w:t>
      </w:r>
    </w:p>
    <w:p w:rsidR="00BC3CE6" w:rsidRDefault="009A2DE5">
      <w:pPr>
        <w:spacing w:after="150"/>
      </w:pPr>
      <w:r>
        <w:rPr>
          <w:color w:val="000000"/>
        </w:rPr>
        <w:t>Преговори о статусу Аутономне покрајине Косова и Метохије највећи су безбедносни изазов са којим се Република Србија суочава већ годи</w:t>
      </w:r>
      <w:r>
        <w:rPr>
          <w:color w:val="000000"/>
        </w:rPr>
        <w:t>нама, а нарочито током 2020. године. Жене нису учествовале у склапању бројних техничких споразума постигнутих током дијалога, као ни Бриселског споразума из 2013. године. Другим НАП-ом 1325 предвиђено је укључивање родне перспективе и већа заступљеност жен</w:t>
      </w:r>
      <w:r>
        <w:rPr>
          <w:color w:val="000000"/>
        </w:rPr>
        <w:t>а у дијалогу између Београда и Приштине, посебно жена на руководећим позицијама у саставу делегација. Закључци независног мониторинга</w:t>
      </w:r>
      <w:r>
        <w:rPr>
          <w:color w:val="000000"/>
          <w:vertAlign w:val="superscript"/>
        </w:rPr>
        <w:t>617</w:t>
      </w:r>
      <w:r>
        <w:rPr>
          <w:color w:val="000000"/>
        </w:rPr>
        <w:t xml:space="preserve"> преговора Београда и Приштине из перспективе жена указују на то да су жене систематски маргинализоване у формалним проц</w:t>
      </w:r>
      <w:r>
        <w:rPr>
          <w:color w:val="000000"/>
        </w:rPr>
        <w:t xml:space="preserve">есима дијалога и изградње мира. То говори да нема адекватног механизма нити политичке воље за укључивање жена у овај </w:t>
      </w:r>
      <w:r>
        <w:rPr>
          <w:color w:val="000000"/>
        </w:rPr>
        <w:lastRenderedPageBreak/>
        <w:t>процес.</w:t>
      </w:r>
      <w:r>
        <w:rPr>
          <w:color w:val="000000"/>
          <w:vertAlign w:val="superscript"/>
        </w:rPr>
        <w:t>618</w:t>
      </w:r>
      <w:r>
        <w:rPr>
          <w:color w:val="000000"/>
        </w:rPr>
        <w:t xml:space="preserve"> Женске ОЦД, феминисткиње и мировне активисткиње континуирано се залажу за суочавање са прошлошћу и кажњавање ратних злочина што </w:t>
      </w:r>
      <w:r>
        <w:rPr>
          <w:color w:val="000000"/>
        </w:rPr>
        <w:t xml:space="preserve">је од 2017. године део и НАП за примену Резолуције СБ УН 1325, залажу се и за то да транзициона правда буде део политичке агенде у дијалогу и процесу нормализације односа између Срба и Албанаца. Транзициона правда, међутим, није једина тема од интереса за </w:t>
      </w:r>
      <w:r>
        <w:rPr>
          <w:color w:val="000000"/>
        </w:rPr>
        <w:t>грађане и грађанке. Жене у региону Косовске Митровице сматрају да преговарачки тимови не препознају и не покрећу питања која су од интереса за свакодневни живот и жена и мушкараца као што је, на пример, издавање и добијање личних докумената, образовање, за</w:t>
      </w:r>
      <w:r>
        <w:rPr>
          <w:color w:val="000000"/>
        </w:rPr>
        <w:t>пошљавање и безбедност. Зато је неопходно укључивање жена, њихових приоритета и иницијатива женских група и појединки у процес ЕУ интеграција и преговора Београда и Приштине, јер осигурава да постигнути договори буду утемељени у стварним приоритетима и пот</w:t>
      </w:r>
      <w:r>
        <w:rPr>
          <w:color w:val="000000"/>
        </w:rPr>
        <w:t>ребама грађана и грађанки, како би били одрживи у будућности.</w:t>
      </w:r>
      <w:r>
        <w:rPr>
          <w:color w:val="000000"/>
          <w:vertAlign w:val="superscript"/>
        </w:rPr>
        <w:t>619</w:t>
      </w:r>
    </w:p>
    <w:p w:rsidR="00BC3CE6" w:rsidRDefault="009A2DE5">
      <w:pPr>
        <w:spacing w:after="120"/>
        <w:jc w:val="center"/>
      </w:pPr>
      <w:r>
        <w:rPr>
          <w:i/>
          <w:color w:val="000000"/>
        </w:rPr>
        <w:t>5.2.3. Родно засновано насиље и насиље према женама и у породици</w:t>
      </w:r>
    </w:p>
    <w:p w:rsidR="00BC3CE6" w:rsidRDefault="009A2DE5">
      <w:pPr>
        <w:spacing w:after="150"/>
      </w:pPr>
      <w:r>
        <w:rPr>
          <w:color w:val="000000"/>
        </w:rPr>
        <w:t>Насиље уопште, а посебно према женама, најраспрострањенији је и најтежи вид кршења основних људских права. Оно је присутно у м</w:t>
      </w:r>
      <w:r>
        <w:rPr>
          <w:color w:val="000000"/>
        </w:rPr>
        <w:t>едијима који шире мизогине, сексистичке поруке,</w:t>
      </w:r>
      <w:r>
        <w:rPr>
          <w:color w:val="000000"/>
          <w:vertAlign w:val="superscript"/>
        </w:rPr>
        <w:t>620</w:t>
      </w:r>
      <w:r>
        <w:rPr>
          <w:color w:val="000000"/>
        </w:rPr>
        <w:t xml:space="preserve"> као структурно насиље које их искључује из одлучивања, са тржишта рада, из имовине, нових технологија, из политичког и јавног живота.</w:t>
      </w:r>
      <w:r>
        <w:rPr>
          <w:color w:val="000000"/>
          <w:vertAlign w:val="superscript"/>
        </w:rPr>
        <w:t>621</w:t>
      </w:r>
      <w:r>
        <w:rPr>
          <w:color w:val="000000"/>
        </w:rPr>
        <w:t xml:space="preserve"> Насиље према женама присутно је на радном месту, у институцијама где</w:t>
      </w:r>
      <w:r>
        <w:rPr>
          <w:color w:val="000000"/>
        </w:rPr>
        <w:t xml:space="preserve"> би требало да остваре социјалну или здравствену заштиту</w:t>
      </w:r>
      <w:r>
        <w:rPr>
          <w:color w:val="000000"/>
          <w:vertAlign w:val="superscript"/>
        </w:rPr>
        <w:t>622</w:t>
      </w:r>
      <w:r>
        <w:rPr>
          <w:color w:val="000000"/>
        </w:rPr>
        <w:t>, у породици, у партнерским односима. Резултати Истраживања о добробити и безбедности жена</w:t>
      </w:r>
      <w:r>
        <w:rPr>
          <w:color w:val="000000"/>
          <w:vertAlign w:val="superscript"/>
        </w:rPr>
        <w:t>623</w:t>
      </w:r>
      <w:r>
        <w:rPr>
          <w:color w:val="000000"/>
        </w:rPr>
        <w:t xml:space="preserve"> у земљама југоисточне и источне Европе, указују на знатну распрострањеност различитих облика родно засн</w:t>
      </w:r>
      <w:r>
        <w:rPr>
          <w:color w:val="000000"/>
        </w:rPr>
        <w:t>ованог насиља према женама. Подаци из истраживања о распрострањености насиља према женама у Републици Србији су разлог за велику забринутост. Било који облик насиља, укључујући непартнерско и партнерско, као и сексуално узнемиравање и прогањање, од навршен</w:t>
      </w:r>
      <w:r>
        <w:rPr>
          <w:color w:val="000000"/>
        </w:rPr>
        <w:t>е 15. године доживело је 62% жена старости 18–74 године (1,7 милиона жена у Републици Србији). Скоро трећина жена преноси искуство неког облика насиља током детињства.</w:t>
      </w:r>
      <w:r>
        <w:rPr>
          <w:color w:val="000000"/>
          <w:vertAlign w:val="superscript"/>
        </w:rPr>
        <w:t>624</w:t>
      </w:r>
    </w:p>
    <w:p w:rsidR="00BC3CE6" w:rsidRDefault="009A2DE5">
      <w:pPr>
        <w:spacing w:after="150"/>
      </w:pPr>
      <w:r>
        <w:rPr>
          <w:color w:val="000000"/>
        </w:rPr>
        <w:t>У Републици Србији је 2017. године усвојен Закон о спречавању насиља у породици</w:t>
      </w:r>
      <w:r>
        <w:rPr>
          <w:color w:val="000000"/>
          <w:vertAlign w:val="superscript"/>
        </w:rPr>
        <w:t>625</w:t>
      </w:r>
      <w:r>
        <w:rPr>
          <w:color w:val="000000"/>
        </w:rPr>
        <w:t xml:space="preserve"> ка</w:t>
      </w:r>
      <w:r>
        <w:rPr>
          <w:color w:val="000000"/>
        </w:rPr>
        <w:t xml:space="preserve">о један од одговора државе на широку распрострањеност насиља према женама, а циљ овог закона је да се на општи и јединствен начин регулише поступање државних органа првенствено у вези са превенцијом, али и са заштитом од насиља у породици. Већина напора у </w:t>
      </w:r>
      <w:r>
        <w:rPr>
          <w:color w:val="000000"/>
        </w:rPr>
        <w:t>погледу закона и политика углавном је усмерена на насиље у породици као најраспрострањенији вид насиља према женама. Од усвајања до почетка примене Закона, организоване су обавезне лиценциране обуке за полицијске службенике</w:t>
      </w:r>
      <w:r>
        <w:rPr>
          <w:color w:val="000000"/>
          <w:vertAlign w:val="superscript"/>
        </w:rPr>
        <w:t>626</w:t>
      </w:r>
      <w:r>
        <w:rPr>
          <w:color w:val="000000"/>
        </w:rPr>
        <w:t xml:space="preserve"> и за представнике тужилаштва,</w:t>
      </w:r>
      <w:r>
        <w:rPr>
          <w:color w:val="000000"/>
        </w:rPr>
        <w:t xml:space="preserve"> судова и прекршајних судова</w:t>
      </w:r>
      <w:r>
        <w:rPr>
          <w:color w:val="000000"/>
          <w:vertAlign w:val="superscript"/>
        </w:rPr>
        <w:t>627</w:t>
      </w:r>
      <w:r>
        <w:rPr>
          <w:color w:val="000000"/>
        </w:rPr>
        <w:t xml:space="preserve"> али не и за службенике у ЦСР, које Закон и не предвиђа, као ни континуирана обука за представнике других институција које имају обавезу поступања у случајевима насиља. У Посебном извештају </w:t>
      </w:r>
      <w:r>
        <w:rPr>
          <w:color w:val="000000"/>
        </w:rPr>
        <w:lastRenderedPageBreak/>
        <w:t xml:space="preserve">Заштитника грађана о раду гурпа за </w:t>
      </w:r>
      <w:r>
        <w:rPr>
          <w:color w:val="000000"/>
        </w:rPr>
        <w:t>координацију и сарадњу са подручја града Београда</w:t>
      </w:r>
      <w:r>
        <w:rPr>
          <w:color w:val="000000"/>
          <w:vertAlign w:val="superscript"/>
        </w:rPr>
        <w:t>628</w:t>
      </w:r>
      <w:r>
        <w:rPr>
          <w:color w:val="000000"/>
        </w:rPr>
        <w:t>, наводи се да Министарство за рад, запошљавање, борачка и социјална питања и Републички завод за социјалну заштиту, у сарадњи са Правосудном академијом, Службом за управљање кадровима и другим органима и</w:t>
      </w:r>
      <w:r>
        <w:rPr>
          <w:color w:val="000000"/>
        </w:rPr>
        <w:t xml:space="preserve"> установама, треба да обезбеде континуиране обуке стручних радника у ЦСР који примењују Закон о спречавању насиља у породици. Републичко јавно тужилаштво, Министарство за рад, запошљавање, борачка и социјална питања и Министарство унутрашњих послова треба </w:t>
      </w:r>
      <w:r>
        <w:rPr>
          <w:color w:val="000000"/>
        </w:rPr>
        <w:t>да обезбеде континуиране едукације запослених који поступају у случајевима насиља у породици и који су чланови група за координацију и сарадњу, за стицање и унапређење знања и компетенција за превенцију, сузбијање и заштиту од насиља у породици и од злоста</w:t>
      </w:r>
      <w:r>
        <w:rPr>
          <w:color w:val="000000"/>
        </w:rPr>
        <w:t>вљања и занемаривања деце.</w:t>
      </w:r>
    </w:p>
    <w:p w:rsidR="00BC3CE6" w:rsidRDefault="009A2DE5">
      <w:pPr>
        <w:spacing w:after="150"/>
      </w:pPr>
      <w:r>
        <w:rPr>
          <w:color w:val="000000"/>
        </w:rPr>
        <w:t>Праћење примене овог закона указује да постоје изазови у примени члана 17.</w:t>
      </w:r>
      <w:r>
        <w:rPr>
          <w:color w:val="000000"/>
          <w:vertAlign w:val="superscript"/>
        </w:rPr>
        <w:t>629</w:t>
      </w:r>
      <w:r>
        <w:rPr>
          <w:color w:val="000000"/>
        </w:rPr>
        <w:t xml:space="preserve"> и да је неопходно унапредити разумевање права и потреба жртава насиља у породици и других кривичних дела обухваћених Законом. Подаци о примени Закона о</w:t>
      </w:r>
      <w:r>
        <w:rPr>
          <w:color w:val="000000"/>
        </w:rPr>
        <w:t xml:space="preserve"> спречавању насиља у породици у периоду март–август 2020. године, указују на знатна смањења активности надлежних органа – полиције, тужилаштва и ЦСР, што је могло негативно да утиче на заштиту жртава. Полиција је у време ванредног стања због епидемије боле</w:t>
      </w:r>
      <w:r>
        <w:rPr>
          <w:color w:val="000000"/>
        </w:rPr>
        <w:t>сти COVID-19 (март–април) примила за 10% мање пријава догађаја насиља у односу на исти период 2019. године, а овај тренд настављен је и у јулу 2020. године (11% мање пријава догађаја). Број изречених полицијских хитних мера у истом периоду је мањи за 6,6%.</w:t>
      </w:r>
      <w:r>
        <w:rPr>
          <w:color w:val="000000"/>
          <w:vertAlign w:val="superscript"/>
        </w:rPr>
        <w:t>630</w:t>
      </w:r>
      <w:r>
        <w:rPr>
          <w:color w:val="000000"/>
        </w:rPr>
        <w:t xml:space="preserve"> Законом о изменама и допунама Кривичног законика</w:t>
      </w:r>
      <w:r>
        <w:rPr>
          <w:color w:val="000000"/>
          <w:vertAlign w:val="superscript"/>
        </w:rPr>
        <w:t>631</w:t>
      </w:r>
      <w:r>
        <w:rPr>
          <w:color w:val="000000"/>
        </w:rPr>
        <w:t xml:space="preserve"> из 2018. године, уведена су три нова кривична дела: прогањање, полно узнемиравање и принудни брак у циљу усклађивања националног кривичног законодавства са Истанбулском конвенцијом. Из Кривичног закон</w:t>
      </w:r>
      <w:r>
        <w:rPr>
          <w:color w:val="000000"/>
        </w:rPr>
        <w:t>ика уклоњене су одредбе које су предвиђале да се гоњење предузима по предлогу за кривична дела Силовање, Обљуба над немоћним лицем учињена према брачном другу и Недозвољене полне радње. Само увођење нових кривичних дела не представља довољну, сигурну и аде</w:t>
      </w:r>
      <w:r>
        <w:rPr>
          <w:color w:val="000000"/>
        </w:rPr>
        <w:t>кватну заштиту од насиља. Потребна је доследна примена Закона и коришћење предвиђених механизама заштите жртава насиља. Рестриктивно тумачење права главни је узрок лоше правне заштите жртава насиља.</w:t>
      </w:r>
      <w:r>
        <w:rPr>
          <w:color w:val="000000"/>
          <w:vertAlign w:val="superscript"/>
        </w:rPr>
        <w:t>632</w:t>
      </w:r>
      <w:r>
        <w:rPr>
          <w:color w:val="000000"/>
        </w:rPr>
        <w:t xml:space="preserve"> Допуне Закона о азилу из 2018. године, омогућавају жен</w:t>
      </w:r>
      <w:r>
        <w:rPr>
          <w:color w:val="000000"/>
        </w:rPr>
        <w:t>ама из избегличко–мигрантске популације да остваре право на азил по основу родно заснованог насиља које су претрпеле у земљи порекла или у транзиту, и по том основу додељени су азили.</w:t>
      </w:r>
      <w:r>
        <w:rPr>
          <w:color w:val="000000"/>
          <w:vertAlign w:val="superscript"/>
        </w:rPr>
        <w:t>633</w:t>
      </w:r>
      <w:r>
        <w:rPr>
          <w:color w:val="000000"/>
        </w:rPr>
        <w:t xml:space="preserve"> Дуго очекивани Закон о родној равноправности</w:t>
      </w:r>
      <w:r>
        <w:rPr>
          <w:color w:val="000000"/>
          <w:vertAlign w:val="superscript"/>
        </w:rPr>
        <w:t>634</w:t>
      </w:r>
      <w:r>
        <w:rPr>
          <w:color w:val="000000"/>
        </w:rPr>
        <w:t>, као и измене и допун</w:t>
      </w:r>
      <w:r>
        <w:rPr>
          <w:color w:val="000000"/>
        </w:rPr>
        <w:t>е Закона о забрани дискриминације</w:t>
      </w:r>
      <w:r>
        <w:rPr>
          <w:color w:val="000000"/>
          <w:vertAlign w:val="superscript"/>
        </w:rPr>
        <w:t>635</w:t>
      </w:r>
      <w:r>
        <w:rPr>
          <w:color w:val="000000"/>
        </w:rPr>
        <w:t xml:space="preserve"> усвојени су у мају 2021. године. Закон о родној равноправности у уводном делу дефинише појмове родно заснованог насиља, насиља према женама, насиља у породици</w:t>
      </w:r>
      <w:r>
        <w:rPr>
          <w:color w:val="000000"/>
          <w:vertAlign w:val="superscript"/>
        </w:rPr>
        <w:t>636</w:t>
      </w:r>
      <w:r>
        <w:rPr>
          <w:color w:val="000000"/>
        </w:rPr>
        <w:t xml:space="preserve">, узнемиравање, сексуално узнемиравање, сексуално и полно </w:t>
      </w:r>
      <w:r>
        <w:rPr>
          <w:color w:val="000000"/>
        </w:rPr>
        <w:t>уцењивање</w:t>
      </w:r>
      <w:r>
        <w:rPr>
          <w:color w:val="000000"/>
          <w:vertAlign w:val="superscript"/>
        </w:rPr>
        <w:t>637</w:t>
      </w:r>
      <w:r>
        <w:rPr>
          <w:color w:val="000000"/>
        </w:rPr>
        <w:t xml:space="preserve">, у складу са међународним стандардима. У посебном поглављу регулише спречавање родно заснованог насиља и насиља према женама, а нарочито: посебне мере </w:t>
      </w:r>
      <w:r>
        <w:rPr>
          <w:color w:val="000000"/>
        </w:rPr>
        <w:lastRenderedPageBreak/>
        <w:t>(члан 52), обавеза пријављивања насиља (члан 53), опште услуге подршке жртвама родно заснова</w:t>
      </w:r>
      <w:r>
        <w:rPr>
          <w:color w:val="000000"/>
        </w:rPr>
        <w:t>ног насиља (члан 54), специјализоване услуге подршке жртвама насиља (члан 55), програме за учиниоце родно заснованог насиља (члан 56), спречавање родно заснованог насиља (члан 57) и финансијска средства за реализовање општих и посебних услуга подршке (члан</w:t>
      </w:r>
      <w:r>
        <w:rPr>
          <w:color w:val="000000"/>
        </w:rPr>
        <w:t xml:space="preserve"> 58). Усвајањем Закона употпуњен је нормативни оквир родне равноправности у овој области. Стратегија за спречавање и борбу против родно заснованог насиља према женама и насиља у породици за период од 2021. до 2025. године усвојена је у априлу 2021. године </w:t>
      </w:r>
      <w:r>
        <w:rPr>
          <w:color w:val="000000"/>
        </w:rPr>
        <w:t>и припремљен је АП за период 2021–2023. године, чије се усвајање очекује.</w:t>
      </w:r>
    </w:p>
    <w:p w:rsidR="00BC3CE6" w:rsidRDefault="009A2DE5">
      <w:pPr>
        <w:spacing w:after="150"/>
      </w:pPr>
      <w:r>
        <w:rPr>
          <w:color w:val="000000"/>
        </w:rPr>
        <w:t>Обједињена статистика о броју фемицида и убистава жена у Републици Србији још не постоји.</w:t>
      </w:r>
      <w:r>
        <w:rPr>
          <w:color w:val="000000"/>
          <w:vertAlign w:val="superscript"/>
        </w:rPr>
        <w:t>638</w:t>
      </w:r>
      <w:r>
        <w:rPr>
          <w:color w:val="000000"/>
        </w:rPr>
        <w:t xml:space="preserve"> Републички завод за статистику објављује податке о броју умрлих, према узорку смрти и пол</w:t>
      </w:r>
      <w:r>
        <w:rPr>
          <w:color w:val="000000"/>
        </w:rPr>
        <w:t>у, на основу редовног истраживања о умрлима.</w:t>
      </w:r>
      <w:r>
        <w:rPr>
          <w:color w:val="000000"/>
          <w:vertAlign w:val="superscript"/>
        </w:rPr>
        <w:t>639</w:t>
      </w:r>
      <w:r>
        <w:rPr>
          <w:color w:val="000000"/>
        </w:rPr>
        <w:t xml:space="preserve"> Министарство унутрашњих послова израдило је апликацију КДУ (кривична дела и учиниоци) у коју се, у складу са Кривичним закоником, уносе кривичне пријаве и из које се може приказати, разврстано по полу, број у</w:t>
      </w:r>
      <w:r>
        <w:rPr>
          <w:color w:val="000000"/>
        </w:rPr>
        <w:t>бистава, тешких убистава и догађаја са смртним исходом у породичним и партнерским односима, с обзиром да приликом попуњавања кривичне пријаве постоји обавезно поље – сродство. Подаци о броју убијених жена по потреби се достављају и јавно објављују. Према е</w:t>
      </w:r>
      <w:r>
        <w:rPr>
          <w:color w:val="000000"/>
        </w:rPr>
        <w:t>виденцији Мреже Жене против насиља која прикупља податке о броју партнерских убистава жена, током више од две деценије убијено је више од 355 жена, а више од 400 деце је остало без мајки.</w:t>
      </w:r>
      <w:r>
        <w:rPr>
          <w:color w:val="000000"/>
          <w:vertAlign w:val="superscript"/>
        </w:rPr>
        <w:t>640</w:t>
      </w:r>
      <w:r>
        <w:rPr>
          <w:color w:val="000000"/>
        </w:rPr>
        <w:t xml:space="preserve"> Убице су партнери, брачни или ванбрачни а највећи број убистава п</w:t>
      </w:r>
      <w:r>
        <w:rPr>
          <w:color w:val="000000"/>
        </w:rPr>
        <w:t>очињен је ватреним оружјем и ножем.</w:t>
      </w:r>
      <w:r>
        <w:rPr>
          <w:color w:val="000000"/>
          <w:vertAlign w:val="superscript"/>
        </w:rPr>
        <w:t>641</w:t>
      </w:r>
      <w:r>
        <w:rPr>
          <w:color w:val="000000"/>
        </w:rPr>
        <w:t xml:space="preserve"> Истраживање организације FemPlatz и Женског истраживачког центра о фемициду у Републици Србији обухвата случајеве фемицида који су имали судски епилог, али недостаје евиденција случајева убистава жена праћених самоуби</w:t>
      </w:r>
      <w:r>
        <w:rPr>
          <w:color w:val="000000"/>
        </w:rPr>
        <w:t>ством учиниоца.</w:t>
      </w:r>
      <w:r>
        <w:rPr>
          <w:color w:val="000000"/>
          <w:vertAlign w:val="superscript"/>
        </w:rPr>
        <w:t>642</w:t>
      </w:r>
      <w:r>
        <w:rPr>
          <w:color w:val="000000"/>
        </w:rPr>
        <w:t xml:space="preserve"> Анализа судске праксе показала је да се увек изричу санкције које су ближе минимуму прописаних казни (период 2016–2020. године). Промене Кривичног законика нису довеле до промене благе казнене политике судова.</w:t>
      </w:r>
      <w:r>
        <w:rPr>
          <w:color w:val="000000"/>
          <w:vertAlign w:val="superscript"/>
        </w:rPr>
        <w:t>643</w:t>
      </w:r>
      <w:r>
        <w:rPr>
          <w:color w:val="000000"/>
        </w:rPr>
        <w:t xml:space="preserve"> Подаци о стању у области</w:t>
      </w:r>
      <w:r>
        <w:rPr>
          <w:color w:val="000000"/>
        </w:rPr>
        <w:t xml:space="preserve"> насиља према женама још увек нису усклађени, ни доступни. Као отворени подаци, морају се потраживати, давање одговора појединих институција није задовољавајућа, а када се и достављају, подаци нису у формату који је адекватан за праћење примене норми. Зашт</w:t>
      </w:r>
      <w:r>
        <w:rPr>
          <w:color w:val="000000"/>
        </w:rPr>
        <w:t>ита жртава насиља у породици и даље је недовољно ефикасна и делотворна. Добар део пријављених случајева насиља за која нису издата наређења за хитне мере, остаје без планова и праћења. Према Извештају прЕУговор Аларм за 2020. годину, Савет за сузбијање нас</w:t>
      </w:r>
      <w:r>
        <w:rPr>
          <w:color w:val="000000"/>
        </w:rPr>
        <w:t>иља у породици не прати реализацију Закона о спречавању насиља у породици, што успорава и зауставља унапређење заштите и подршке жртвама. Подаци и искуства говоре о нужности боље заштите и подршке жртвама насиља у време пандемије COVID-19. Подаци о раду СО</w:t>
      </w:r>
      <w:r>
        <w:rPr>
          <w:color w:val="000000"/>
        </w:rPr>
        <w:t xml:space="preserve">С телефона у 2019. години указују да није постојала потреба да се формира нови национални СОС телефон. У Републици Србији је проблем насиља према женама повезан и са поседовањем оружја. Од укупног броја </w:t>
      </w:r>
      <w:r>
        <w:rPr>
          <w:color w:val="000000"/>
        </w:rPr>
        <w:lastRenderedPageBreak/>
        <w:t>власника оружја у Републици Србији, мушкарци су власн</w:t>
      </w:r>
      <w:r>
        <w:rPr>
          <w:color w:val="000000"/>
        </w:rPr>
        <w:t>ици 94,7% ватреног оружја.</w:t>
      </w:r>
      <w:r>
        <w:rPr>
          <w:color w:val="000000"/>
          <w:vertAlign w:val="superscript"/>
        </w:rPr>
        <w:t>644</w:t>
      </w:r>
    </w:p>
    <w:p w:rsidR="00BC3CE6" w:rsidRDefault="009A2DE5">
      <w:pPr>
        <w:spacing w:after="150"/>
      </w:pPr>
      <w:r>
        <w:rPr>
          <w:color w:val="000000"/>
        </w:rPr>
        <w:t>Мушкарци су учинили 96,6% свих кривичних дела повезаних са ватреним оружјем.</w:t>
      </w:r>
      <w:r>
        <w:rPr>
          <w:color w:val="000000"/>
          <w:vertAlign w:val="superscript"/>
        </w:rPr>
        <w:t>645</w:t>
      </w:r>
      <w:r>
        <w:rPr>
          <w:color w:val="000000"/>
        </w:rPr>
        <w:t xml:space="preserve"> Република Србија је предузела мере да унапреди нормативни оквир у вези са поседовањем и недозвољеним држањем оружја. Измене Закона о оружју и муни</w:t>
      </w:r>
      <w:r>
        <w:rPr>
          <w:color w:val="000000"/>
        </w:rPr>
        <w:t>цији</w:t>
      </w:r>
      <w:r>
        <w:rPr>
          <w:color w:val="000000"/>
          <w:vertAlign w:val="superscript"/>
        </w:rPr>
        <w:t>646</w:t>
      </w:r>
      <w:r>
        <w:rPr>
          <w:color w:val="000000"/>
        </w:rPr>
        <w:t xml:space="preserve"> садрже две важне новине уведене да би се смањила злоупотреба легалног оружја у поседу грађана. Прва се тиче набављања оружја, и предвиђа да подносилац захтева, поред безбедносне провере, здравствене способности, потврде да није осуђиван и кажњаван и потвр</w:t>
      </w:r>
      <w:r>
        <w:rPr>
          <w:color w:val="000000"/>
        </w:rPr>
        <w:t>де о обучености за руковањем ватреним оружјем, мора да има оправдан захтев за набавку оружја – доказ да му је угрожена лична безбедност или због природе посла. Друга се односи на здравствену способност подносиоца захтева за оружје и доказује се на сваких п</w:t>
      </w:r>
      <w:r>
        <w:rPr>
          <w:color w:val="000000"/>
        </w:rPr>
        <w:t xml:space="preserve">ет година лекарским уверењем. По издавању дозволе, МУП обавештава изабраног лекара да је његовом пацијенту издата дозвола, и лекар је у обавези да пријави МУП-у промене здравственог стања (или сумње) које би утицале на руковање оружјем. Законом о изменама </w:t>
      </w:r>
      <w:r>
        <w:rPr>
          <w:color w:val="000000"/>
        </w:rPr>
        <w:t>и допунама Кривичног законика из 2016. године, пооштрене су казне за недозвољено набављање, држање и ношење оружја, као и за неовлашћену израду, преправљање, продају и размену ватреног оружја. Поседовање ватреног оружја представља значајну безбедносну прет</w:t>
      </w:r>
      <w:r>
        <w:rPr>
          <w:color w:val="000000"/>
        </w:rPr>
        <w:t>њу у случају родно заснованог насиља. У већини случајева, у регистрованим примерима насиља у породици коришћено је илегално (нерегистровано) ватрено оружје, али не изостају и примери злоупотребе легалног оружја. Женама у Републици Србији са искуством насиљ</w:t>
      </w:r>
      <w:r>
        <w:rPr>
          <w:color w:val="000000"/>
        </w:rPr>
        <w:t>а у конфликту, још увек није доступна делотворна заштита. Жене нису препознате као учеснице оружаних сукоба, нити као цивилне жртве рата у законодавству Републике Србије.</w:t>
      </w:r>
      <w:r>
        <w:rPr>
          <w:color w:val="000000"/>
          <w:vertAlign w:val="superscript"/>
        </w:rPr>
        <w:t>647</w:t>
      </w:r>
      <w:r>
        <w:rPr>
          <w:color w:val="000000"/>
        </w:rPr>
        <w:t xml:space="preserve"> Закон о правима бораца, војних инвалида, цивилних инвалида рата и њихових породица</w:t>
      </w:r>
      <w:r>
        <w:rPr>
          <w:color w:val="000000"/>
          <w:vertAlign w:val="superscript"/>
        </w:rPr>
        <w:t>648</w:t>
      </w:r>
      <w:r>
        <w:rPr>
          <w:color w:val="000000"/>
        </w:rPr>
        <w:t xml:space="preserve"> садржи дискриминаторна решења у односу на цивилне жртве рата.</w:t>
      </w:r>
      <w:r>
        <w:rPr>
          <w:color w:val="000000"/>
          <w:vertAlign w:val="superscript"/>
        </w:rPr>
        <w:t>649</w:t>
      </w:r>
      <w:r>
        <w:rPr>
          <w:color w:val="000000"/>
        </w:rPr>
        <w:t xml:space="preserve"> У Србији не постоји никаква врста репарација и признања за жене које су преживеле сексуално насиље у рату.</w:t>
      </w:r>
    </w:p>
    <w:p w:rsidR="00BC3CE6" w:rsidRDefault="009A2DE5">
      <w:pPr>
        <w:spacing w:after="150"/>
        <w:jc w:val="both"/>
      </w:pPr>
      <w:r>
        <w:rPr>
          <w:i/>
          <w:color w:val="000000"/>
        </w:rPr>
        <w:t>––––––––</w:t>
      </w:r>
    </w:p>
    <w:p w:rsidR="00BC3CE6" w:rsidRDefault="009A2DE5">
      <w:pPr>
        <w:spacing w:after="150"/>
        <w:jc w:val="both"/>
      </w:pPr>
      <w:r>
        <w:rPr>
          <w:i/>
          <w:color w:val="000000"/>
        </w:rPr>
        <w:t>498 Доступно на : https://www.secons.net/files/publications/99-publicat</w:t>
      </w:r>
      <w:r>
        <w:rPr>
          <w:i/>
          <w:color w:val="000000"/>
        </w:rPr>
        <w:t>ion.pdf приступ 31.5.2021.</w:t>
      </w:r>
    </w:p>
    <w:p w:rsidR="00BC3CE6" w:rsidRDefault="009A2DE5">
      <w:pPr>
        <w:spacing w:after="150"/>
        <w:jc w:val="both"/>
      </w:pPr>
      <w:r>
        <w:rPr>
          <w:i/>
          <w:color w:val="000000"/>
        </w:rPr>
        <w:t>499 У овом периоду АП није постојао већ је био само припремљен. Документ је подељен на састанку Радне групе за припреми Националне стратегије за родну равноправност, али у овом моменту није доступан на интернету.</w:t>
      </w:r>
    </w:p>
    <w:p w:rsidR="00BC3CE6" w:rsidRDefault="009A2DE5">
      <w:pPr>
        <w:spacing w:after="150"/>
        <w:jc w:val="both"/>
      </w:pPr>
      <w:r>
        <w:rPr>
          <w:i/>
          <w:color w:val="000000"/>
        </w:rPr>
        <w:t>500 Доступно на:</w:t>
      </w:r>
      <w:r>
        <w:rPr>
          <w:i/>
          <w:color w:val="000000"/>
        </w:rPr>
        <w:t xml:space="preserve"> https://rsjp.gov.rs/wp-content/uploads/Agenda-UN-2030.pdf приступ 31.5.2021.</w:t>
      </w:r>
    </w:p>
    <w:p w:rsidR="00BC3CE6" w:rsidRDefault="009A2DE5">
      <w:pPr>
        <w:spacing w:after="150"/>
        <w:jc w:val="both"/>
      </w:pPr>
      <w:r>
        <w:rPr>
          <w:i/>
          <w:color w:val="000000"/>
        </w:rPr>
        <w:t>501 CEDAW/C/SRB/CO/4 од 8.3.2019. доступно на: https://undocs.org/en/CEDAW/C/SRB/CO/4 приступ 31.5.2121.</w:t>
      </w:r>
    </w:p>
    <w:p w:rsidR="00BC3CE6" w:rsidRDefault="009A2DE5">
      <w:pPr>
        <w:spacing w:after="150"/>
        <w:jc w:val="both"/>
      </w:pPr>
      <w:r>
        <w:rPr>
          <w:i/>
          <w:color w:val="000000"/>
        </w:rPr>
        <w:t>502 „Службени гласник РС”, број 101/20.</w:t>
      </w:r>
    </w:p>
    <w:p w:rsidR="00BC3CE6" w:rsidRDefault="009A2DE5">
      <w:pPr>
        <w:spacing w:after="150"/>
        <w:jc w:val="both"/>
      </w:pPr>
      <w:r>
        <w:rPr>
          <w:i/>
          <w:color w:val="000000"/>
        </w:rPr>
        <w:lastRenderedPageBreak/>
        <w:t>503 Доступно на: https://www.mpra</w:t>
      </w:r>
      <w:r>
        <w:rPr>
          <w:i/>
          <w:color w:val="000000"/>
        </w:rPr>
        <w:t>vde.gov.rs/sr/tekst/30402/revidirani-akcioni-plan-za-poglavlje-23-приступ 6.6.2021.</w:t>
      </w:r>
    </w:p>
    <w:p w:rsidR="00BC3CE6" w:rsidRDefault="009A2DE5">
      <w:pPr>
        <w:spacing w:after="150"/>
        <w:jc w:val="both"/>
      </w:pPr>
      <w:r>
        <w:rPr>
          <w:i/>
          <w:color w:val="000000"/>
        </w:rPr>
        <w:t>504</w:t>
      </w:r>
      <w:r>
        <w:rPr>
          <w:i/>
          <w:color w:val="000000"/>
        </w:rPr>
        <w:tab/>
        <w:t>Доступно на: https://www.minrzs.gov.rs/sr/dokumenti/ostalo/sektor-za-socijalnu-zastitu/strategija-za-sprecavanje-i-borbu-protiv-rodno-zasnovanog-nasilja-prema-zenama-i-</w:t>
      </w:r>
      <w:r>
        <w:rPr>
          <w:i/>
          <w:color w:val="000000"/>
        </w:rPr>
        <w:t>nasilja-u-porodici-za-period-2021-2025-godine приступ 8.9.2021.</w:t>
      </w:r>
    </w:p>
    <w:p w:rsidR="00BC3CE6" w:rsidRDefault="009A2DE5">
      <w:pPr>
        <w:spacing w:after="150"/>
        <w:jc w:val="both"/>
      </w:pPr>
      <w:r>
        <w:rPr>
          <w:i/>
          <w:color w:val="000000"/>
        </w:rPr>
        <w:t>505 „Службени гласник РС”, број 52/21.</w:t>
      </w:r>
    </w:p>
    <w:p w:rsidR="00BC3CE6" w:rsidRDefault="009A2DE5">
      <w:pPr>
        <w:spacing w:after="150"/>
        <w:jc w:val="both"/>
      </w:pPr>
      <w:r>
        <w:rPr>
          <w:i/>
          <w:color w:val="000000"/>
        </w:rPr>
        <w:t>506 Први став тачке 1 – 3 Основних начела УН о независности судства – Резолуција Генерална скупштина УН 40/32 (1985) и 40/146 (1985), члан 6 Европске кон</w:t>
      </w:r>
      <w:r>
        <w:rPr>
          <w:i/>
          <w:color w:val="000000"/>
        </w:rPr>
        <w:t>венције за заштиту људских права и слобода, Препорука Комитета министара СЕ (2010)12 о независности, ефикасности и одговорности судија Recommendation CM/Rec(2010)12 of the Committee of Ministers to member states on judges: independence, efficiency and resp</w:t>
      </w:r>
      <w:r>
        <w:rPr>
          <w:i/>
          <w:color w:val="000000"/>
        </w:rPr>
        <w:t>onsibilities (Adopted by the Committee of Ministers on 17 November 2010 at the 1098thmeeting of the Ministers’ Deputies) доступно на: https://rm.coe.int/cmrec-2010-12-on-independence-efficiency-responsibilites-of-judges/16809f007d приступ 2.6.2021.</w:t>
      </w:r>
    </w:p>
    <w:p w:rsidR="00BC3CE6" w:rsidRDefault="009A2DE5">
      <w:pPr>
        <w:spacing w:after="150"/>
        <w:jc w:val="both"/>
      </w:pPr>
      <w:r>
        <w:rPr>
          <w:i/>
          <w:color w:val="000000"/>
        </w:rPr>
        <w:t>507 Чла</w:t>
      </w:r>
      <w:r>
        <w:rPr>
          <w:i/>
          <w:color w:val="000000"/>
        </w:rPr>
        <w:t>н 21. став 1. Устава РС.</w:t>
      </w:r>
    </w:p>
    <w:p w:rsidR="00BC3CE6" w:rsidRDefault="009A2DE5">
      <w:pPr>
        <w:spacing w:after="150"/>
        <w:jc w:val="both"/>
      </w:pPr>
      <w:r>
        <w:rPr>
          <w:i/>
          <w:color w:val="000000"/>
        </w:rPr>
        <w:t>508 Члан 21. став 2. Устава РС.</w:t>
      </w:r>
    </w:p>
    <w:p w:rsidR="00BC3CE6" w:rsidRDefault="009A2DE5">
      <w:pPr>
        <w:spacing w:after="150"/>
        <w:jc w:val="both"/>
      </w:pPr>
      <w:r>
        <w:rPr>
          <w:i/>
          <w:color w:val="000000"/>
        </w:rPr>
        <w:t>509 Члан 22. став 1. Устава РС.</w:t>
      </w:r>
    </w:p>
    <w:p w:rsidR="00BC3CE6" w:rsidRDefault="009A2DE5">
      <w:pPr>
        <w:spacing w:after="150"/>
        <w:jc w:val="both"/>
      </w:pPr>
      <w:r>
        <w:rPr>
          <w:i/>
          <w:color w:val="000000"/>
        </w:rPr>
        <w:t>510 Члан 170. Устава РС.</w:t>
      </w:r>
    </w:p>
    <w:p w:rsidR="00BC3CE6" w:rsidRDefault="009A2DE5">
      <w:pPr>
        <w:spacing w:after="150"/>
        <w:jc w:val="both"/>
      </w:pPr>
      <w:r>
        <w:rPr>
          <w:i/>
          <w:color w:val="000000"/>
        </w:rPr>
        <w:t>511 Члан 22. став. 2. Устава РС.</w:t>
      </w:r>
    </w:p>
    <w:p w:rsidR="00BC3CE6" w:rsidRDefault="009A2DE5">
      <w:pPr>
        <w:spacing w:after="150"/>
        <w:jc w:val="both"/>
      </w:pPr>
      <w:r>
        <w:rPr>
          <w:i/>
          <w:color w:val="000000"/>
        </w:rPr>
        <w:t>512 Најпре 2005. године када је разматрала неколико нацрта устава РС (Мишљење бр. 349/2005 документ CDL-AD(20</w:t>
      </w:r>
      <w:r>
        <w:rPr>
          <w:i/>
          <w:color w:val="000000"/>
        </w:rPr>
        <w:t>05)023), потом шест месеци (март 2007.) након што је Устав РС 2006 установљен и тако одступила од праксе да се мишљење доставља пре усвајања устава. Доступно на: www.venice.coe.int/webforms/documents/default.aspx?pdffile. приступ 11. II 2018. као и током р</w:t>
      </w:r>
      <w:r>
        <w:rPr>
          <w:i/>
          <w:color w:val="000000"/>
        </w:rPr>
        <w:t>ада на припреми амандмана на Устав РС.</w:t>
      </w:r>
    </w:p>
    <w:p w:rsidR="00BC3CE6" w:rsidRDefault="009A2DE5">
      <w:pPr>
        <w:spacing w:after="150"/>
        <w:jc w:val="both"/>
      </w:pPr>
      <w:r>
        <w:rPr>
          <w:i/>
          <w:color w:val="000000"/>
        </w:rPr>
        <w:t>513</w:t>
      </w:r>
      <w:r>
        <w:rPr>
          <w:i/>
          <w:color w:val="000000"/>
        </w:rPr>
        <w:tab/>
        <w:t>Доступно на: https://www.mpravde.gov.rs/files/amandmani%20za%20objavljivanje1.pdf приступ 3.6.2021.</w:t>
      </w:r>
    </w:p>
    <w:p w:rsidR="00BC3CE6" w:rsidRDefault="009A2DE5">
      <w:pPr>
        <w:spacing w:after="150"/>
        <w:jc w:val="both"/>
      </w:pPr>
      <w:r>
        <w:rPr>
          <w:i/>
          <w:color w:val="000000"/>
        </w:rPr>
        <w:t>514</w:t>
      </w:r>
      <w:r>
        <w:rPr>
          <w:i/>
          <w:color w:val="000000"/>
        </w:rPr>
        <w:tab/>
        <w:t xml:space="preserve">Доступно на: </w:t>
      </w:r>
      <w:r>
        <w:rPr>
          <w:i/>
          <w:color w:val="000000"/>
        </w:rPr>
        <w:t>https://vss.sud.rs/sr-lat/saop%C5%A1tenja/saop%C5%A1tenje-visokog-saveta-sudstva-u-vezi-promena-ustava приступ 3.6.2021.</w:t>
      </w:r>
    </w:p>
    <w:p w:rsidR="00BC3CE6" w:rsidRDefault="009A2DE5">
      <w:pPr>
        <w:spacing w:after="150"/>
        <w:jc w:val="both"/>
      </w:pPr>
      <w:r>
        <w:rPr>
          <w:i/>
          <w:color w:val="000000"/>
        </w:rPr>
        <w:t>515 Сведочанство припреме за промену Устава Србије из 2006. и струка. Друштво судија Србије, 2018. Доступно на https://www.sudije.rs/im</w:t>
      </w:r>
      <w:r>
        <w:rPr>
          <w:i/>
          <w:color w:val="000000"/>
        </w:rPr>
        <w:t xml:space="preserve">ages/Dru%C5%A1tvo_sudija_Srbije_-_Svedo%C4%8Danstvo.pdf и Консултативно веће европских судија, доступно </w:t>
      </w:r>
      <w:r>
        <w:rPr>
          <w:i/>
          <w:color w:val="000000"/>
        </w:rPr>
        <w:lastRenderedPageBreak/>
        <w:t>на: https://wcd.coe.int/ViewDoc.jsp?p=&amp;id=2198457&amp;Site=COE&amp;direct=true приступ 3.6.2021.</w:t>
      </w:r>
    </w:p>
    <w:p w:rsidR="00BC3CE6" w:rsidRDefault="009A2DE5">
      <w:pPr>
        <w:spacing w:after="150"/>
        <w:jc w:val="both"/>
      </w:pPr>
      <w:r>
        <w:rPr>
          <w:i/>
          <w:color w:val="000000"/>
        </w:rPr>
        <w:t>516</w:t>
      </w:r>
      <w:r>
        <w:rPr>
          <w:i/>
          <w:color w:val="000000"/>
        </w:rPr>
        <w:tab/>
        <w:t>Доступно на: https://uts.org.rs/images/2018/280218.dvt.misl</w:t>
      </w:r>
      <w:r>
        <w:rPr>
          <w:i/>
          <w:color w:val="000000"/>
        </w:rPr>
        <w:t>jenje.ustav.pdf и Консултативно веће Европских тужилаца доступно на: https://www.uts.org.rs/images/2019/misljenje_CCPE.pdf приступљено 3.6.2021.</w:t>
      </w:r>
    </w:p>
    <w:p w:rsidR="00BC3CE6" w:rsidRDefault="009A2DE5">
      <w:pPr>
        <w:spacing w:after="150"/>
        <w:jc w:val="both"/>
      </w:pPr>
      <w:r>
        <w:rPr>
          <w:i/>
          <w:color w:val="000000"/>
        </w:rPr>
        <w:t>517</w:t>
      </w:r>
      <w:r>
        <w:rPr>
          <w:i/>
          <w:color w:val="000000"/>
        </w:rPr>
        <w:tab/>
        <w:t>ЖПРС формулисала је своје предлоге за промену Устава РС, што је био услов за учешће у јавној расправи и уче</w:t>
      </w:r>
      <w:r>
        <w:rPr>
          <w:i/>
          <w:color w:val="000000"/>
        </w:rPr>
        <w:t>ствовала је у јавној расправи о променама Устава. Доступно на. https://media.genderhub.org.rs/2021/04/Ustavne-promene-iz-ugla-Zenske-platforme.pdf приступ 6.6.2021.</w:t>
      </w:r>
    </w:p>
    <w:p w:rsidR="00BC3CE6" w:rsidRDefault="009A2DE5">
      <w:pPr>
        <w:spacing w:after="150"/>
        <w:jc w:val="both"/>
      </w:pPr>
      <w:r>
        <w:rPr>
          <w:i/>
          <w:color w:val="000000"/>
        </w:rPr>
        <w:t>518 Друштво судија Србије Оп. цит. 2018. доступно на https://www.sudije.rs/images/Dru%C5%A1</w:t>
      </w:r>
      <w:r>
        <w:rPr>
          <w:i/>
          <w:color w:val="000000"/>
        </w:rPr>
        <w:t>tvo_sudija_Srbije_-_Svedo%C4%8Danstvo.pdf приступ 3.6.2021.</w:t>
      </w:r>
    </w:p>
    <w:p w:rsidR="00BC3CE6" w:rsidRDefault="009A2DE5">
      <w:pPr>
        <w:spacing w:after="150"/>
        <w:jc w:val="both"/>
      </w:pPr>
      <w:r>
        <w:rPr>
          <w:i/>
          <w:color w:val="000000"/>
        </w:rPr>
        <w:t>519 Нацрт Амандмани I до XXIX (18.4.2018) доступно на: https://www.paragraf.rs/dnevne-vesti/160418/160418-vest15.html, Нацрт амандмана на Устав Србије I до XXXII. Доступно на: http://www.emins.org</w:t>
      </w:r>
      <w:r>
        <w:rPr>
          <w:i/>
          <w:color w:val="000000"/>
        </w:rPr>
        <w:t>/wp-content/uploads/2018/11/Ustavni-amandmani-IV-verzija-srp.pdf приступ 3.6.2021.</w:t>
      </w:r>
    </w:p>
    <w:p w:rsidR="00BC3CE6" w:rsidRDefault="009A2DE5">
      <w:pPr>
        <w:spacing w:after="150"/>
        <w:jc w:val="both"/>
      </w:pPr>
      <w:r>
        <w:rPr>
          <w:i/>
          <w:color w:val="000000"/>
        </w:rPr>
        <w:t>520 Пандемија КОВИД 19, парламентарни избори одржани су јуна 2020. године.</w:t>
      </w:r>
    </w:p>
    <w:p w:rsidR="00BC3CE6" w:rsidRDefault="009A2DE5">
      <w:pPr>
        <w:spacing w:after="150"/>
        <w:jc w:val="both"/>
      </w:pPr>
      <w:r>
        <w:rPr>
          <w:i/>
          <w:color w:val="000000"/>
        </w:rPr>
        <w:t>521</w:t>
      </w:r>
      <w:r>
        <w:rPr>
          <w:i/>
          <w:color w:val="000000"/>
        </w:rPr>
        <w:tab/>
        <w:t>До сада одржана су јавна слушања 19, 24, 26, 27, 31 маја и 2. јуна. Доступно на: http://www.pa</w:t>
      </w:r>
      <w:r>
        <w:rPr>
          <w:i/>
          <w:color w:val="000000"/>
        </w:rPr>
        <w:t>rlament.gov.rs/aktivnosti/narodna-skupstina/radna-tela/javna-slusanja.3012.html приступљено 3.6.2021.</w:t>
      </w:r>
    </w:p>
    <w:p w:rsidR="00BC3CE6" w:rsidRDefault="009A2DE5">
      <w:pPr>
        <w:spacing w:after="150"/>
        <w:jc w:val="both"/>
      </w:pPr>
      <w:r>
        <w:rPr>
          <w:i/>
          <w:color w:val="000000"/>
        </w:rPr>
        <w:t>522 О отвореним питањима везаним за поступак промене Устава РС видети: Зборник Ревизиона власт у Србији (ур. Шарчевић, и др. Сарајево 2017.; Зборник, Свед</w:t>
      </w:r>
      <w:r>
        <w:rPr>
          <w:i/>
          <w:color w:val="000000"/>
        </w:rPr>
        <w:t>очанство припреме за промену Устава од 2006. године и струка, прилози: Вучић, О, стр. 250–252, Стојановић, Д. стр. 259–263, Пејић, И. стр. Симовић, Д. стр. 243–244, Ненадић, Б. стр 292–293, Ракић, Водинелић В. стр. 322–323; Пајванчић М.: Поступак одлучивањ</w:t>
      </w:r>
      <w:r>
        <w:rPr>
          <w:i/>
          <w:color w:val="000000"/>
        </w:rPr>
        <w:t>а о променама Устава РС, Зборник (ур. Дајовић, Г.) „Српско правосуђе на уставној раскрсници – сведочанство о „дебати” поводом иницијативе за промену Устава РС у области правосуђа”, ЦЕПРИС, 2019, стр. 166–176. Доступно на https://www.cepris.org/wp-content/u</w:t>
      </w:r>
      <w:r>
        <w:rPr>
          <w:i/>
          <w:color w:val="000000"/>
        </w:rPr>
        <w:t>ploads/2019/06/Zbornik-CEPRIS.pdf приступ 3.6.2021.</w:t>
      </w:r>
    </w:p>
    <w:p w:rsidR="00BC3CE6" w:rsidRDefault="009A2DE5">
      <w:pPr>
        <w:spacing w:after="150"/>
        <w:jc w:val="both"/>
      </w:pPr>
      <w:r>
        <w:rPr>
          <w:i/>
          <w:color w:val="000000"/>
        </w:rPr>
        <w:t>523 У више наврата на јавним слушањима наглашена је потреба да РС „анализира постојеће одредбе Устава са становишта општеприхваћених европских и међународних стандарда изражених кроз документа ЕУ, УН, СЕ,</w:t>
      </w:r>
      <w:r>
        <w:rPr>
          <w:i/>
          <w:color w:val="000000"/>
        </w:rPr>
        <w:t xml:space="preserve"> посебно Венецијанске комисије, али и групе држава против корупције ГРЕКО, Европске комисије за ефикасност правосуђа СЕПЕШ, Консултативног </w:t>
      </w:r>
      <w:r>
        <w:rPr>
          <w:i/>
          <w:color w:val="000000"/>
        </w:rPr>
        <w:lastRenderedPageBreak/>
        <w:t>већа европских судија, Консултативног већа европских тужилаца и Европске мреже савета правосуђа.” Доступно на: http:/</w:t>
      </w:r>
      <w:r>
        <w:rPr>
          <w:i/>
          <w:color w:val="000000"/>
        </w:rPr>
        <w:t>/www.parlament.gov.rs/Odr%C5%BEano_Sedmo_javno_slu%C5%A1anje_na_temu_promene_Ustava.41696.941.html приступ 3.6.2021.</w:t>
      </w:r>
    </w:p>
    <w:p w:rsidR="00BC3CE6" w:rsidRDefault="009A2DE5">
      <w:pPr>
        <w:spacing w:after="150"/>
        <w:jc w:val="both"/>
      </w:pPr>
      <w:r>
        <w:rPr>
          <w:i/>
          <w:color w:val="000000"/>
        </w:rPr>
        <w:t>524 „Службени гласник РС”, број 52/21.</w:t>
      </w:r>
    </w:p>
    <w:p w:rsidR="00BC3CE6" w:rsidRDefault="009A2DE5">
      <w:pPr>
        <w:spacing w:after="150"/>
        <w:jc w:val="both"/>
      </w:pPr>
      <w:r>
        <w:rPr>
          <w:i/>
          <w:color w:val="000000"/>
        </w:rPr>
        <w:t>525 „Службени гласник РС”, број 52/21.</w:t>
      </w:r>
    </w:p>
    <w:p w:rsidR="00BC3CE6" w:rsidRDefault="009A2DE5">
      <w:pPr>
        <w:spacing w:after="150"/>
        <w:jc w:val="both"/>
      </w:pPr>
      <w:r>
        <w:rPr>
          <w:i/>
          <w:color w:val="000000"/>
        </w:rPr>
        <w:t>526 Члан 65. Закона о родној равноправности.</w:t>
      </w:r>
    </w:p>
    <w:p w:rsidR="00BC3CE6" w:rsidRDefault="009A2DE5">
      <w:pPr>
        <w:spacing w:after="150"/>
        <w:jc w:val="both"/>
      </w:pPr>
      <w:r>
        <w:rPr>
          <w:i/>
          <w:color w:val="000000"/>
        </w:rPr>
        <w:t>527 „Службени гл</w:t>
      </w:r>
      <w:r>
        <w:rPr>
          <w:i/>
          <w:color w:val="000000"/>
        </w:rPr>
        <w:t>асник РС”, број 87/18.</w:t>
      </w:r>
    </w:p>
    <w:p w:rsidR="00BC3CE6" w:rsidRDefault="009A2DE5">
      <w:pPr>
        <w:spacing w:after="150"/>
        <w:jc w:val="both"/>
      </w:pPr>
      <w:r>
        <w:rPr>
          <w:i/>
          <w:color w:val="000000"/>
        </w:rPr>
        <w:t>528 Члан 4. став 3. Закона о пружању бесплатне правне помоћи.</w:t>
      </w:r>
    </w:p>
    <w:p w:rsidR="00BC3CE6" w:rsidRDefault="009A2DE5">
      <w:pPr>
        <w:spacing w:after="150"/>
        <w:jc w:val="both"/>
      </w:pPr>
      <w:r>
        <w:rPr>
          <w:i/>
          <w:color w:val="000000"/>
        </w:rPr>
        <w:t>529 „Службени гласник РС”, број 41/21.</w:t>
      </w:r>
    </w:p>
    <w:p w:rsidR="00BC3CE6" w:rsidRDefault="009A2DE5">
      <w:pPr>
        <w:spacing w:after="150"/>
        <w:jc w:val="both"/>
      </w:pPr>
      <w:r>
        <w:rPr>
          <w:i/>
          <w:color w:val="000000"/>
        </w:rPr>
        <w:t>530</w:t>
      </w:r>
      <w:r>
        <w:rPr>
          <w:i/>
          <w:color w:val="000000"/>
        </w:rPr>
        <w:tab/>
        <w:t>Доступно на: https://www.mpravde.gov.rs/vest/26213/poziv-za-upis-u-registar-pruzalaca-besplatne-pravne-pomoci-i-besplatne-pravne</w:t>
      </w:r>
      <w:r>
        <w:rPr>
          <w:i/>
          <w:color w:val="000000"/>
        </w:rPr>
        <w:t>-podrske.php, приступ 20.5.2021.</w:t>
      </w:r>
    </w:p>
    <w:p w:rsidR="00BC3CE6" w:rsidRDefault="009A2DE5">
      <w:pPr>
        <w:spacing w:after="150"/>
        <w:jc w:val="both"/>
      </w:pPr>
      <w:r>
        <w:rPr>
          <w:i/>
          <w:color w:val="000000"/>
        </w:rPr>
        <w:t>531 Доступно на: https://www.rtv.rs/sr_lat/drustvo/za-6-meseci-1.902-gradjana-dobilo-besplatnu-pravnu-pomoc_1117081.html, приступ 1.6.2021.</w:t>
      </w:r>
    </w:p>
    <w:p w:rsidR="00BC3CE6" w:rsidRDefault="009A2DE5">
      <w:pPr>
        <w:spacing w:after="150"/>
        <w:jc w:val="both"/>
      </w:pPr>
      <w:r>
        <w:rPr>
          <w:i/>
          <w:color w:val="000000"/>
        </w:rPr>
        <w:t>532 Извештај Министарства правде о спровођењу Закона о бесплатној правној помоћи од</w:t>
      </w:r>
      <w:r>
        <w:rPr>
          <w:i/>
          <w:color w:val="000000"/>
        </w:rPr>
        <w:t xml:space="preserve"> 31. март 2020. године. https://www.mpravde.gov.rs/files/Izvestaj%20o%20sprovodjenju%20ZBPP% 201.okt%20 do%2031. %20marta.pdf приступ 1.9.2021.</w:t>
      </w:r>
    </w:p>
    <w:p w:rsidR="00BC3CE6" w:rsidRDefault="009A2DE5">
      <w:pPr>
        <w:spacing w:after="150"/>
        <w:jc w:val="both"/>
      </w:pPr>
      <w:r>
        <w:rPr>
          <w:i/>
          <w:color w:val="000000"/>
        </w:rPr>
        <w:t>533 Исто.</w:t>
      </w:r>
    </w:p>
    <w:p w:rsidR="00BC3CE6" w:rsidRDefault="009A2DE5">
      <w:pPr>
        <w:spacing w:after="150"/>
        <w:jc w:val="both"/>
      </w:pPr>
      <w:r>
        <w:rPr>
          <w:i/>
          <w:color w:val="000000"/>
        </w:rPr>
        <w:t>534 Члан 9. став 1. Закона о пружању бесплатне правне помоћи. Регистар пружалаца правне помоћи и беспл</w:t>
      </w:r>
      <w:r>
        <w:rPr>
          <w:i/>
          <w:color w:val="000000"/>
        </w:rPr>
        <w:t>атне правне подршке доступан на: https://www.mpravde.gov.rs/sr/tekst/26350/registar-pruzalaca-besplatne-pravne-pomoci-i-besplatne- pravne-podrske.php приступ 1.6.2021.</w:t>
      </w:r>
    </w:p>
    <w:p w:rsidR="00BC3CE6" w:rsidRDefault="009A2DE5">
      <w:pPr>
        <w:spacing w:after="150"/>
        <w:jc w:val="both"/>
      </w:pPr>
      <w:r>
        <w:rPr>
          <w:i/>
          <w:color w:val="000000"/>
        </w:rPr>
        <w:t>535</w:t>
      </w:r>
      <w:r>
        <w:rPr>
          <w:i/>
          <w:color w:val="000000"/>
        </w:rPr>
        <w:tab/>
        <w:t xml:space="preserve">Доступно на: </w:t>
      </w:r>
      <w:r>
        <w:rPr>
          <w:i/>
          <w:color w:val="000000"/>
        </w:rPr>
        <w:t>https://www.drzavnauprava.gov.rs/tekst/26350/registar-pruzalaca-besplatne-pravne-pomoci-i-besplatne-pravne-podrske.php. приступ 1.6.2021.</w:t>
      </w:r>
    </w:p>
    <w:p w:rsidR="00BC3CE6" w:rsidRDefault="009A2DE5">
      <w:pPr>
        <w:spacing w:after="150"/>
        <w:jc w:val="both"/>
      </w:pPr>
      <w:r>
        <w:rPr>
          <w:i/>
          <w:color w:val="000000"/>
        </w:rPr>
        <w:t>536 Члан 9. став 5. Закона о пружању бесплатне правне помоћи.</w:t>
      </w:r>
    </w:p>
    <w:p w:rsidR="00BC3CE6" w:rsidRDefault="009A2DE5">
      <w:pPr>
        <w:spacing w:after="150"/>
        <w:jc w:val="both"/>
      </w:pPr>
      <w:r>
        <w:rPr>
          <w:i/>
          <w:color w:val="000000"/>
        </w:rPr>
        <w:t>537 Члан 58. став 1. тачка 2. Закона о пружању бесплатне</w:t>
      </w:r>
      <w:r>
        <w:rPr>
          <w:i/>
          <w:color w:val="000000"/>
        </w:rPr>
        <w:t xml:space="preserve"> правне помоћи.</w:t>
      </w:r>
    </w:p>
    <w:p w:rsidR="00BC3CE6" w:rsidRDefault="009A2DE5">
      <w:pPr>
        <w:spacing w:after="150"/>
        <w:jc w:val="both"/>
      </w:pPr>
      <w:r>
        <w:rPr>
          <w:i/>
          <w:color w:val="000000"/>
        </w:rPr>
        <w:t>538 Члан 12. Закона о бесплатној правној помоћи.</w:t>
      </w:r>
    </w:p>
    <w:p w:rsidR="00BC3CE6" w:rsidRDefault="009A2DE5">
      <w:pPr>
        <w:spacing w:after="150"/>
        <w:jc w:val="both"/>
      </w:pPr>
      <w:r>
        <w:rPr>
          <w:i/>
          <w:color w:val="000000"/>
        </w:rPr>
        <w:t>539</w:t>
      </w:r>
      <w:r>
        <w:rPr>
          <w:i/>
          <w:color w:val="000000"/>
        </w:rPr>
        <w:tab/>
        <w:t xml:space="preserve">На пример, све општине у Севернобачком округу пружају бесплатну правну помоћ, наспрам само 25% општина Зајечарског округа. Видети: Филиповић, М. Закон о бесплатној правној помоћи – Првих </w:t>
      </w:r>
      <w:r>
        <w:rPr>
          <w:i/>
          <w:color w:val="000000"/>
        </w:rPr>
        <w:t>шест месеци примене, YUCOM – Комитет правника за људска права, Београд, 2020. Доступно на: https://www.yucom.org.rs/zakon-o-besplatnoj-pravnoj-pomoci-prvih-sest-meseci-primene/ приступ 8.9.2021.</w:t>
      </w:r>
    </w:p>
    <w:p w:rsidR="00BC3CE6" w:rsidRDefault="009A2DE5">
      <w:pPr>
        <w:spacing w:after="150"/>
        <w:jc w:val="both"/>
      </w:pPr>
      <w:r>
        <w:rPr>
          <w:i/>
          <w:color w:val="000000"/>
        </w:rPr>
        <w:lastRenderedPageBreak/>
        <w:t>540</w:t>
      </w:r>
      <w:r>
        <w:rPr>
          <w:i/>
          <w:color w:val="000000"/>
        </w:rPr>
        <w:tab/>
        <w:t>Видети Извештај Министарства правде о спровођењу Закона о</w:t>
      </w:r>
      <w:r>
        <w:rPr>
          <w:i/>
          <w:color w:val="000000"/>
        </w:rPr>
        <w:t xml:space="preserve"> бесплатној правној помоћи. Доступно на: https://mpravde.gov.rs/files/Izvestaj%20o%20sprovodjenju%20ZBPP%201.okt%20do%2031.%20marta.pdf, приступ 1.6.2021.</w:t>
      </w:r>
    </w:p>
    <w:p w:rsidR="00BC3CE6" w:rsidRDefault="009A2DE5">
      <w:pPr>
        <w:spacing w:after="150"/>
        <w:jc w:val="both"/>
      </w:pPr>
      <w:r>
        <w:rPr>
          <w:i/>
          <w:color w:val="000000"/>
        </w:rPr>
        <w:t>541 Члан 9. став 2. Закона о бесплатној правној помоћи.</w:t>
      </w:r>
    </w:p>
    <w:p w:rsidR="00BC3CE6" w:rsidRDefault="009A2DE5">
      <w:pPr>
        <w:spacing w:after="150"/>
        <w:jc w:val="both"/>
      </w:pPr>
      <w:r>
        <w:rPr>
          <w:i/>
          <w:color w:val="000000"/>
        </w:rPr>
        <w:t xml:space="preserve">542 Начин вођења евиденције регулисан је </w:t>
      </w:r>
      <w:r>
        <w:rPr>
          <w:i/>
          <w:color w:val="000000"/>
        </w:rPr>
        <w:t>Правилником о начину вођења евиденције о пруженој бесплатној правној помоћи и бесплатној правној подршци („Службени гласник РС”, број 68/19).</w:t>
      </w:r>
    </w:p>
    <w:p w:rsidR="00BC3CE6" w:rsidRDefault="009A2DE5">
      <w:pPr>
        <w:spacing w:after="150"/>
        <w:jc w:val="both"/>
      </w:pPr>
      <w:r>
        <w:rPr>
          <w:i/>
          <w:color w:val="000000"/>
        </w:rPr>
        <w:t>543 Члан 65. Закона о родној равноправности.</w:t>
      </w:r>
    </w:p>
    <w:p w:rsidR="00BC3CE6" w:rsidRDefault="009A2DE5">
      <w:pPr>
        <w:spacing w:after="150"/>
        <w:jc w:val="both"/>
      </w:pPr>
      <w:r>
        <w:rPr>
          <w:i/>
          <w:color w:val="000000"/>
        </w:rPr>
        <w:t>544</w:t>
      </w:r>
      <w:r>
        <w:rPr>
          <w:i/>
          <w:color w:val="000000"/>
        </w:rPr>
        <w:tab/>
        <w:t>Више: Бекер, К. и др. Извештај о правима жена и родној равноправн</w:t>
      </w:r>
      <w:r>
        <w:rPr>
          <w:i/>
          <w:color w:val="000000"/>
        </w:rPr>
        <w:t>ости у Србији за 2019. стр. 65–67 FemPlatz, 2020. стр. 65–67 доступно на: https://www.femplatz.org као и https://www.femplatz.org/library/reports/2020-08-10_PreneraZena.pdf приступ 31.5.2021.</w:t>
      </w:r>
    </w:p>
    <w:p w:rsidR="00BC3CE6" w:rsidRDefault="009A2DE5">
      <w:pPr>
        <w:spacing w:after="150"/>
        <w:jc w:val="both"/>
      </w:pPr>
      <w:r>
        <w:rPr>
          <w:i/>
          <w:color w:val="000000"/>
        </w:rPr>
        <w:t>545 Закон о седиштима и подручјима судова и јавних тужилаштава „</w:t>
      </w:r>
      <w:r>
        <w:rPr>
          <w:i/>
          <w:color w:val="000000"/>
        </w:rPr>
        <w:t>Службени гласник РС”, брoj 101/13.</w:t>
      </w:r>
    </w:p>
    <w:p w:rsidR="00BC3CE6" w:rsidRDefault="009A2DE5">
      <w:pPr>
        <w:spacing w:after="150"/>
        <w:jc w:val="both"/>
      </w:pPr>
      <w:r>
        <w:rPr>
          <w:i/>
          <w:color w:val="000000"/>
        </w:rPr>
        <w:t>546 Закон о судским таксама „Службени гласник РС”, бр. 28/94, 53/95, 16/97, 34/01 – др. закон, 9/02, 29/04, 61/05, 116/08 – др. закон, 31/09, 101/11, 93/12, 93/14, 106/15 и 95/18.</w:t>
      </w:r>
    </w:p>
    <w:p w:rsidR="00BC3CE6" w:rsidRDefault="009A2DE5">
      <w:pPr>
        <w:spacing w:after="150"/>
        <w:jc w:val="both"/>
      </w:pPr>
      <w:r>
        <w:rPr>
          <w:i/>
          <w:color w:val="000000"/>
        </w:rPr>
        <w:t xml:space="preserve">547 На пример, житељи Крајишника удаљени </w:t>
      </w:r>
      <w:r>
        <w:rPr>
          <w:i/>
          <w:color w:val="000000"/>
        </w:rPr>
        <w:t>су од Основног суда и Основног јавног тужилаштва у Зрењанину 57 km. У општинама Сечањ и Житиште које су им ближе не постоји основни суд нити основно јавно тужилаштво. (члан 3. став 1. тачка 21. и члан 9. став 1. тачка 20. Закона о седиштима и подручјима су</w:t>
      </w:r>
      <w:r>
        <w:rPr>
          <w:i/>
          <w:color w:val="000000"/>
        </w:rPr>
        <w:t>дова и јавних тужилаштава, „Службени гласник РС” бр. 101/13).</w:t>
      </w:r>
    </w:p>
    <w:p w:rsidR="00BC3CE6" w:rsidRDefault="009A2DE5">
      <w:pPr>
        <w:spacing w:after="150"/>
        <w:jc w:val="both"/>
      </w:pPr>
      <w:r>
        <w:rPr>
          <w:i/>
          <w:color w:val="000000"/>
        </w:rPr>
        <w:t>548 Члан 7. Правилника о накнади трошкова у судским поступцима, „Службени гласник РС”, бр. 57/03 и 69/11.</w:t>
      </w:r>
    </w:p>
    <w:p w:rsidR="00BC3CE6" w:rsidRDefault="009A2DE5">
      <w:pPr>
        <w:spacing w:after="150"/>
        <w:jc w:val="both"/>
      </w:pPr>
      <w:r>
        <w:rPr>
          <w:i/>
          <w:color w:val="000000"/>
        </w:rPr>
        <w:t>549 Чланови 2. и 7. Правилника о тарифи, наградама и накнадама трошкова за рад извршитељ</w:t>
      </w:r>
      <w:r>
        <w:rPr>
          <w:i/>
          <w:color w:val="000000"/>
        </w:rPr>
        <w:t>а „Службени гласник РС”, број 50/12.</w:t>
      </w:r>
    </w:p>
    <w:p w:rsidR="00BC3CE6" w:rsidRDefault="009A2DE5">
      <w:pPr>
        <w:spacing w:after="150"/>
        <w:jc w:val="both"/>
      </w:pPr>
      <w:r>
        <w:rPr>
          <w:i/>
          <w:color w:val="000000"/>
        </w:rPr>
        <w:t>550 Више: Пајванчић, М.: Наша урушена права, ФЕС, 2019., стр. 9–13. Доступно на: http://library.fes.de/pdf-files/bueros/belgrad/15439.pdf приступ 31.5.2021.</w:t>
      </w:r>
    </w:p>
    <w:p w:rsidR="00BC3CE6" w:rsidRDefault="009A2DE5">
      <w:pPr>
        <w:spacing w:after="150"/>
        <w:jc w:val="both"/>
      </w:pPr>
      <w:r>
        <w:rPr>
          <w:i/>
          <w:color w:val="000000"/>
        </w:rPr>
        <w:t>551</w:t>
      </w:r>
      <w:r>
        <w:rPr>
          <w:i/>
          <w:color w:val="000000"/>
        </w:rPr>
        <w:tab/>
        <w:t>Анализа судске праксе – Поступање судова по предлогу за ос</w:t>
      </w:r>
      <w:r>
        <w:rPr>
          <w:i/>
          <w:color w:val="000000"/>
        </w:rPr>
        <w:t>лобађање од плаћања судских трошкова у парничној материји, Београд: YUCOM, 2018. страна 2. Доступно на: https://www.yucom.org.rs/wp-content/uploads/2018/06/Analiza-sudske-prakse-Postupanje-sudova-po-predlogu-za-osloba%C4%91anje-od-pla%C4%87anja-sudskih-tro</w:t>
      </w:r>
      <w:r>
        <w:rPr>
          <w:i/>
          <w:color w:val="000000"/>
        </w:rPr>
        <w:t>%C5%A1kova-u-parni%C4%8Dnoj-materiji.pdf. приступ 31.5.2021.</w:t>
      </w:r>
    </w:p>
    <w:p w:rsidR="00BC3CE6" w:rsidRDefault="009A2DE5">
      <w:pPr>
        <w:spacing w:after="150"/>
        <w:jc w:val="both"/>
      </w:pPr>
      <w:r>
        <w:rPr>
          <w:i/>
          <w:color w:val="000000"/>
        </w:rPr>
        <w:t>552 „Службени гласник РС”, број 40/15.</w:t>
      </w:r>
    </w:p>
    <w:p w:rsidR="00BC3CE6" w:rsidRDefault="009A2DE5">
      <w:pPr>
        <w:spacing w:after="150"/>
        <w:jc w:val="both"/>
      </w:pPr>
      <w:r>
        <w:rPr>
          <w:i/>
          <w:color w:val="000000"/>
        </w:rPr>
        <w:lastRenderedPageBreak/>
        <w:t>553 Више: Пајванчић, М. Анализа начина одлучивања Уставног суда у: Бељански, С. Уставног суда и судске власти – стање и перспективе, ЦЕПРИС, 2019. стр. 33–3</w:t>
      </w:r>
      <w:r>
        <w:rPr>
          <w:i/>
          <w:color w:val="000000"/>
        </w:rPr>
        <w:t>8. Доступно на: https://www.cepris. org/wp-content/uploads/2019/10/CEPRIS-Odnos-Ustavnog-suda-i-sudske-vlasti2.pdf приступ 14.6.2020.</w:t>
      </w:r>
    </w:p>
    <w:p w:rsidR="00BC3CE6" w:rsidRDefault="009A2DE5">
      <w:pPr>
        <w:spacing w:after="150"/>
        <w:jc w:val="both"/>
      </w:pPr>
      <w:r>
        <w:rPr>
          <w:i/>
          <w:color w:val="000000"/>
        </w:rPr>
        <w:t>554 Преглед рада Уставног суда за 2017. страна 10. Доступно на: http://www.ustavni.sud.rs/page/view/137-101100/pregled-rad</w:t>
      </w:r>
      <w:r>
        <w:rPr>
          <w:i/>
          <w:color w:val="000000"/>
        </w:rPr>
        <w:t>a приступ 23.2.2019.</w:t>
      </w:r>
    </w:p>
    <w:p w:rsidR="00BC3CE6" w:rsidRDefault="009A2DE5">
      <w:pPr>
        <w:spacing w:after="150"/>
        <w:jc w:val="both"/>
      </w:pPr>
      <w:r>
        <w:rPr>
          <w:i/>
          <w:color w:val="000000"/>
        </w:rPr>
        <w:t>555 На пример, број уставних жалби у 2008. години био је 1927, да би у 2017. години достигао 25 846. Доступно на: http://www.ustavni.sud.rs/page/view/137-101100/pregled-rada приступљено 23.2.2019.</w:t>
      </w:r>
    </w:p>
    <w:p w:rsidR="00BC3CE6" w:rsidRDefault="009A2DE5">
      <w:pPr>
        <w:spacing w:after="150"/>
        <w:jc w:val="both"/>
      </w:pPr>
      <w:r>
        <w:rPr>
          <w:i/>
          <w:color w:val="000000"/>
        </w:rPr>
        <w:t>556 Више: Пајванчић, М. Оп. цит. 2019,</w:t>
      </w:r>
      <w:r>
        <w:rPr>
          <w:i/>
          <w:color w:val="000000"/>
        </w:rPr>
        <w:t xml:space="preserve"> страна</w:t>
      </w:r>
    </w:p>
    <w:p w:rsidR="00BC3CE6" w:rsidRDefault="009A2DE5">
      <w:pPr>
        <w:spacing w:after="150"/>
        <w:jc w:val="both"/>
      </w:pPr>
      <w:r>
        <w:rPr>
          <w:i/>
          <w:color w:val="000000"/>
        </w:rPr>
        <w:t>557 На пример, у 2018. години Уставни суд је одбацио 87,06% уставних жалби, а свега 12, 94% су мериторно решене.</w:t>
      </w:r>
    </w:p>
    <w:p w:rsidR="00BC3CE6" w:rsidRDefault="009A2DE5">
      <w:pPr>
        <w:spacing w:after="150"/>
        <w:jc w:val="both"/>
      </w:pPr>
      <w:r>
        <w:rPr>
          <w:i/>
          <w:color w:val="000000"/>
        </w:rPr>
        <w:t>558 Видети: Пајванчић, М. и др. Оп. цит. 2019, страна 37.</w:t>
      </w:r>
    </w:p>
    <w:p w:rsidR="00BC3CE6" w:rsidRDefault="009A2DE5">
      <w:pPr>
        <w:spacing w:after="150"/>
        <w:jc w:val="both"/>
      </w:pPr>
      <w:r>
        <w:rPr>
          <w:i/>
          <w:color w:val="000000"/>
        </w:rPr>
        <w:t>559 Ставови Уставног суда утврђени 2009, 2010, 2011, 2012, 2019. доступно на:</w:t>
      </w:r>
      <w:r>
        <w:rPr>
          <w:i/>
          <w:color w:val="000000"/>
        </w:rPr>
        <w:t xml:space="preserve"> http://www.ustavni.sud.rs/page/view/163-100890/stavovi-suda приступљено 23.2.2019.</w:t>
      </w:r>
    </w:p>
    <w:p w:rsidR="00BC3CE6" w:rsidRDefault="009A2DE5">
      <w:pPr>
        <w:spacing w:after="150"/>
        <w:jc w:val="both"/>
      </w:pPr>
      <w:r>
        <w:rPr>
          <w:i/>
          <w:color w:val="000000"/>
        </w:rPr>
        <w:t>560 На пример: рок у коме се може изјавити, посебно у случају пропуштања; допуна и благовременост накнадних поднесака; дозвољеност ревизије; обавезна садржину уставне жалбе</w:t>
      </w:r>
      <w:r>
        <w:rPr>
          <w:i/>
          <w:color w:val="000000"/>
        </w:rPr>
        <w:t>; поступак мериторног одлучивања посебно изрека одлуке којом се жалба усваја, отклањање штетних последица и накнада штете; структура образложења одлуке којом се уставна жалба усваја; оцена уставности у општег акта у поступку одлучивања по уставној жалби; п</w:t>
      </w:r>
      <w:r>
        <w:rPr>
          <w:i/>
          <w:color w:val="000000"/>
        </w:rPr>
        <w:t>оступак преиспитивања уставне жалбе; поступање по представци, жалби или уставној жалби изјављеној против одлуке, решења или закључка Уставног суда и др. Више: Пајванчић, М. и др. Оп. цит. 2019.</w:t>
      </w:r>
    </w:p>
    <w:p w:rsidR="00BC3CE6" w:rsidRDefault="009A2DE5">
      <w:pPr>
        <w:spacing w:after="150"/>
        <w:jc w:val="both"/>
      </w:pPr>
      <w:r>
        <w:rPr>
          <w:i/>
          <w:color w:val="000000"/>
        </w:rPr>
        <w:t>561 На пример, Закон о уређењу судова, Закон о судијама, Закон</w:t>
      </w:r>
      <w:r>
        <w:rPr>
          <w:i/>
          <w:color w:val="000000"/>
        </w:rPr>
        <w:t xml:space="preserve"> о јавном тужилаштву, Закон о Високом савету судства, Закон о Државном већу тужилаца, Закон о седиштима и подручјима судова и тужилаштава, Закон о полагању правосудног испита, Закон о правосудној академији.</w:t>
      </w:r>
    </w:p>
    <w:p w:rsidR="00BC3CE6" w:rsidRDefault="009A2DE5">
      <w:pPr>
        <w:spacing w:after="150"/>
        <w:jc w:val="both"/>
      </w:pPr>
      <w:r>
        <w:rPr>
          <w:i/>
          <w:color w:val="000000"/>
        </w:rPr>
        <w:t>562 На пример, Закон о привременом уређивању начи</w:t>
      </w:r>
      <w:r>
        <w:rPr>
          <w:i/>
          <w:color w:val="000000"/>
        </w:rPr>
        <w:t>на исплате пензија који је повредио имовинско право великог броја пензионера искључио је могућност коришћења било ког инструмента за заштиту права. Видети, Пајванчић, М. и др. Оп. цит. стр. 40–47, 2019.</w:t>
      </w:r>
    </w:p>
    <w:p w:rsidR="00BC3CE6" w:rsidRDefault="009A2DE5">
      <w:pPr>
        <w:spacing w:after="150"/>
        <w:jc w:val="both"/>
      </w:pPr>
      <w:r>
        <w:rPr>
          <w:i/>
          <w:color w:val="000000"/>
        </w:rPr>
        <w:t>563 Уставни суд је 2020. године решевајући по предлог</w:t>
      </w:r>
      <w:r>
        <w:rPr>
          <w:i/>
          <w:color w:val="000000"/>
        </w:rPr>
        <w:t>у Повереника за равноправност утврдио да одредбе Закона о финансијској подршци породици са децом које неједнако третирају пољопривредне осигуранице нису у сагласности са Уставом (Одлука ИУз-216/2018).</w:t>
      </w:r>
    </w:p>
    <w:p w:rsidR="00BC3CE6" w:rsidRDefault="009A2DE5">
      <w:pPr>
        <w:spacing w:after="150"/>
        <w:jc w:val="both"/>
      </w:pPr>
      <w:r>
        <w:rPr>
          <w:i/>
          <w:color w:val="000000"/>
        </w:rPr>
        <w:lastRenderedPageBreak/>
        <w:t>564</w:t>
      </w:r>
      <w:r>
        <w:rPr>
          <w:i/>
          <w:color w:val="000000"/>
        </w:rPr>
        <w:tab/>
        <w:t>Редован годишњи извештај Повереника за заштиту равн</w:t>
      </w:r>
      <w:r>
        <w:rPr>
          <w:i/>
          <w:color w:val="000000"/>
        </w:rPr>
        <w:t>оправности за 2020. стр. 40–41. Доступно на: http://ravnopravnost.gov.rs/wp-content/uploads/2021/04/Poverenik-za-zastitu-ravnopravnosti-Godisnji-izvestaj-za-2020.pdf приступ 31.5.2021.</w:t>
      </w:r>
    </w:p>
    <w:p w:rsidR="00BC3CE6" w:rsidRDefault="009A2DE5">
      <w:pPr>
        <w:spacing w:after="150"/>
        <w:jc w:val="both"/>
      </w:pPr>
      <w:r>
        <w:rPr>
          <w:i/>
          <w:color w:val="000000"/>
        </w:rPr>
        <w:t>565 Исто, страна 21.</w:t>
      </w:r>
    </w:p>
    <w:p w:rsidR="00BC3CE6" w:rsidRDefault="009A2DE5">
      <w:pPr>
        <w:spacing w:after="150"/>
        <w:jc w:val="both"/>
      </w:pPr>
      <w:r>
        <w:rPr>
          <w:i/>
          <w:color w:val="000000"/>
        </w:rPr>
        <w:t>566 Исто, страна 39.</w:t>
      </w:r>
    </w:p>
    <w:p w:rsidR="00BC3CE6" w:rsidRDefault="009A2DE5">
      <w:pPr>
        <w:spacing w:after="150"/>
        <w:jc w:val="both"/>
      </w:pPr>
      <w:r>
        <w:rPr>
          <w:i/>
          <w:color w:val="000000"/>
        </w:rPr>
        <w:t>567 Исто, страна 41.</w:t>
      </w:r>
    </w:p>
    <w:p w:rsidR="00BC3CE6" w:rsidRDefault="009A2DE5">
      <w:pPr>
        <w:spacing w:after="150"/>
        <w:jc w:val="both"/>
      </w:pPr>
      <w:r>
        <w:rPr>
          <w:i/>
          <w:color w:val="000000"/>
        </w:rPr>
        <w:t>568 Годи</w:t>
      </w:r>
      <w:r>
        <w:rPr>
          <w:i/>
          <w:color w:val="000000"/>
        </w:rPr>
        <w:t>шњи извештај Заштитника грађана, стр. 7, 8 и 25. Доступно на: https://www.ombudsman.rs/index.php/izvestaji/godisnji-izvestaji приступ 31.5.2021.</w:t>
      </w:r>
    </w:p>
    <w:p w:rsidR="00BC3CE6" w:rsidRDefault="009A2DE5">
      <w:pPr>
        <w:spacing w:after="150"/>
        <w:jc w:val="both"/>
      </w:pPr>
      <w:r>
        <w:rPr>
          <w:i/>
          <w:color w:val="000000"/>
        </w:rPr>
        <w:t>569 Видети: Однос грађана и грађанки према дискриминацији у Србији, Повереник за заштиту равноправности, Београ</w:t>
      </w:r>
      <w:r>
        <w:rPr>
          <w:i/>
          <w:color w:val="000000"/>
        </w:rPr>
        <w:t>д, 2019, доступно на: http://ravnopravnost.gov.rs/wp-content/uploads/ 2019/11/izvestaj-o-istrazivanju-javnog-mnjenja.pdf приступ 1.6.2021.</w:t>
      </w:r>
    </w:p>
    <w:p w:rsidR="00BC3CE6" w:rsidRDefault="009A2DE5">
      <w:pPr>
        <w:spacing w:after="150"/>
        <w:jc w:val="both"/>
      </w:pPr>
      <w:r>
        <w:rPr>
          <w:i/>
          <w:color w:val="000000"/>
        </w:rPr>
        <w:t>570</w:t>
      </w:r>
      <w:r>
        <w:rPr>
          <w:i/>
          <w:color w:val="000000"/>
        </w:rPr>
        <w:tab/>
        <w:t xml:space="preserve">Истраживање Перцепција Ромске заједнице о дискриминацији, Повереник за равноправност, 2021. Доступно на: </w:t>
      </w:r>
      <w:r>
        <w:rPr>
          <w:i/>
          <w:color w:val="000000"/>
        </w:rPr>
        <w:t>http://ravnopravnost.gov.rs/rs/istrazivanje-percepcija-romske-zajednice-o-diskriminaciji/ приступ 2.6.2021.</w:t>
      </w:r>
    </w:p>
    <w:p w:rsidR="00BC3CE6" w:rsidRDefault="009A2DE5">
      <w:pPr>
        <w:spacing w:after="150"/>
        <w:jc w:val="both"/>
      </w:pPr>
      <w:r>
        <w:rPr>
          <w:i/>
          <w:color w:val="000000"/>
        </w:rPr>
        <w:t>571 Истраживање Положај старијих жена у Србији, Повереник за равноправност, Београд 2021. Доступно на. http://ravnopravnost.gov.rs/rs/istrazivanje-o</w:t>
      </w:r>
      <w:r>
        <w:rPr>
          <w:i/>
          <w:color w:val="000000"/>
        </w:rPr>
        <w:t>-polozaju-starijih-zena-u-srbiji/ приступ 2.6.2021.</w:t>
      </w:r>
    </w:p>
    <w:p w:rsidR="00BC3CE6" w:rsidRDefault="009A2DE5">
      <w:pPr>
        <w:spacing w:after="150"/>
        <w:jc w:val="both"/>
      </w:pPr>
      <w:r>
        <w:rPr>
          <w:i/>
          <w:color w:val="000000"/>
        </w:rPr>
        <w:t>572</w:t>
      </w:r>
      <w:r>
        <w:rPr>
          <w:i/>
          <w:color w:val="000000"/>
        </w:rPr>
        <w:tab/>
        <w:t>Видети: Петрушић, Н. и др. Равноправност у пракси – примена антидискриминационих закона у Србији, Equal Rights Trust, London, 2019, страна 89. доступно на: www.equalrightstrust.org/resources/ravnoprav</w:t>
      </w:r>
      <w:r>
        <w:rPr>
          <w:i/>
          <w:color w:val="000000"/>
        </w:rPr>
        <w:t>nost-u-praksi-primena-antidiskriminacionih-zakona-u-srbiji приступ 1.6.2021.</w:t>
      </w:r>
    </w:p>
    <w:p w:rsidR="00BC3CE6" w:rsidRDefault="009A2DE5">
      <w:pPr>
        <w:spacing w:after="150"/>
        <w:jc w:val="both"/>
      </w:pPr>
      <w:r>
        <w:rPr>
          <w:i/>
          <w:color w:val="000000"/>
        </w:rPr>
        <w:t>573 CEDAW/C/SRB/CO/4 para. 45. и 46.</w:t>
      </w:r>
    </w:p>
    <w:p w:rsidR="00BC3CE6" w:rsidRDefault="009A2DE5">
      <w:pPr>
        <w:spacing w:after="150"/>
        <w:jc w:val="both"/>
      </w:pPr>
      <w:r>
        <w:rPr>
          <w:i/>
          <w:color w:val="000000"/>
        </w:rPr>
        <w:t>574 „Службени гласник РС”, број 87/18.</w:t>
      </w:r>
    </w:p>
    <w:p w:rsidR="00BC3CE6" w:rsidRDefault="009A2DE5">
      <w:pPr>
        <w:spacing w:after="150"/>
        <w:jc w:val="both"/>
      </w:pPr>
      <w:r>
        <w:rPr>
          <w:i/>
          <w:color w:val="000000"/>
        </w:rPr>
        <w:t>575 Члан 4. став 3. Закона о пружању бесплатне правне помоћи.</w:t>
      </w:r>
    </w:p>
    <w:p w:rsidR="00BC3CE6" w:rsidRDefault="009A2DE5">
      <w:pPr>
        <w:spacing w:after="150"/>
        <w:jc w:val="both"/>
      </w:pPr>
      <w:r>
        <w:rPr>
          <w:i/>
          <w:color w:val="000000"/>
        </w:rPr>
        <w:t>576 „Службени гласник РС”, број 24/18.</w:t>
      </w:r>
    </w:p>
    <w:p w:rsidR="00BC3CE6" w:rsidRDefault="009A2DE5">
      <w:pPr>
        <w:spacing w:after="150"/>
        <w:jc w:val="both"/>
      </w:pPr>
      <w:r>
        <w:rPr>
          <w:i/>
          <w:color w:val="000000"/>
        </w:rPr>
        <w:t>57</w:t>
      </w:r>
      <w:r>
        <w:rPr>
          <w:i/>
          <w:color w:val="000000"/>
        </w:rPr>
        <w:t>7 Члан 7. Закона о азилу и привременој заштити.</w:t>
      </w:r>
    </w:p>
    <w:p w:rsidR="00BC3CE6" w:rsidRDefault="009A2DE5">
      <w:pPr>
        <w:spacing w:after="150"/>
        <w:jc w:val="both"/>
      </w:pPr>
      <w:r>
        <w:rPr>
          <w:i/>
          <w:color w:val="000000"/>
        </w:rPr>
        <w:t>578 Члан 6. Закона о азилу и привременој заштити.</w:t>
      </w:r>
    </w:p>
    <w:p w:rsidR="00BC3CE6" w:rsidRDefault="009A2DE5">
      <w:pPr>
        <w:spacing w:after="150"/>
        <w:jc w:val="both"/>
      </w:pPr>
      <w:r>
        <w:rPr>
          <w:i/>
          <w:color w:val="000000"/>
        </w:rPr>
        <w:t>579 Члан 16. Закона о азилу и привременој заштити.</w:t>
      </w:r>
    </w:p>
    <w:p w:rsidR="00BC3CE6" w:rsidRDefault="009A2DE5">
      <w:pPr>
        <w:spacing w:after="150"/>
        <w:jc w:val="both"/>
      </w:pPr>
      <w:r>
        <w:rPr>
          <w:i/>
          <w:color w:val="000000"/>
        </w:rPr>
        <w:t>580 Члан 17. Закона о азилу и привременој заштити.</w:t>
      </w:r>
    </w:p>
    <w:p w:rsidR="00BC3CE6" w:rsidRDefault="009A2DE5">
      <w:pPr>
        <w:spacing w:after="150"/>
        <w:jc w:val="both"/>
      </w:pPr>
      <w:r>
        <w:rPr>
          <w:i/>
          <w:color w:val="000000"/>
        </w:rPr>
        <w:t>581 Члан 9. Закона о азилу и привременој заштити.</w:t>
      </w:r>
    </w:p>
    <w:p w:rsidR="00BC3CE6" w:rsidRDefault="009A2DE5">
      <w:pPr>
        <w:spacing w:after="150"/>
        <w:jc w:val="both"/>
      </w:pPr>
      <w:r>
        <w:rPr>
          <w:i/>
          <w:color w:val="000000"/>
        </w:rPr>
        <w:t xml:space="preserve">582 </w:t>
      </w:r>
      <w:r>
        <w:rPr>
          <w:i/>
          <w:color w:val="000000"/>
        </w:rPr>
        <w:t>CEDAW/C/SRB/CO/4 para. 44.</w:t>
      </w:r>
    </w:p>
    <w:p w:rsidR="00BC3CE6" w:rsidRDefault="009A2DE5">
      <w:pPr>
        <w:spacing w:after="150"/>
        <w:jc w:val="both"/>
      </w:pPr>
      <w:r>
        <w:rPr>
          <w:i/>
          <w:color w:val="000000"/>
        </w:rPr>
        <w:lastRenderedPageBreak/>
        <w:t>583 Ова група формирана је на иницијативу УН, КТРР и Фонда б92. Видети нпр. Смернице за медијско извештавање о насиљу према женама, 2019. Како извештавати о судским процесима о насиљу и др. Више о активностима ове мреже на: https</w:t>
      </w:r>
      <w:r>
        <w:rPr>
          <w:i/>
          <w:color w:val="000000"/>
        </w:rPr>
        <w:t>://www.womenngo.org.rs/vesti/1083-novinarke-protiv-nasilja-prema-zenama приступ 13.6.2021.</w:t>
      </w:r>
    </w:p>
    <w:p w:rsidR="00BC3CE6" w:rsidRDefault="009A2DE5">
      <w:pPr>
        <w:spacing w:after="150"/>
        <w:jc w:val="both"/>
      </w:pPr>
      <w:r>
        <w:rPr>
          <w:i/>
          <w:color w:val="000000"/>
        </w:rPr>
        <w:t>584</w:t>
      </w:r>
      <w:r>
        <w:rPr>
          <w:i/>
          <w:color w:val="000000"/>
        </w:rPr>
        <w:tab/>
        <w:t>Доступно на: https://data.consilium.europa.eu/doc/document/ST-11031-2019-INIT/en/pdf, приступ 14.6.2021.</w:t>
      </w:r>
    </w:p>
    <w:p w:rsidR="00BC3CE6" w:rsidRDefault="009A2DE5">
      <w:pPr>
        <w:spacing w:after="150"/>
        <w:jc w:val="both"/>
      </w:pPr>
      <w:r>
        <w:rPr>
          <w:i/>
          <w:color w:val="000000"/>
        </w:rPr>
        <w:t>585</w:t>
      </w:r>
      <w:r>
        <w:rPr>
          <w:i/>
          <w:color w:val="000000"/>
        </w:rPr>
        <w:tab/>
        <w:t>Доступно на: https://ec.europa.eu/international-part</w:t>
      </w:r>
      <w:r>
        <w:rPr>
          <w:i/>
          <w:color w:val="000000"/>
        </w:rPr>
        <w:t>nerships/system/files/swd_2020_284_en_final.pdf, приступ 14.6.2021.</w:t>
      </w:r>
    </w:p>
    <w:p w:rsidR="00BC3CE6" w:rsidRDefault="009A2DE5">
      <w:pPr>
        <w:spacing w:after="150"/>
        <w:jc w:val="both"/>
      </w:pPr>
      <w:r>
        <w:rPr>
          <w:i/>
          <w:color w:val="000000"/>
        </w:rPr>
        <w:t>586</w:t>
      </w:r>
      <w:r>
        <w:rPr>
          <w:i/>
          <w:color w:val="000000"/>
        </w:rPr>
        <w:tab/>
        <w:t>Параграф 9 CEDAW/C/SRB/CO/4, Доступно на: https://ljudskaprava.gov.rs/sh/node/19867, приступ 1.6.2021.</w:t>
      </w:r>
    </w:p>
    <w:p w:rsidR="00BC3CE6" w:rsidRDefault="009A2DE5">
      <w:pPr>
        <w:spacing w:after="150"/>
        <w:jc w:val="both"/>
      </w:pPr>
      <w:r>
        <w:rPr>
          <w:i/>
          <w:color w:val="000000"/>
        </w:rPr>
        <w:t>587</w:t>
      </w:r>
      <w:r>
        <w:rPr>
          <w:i/>
          <w:color w:val="000000"/>
        </w:rPr>
        <w:tab/>
        <w:t>Доступно на: https://www.ohchr.org/documents/hrbodies/cedaw/gcomments/cedaw.c</w:t>
      </w:r>
      <w:r>
        <w:rPr>
          <w:i/>
          <w:color w:val="000000"/>
        </w:rPr>
        <w:t>.cg.30.pdf, приступ 1.6.2021.</w:t>
      </w:r>
    </w:p>
    <w:p w:rsidR="00BC3CE6" w:rsidRDefault="009A2DE5">
      <w:pPr>
        <w:spacing w:after="150"/>
        <w:jc w:val="both"/>
      </w:pPr>
      <w:r>
        <w:rPr>
          <w:i/>
          <w:color w:val="000000"/>
        </w:rPr>
        <w:t>588</w:t>
      </w:r>
      <w:r>
        <w:rPr>
          <w:i/>
          <w:color w:val="000000"/>
        </w:rPr>
        <w:tab/>
        <w:t>Усвојена 2011. Доступно на: https://www.rsjp.gov.rs/mapa1/3.%20Odbrana/f_strategija_nacionalne_bezbednosti.pdf, приступ 15.6.2021.</w:t>
      </w:r>
    </w:p>
    <w:p w:rsidR="00BC3CE6" w:rsidRDefault="009A2DE5">
      <w:pPr>
        <w:spacing w:after="150"/>
        <w:jc w:val="both"/>
      </w:pPr>
      <w:r>
        <w:rPr>
          <w:i/>
          <w:color w:val="000000"/>
        </w:rPr>
        <w:t>589</w:t>
      </w:r>
      <w:r>
        <w:rPr>
          <w:i/>
          <w:color w:val="000000"/>
        </w:rPr>
        <w:tab/>
        <w:t>Усвојена 2012. Доступно на: https://www.rsjp.gov.rs/mapa1/3.%20Odbrana/f_strategija_odb</w:t>
      </w:r>
      <w:r>
        <w:rPr>
          <w:i/>
          <w:color w:val="000000"/>
        </w:rPr>
        <w:t>rane.pdf, приступ 14.6.2021.</w:t>
      </w:r>
    </w:p>
    <w:p w:rsidR="00BC3CE6" w:rsidRDefault="009A2DE5">
      <w:pPr>
        <w:spacing w:after="150"/>
        <w:jc w:val="both"/>
      </w:pPr>
      <w:r>
        <w:rPr>
          <w:i/>
          <w:color w:val="000000"/>
        </w:rPr>
        <w:t>590</w:t>
      </w:r>
      <w:r>
        <w:rPr>
          <w:i/>
          <w:color w:val="000000"/>
        </w:rPr>
        <w:tab/>
        <w:t>Члан 6. Уредбе. Доступно на: https://www.pravno-informacioni-sistem.rs/SlGlasnikPortal/eli/rep/sgrs/vlada/uredba/2019/8/9/reg, приступ 14.6.2021.</w:t>
      </w:r>
    </w:p>
    <w:p w:rsidR="00BC3CE6" w:rsidRDefault="009A2DE5">
      <w:pPr>
        <w:spacing w:after="150"/>
        <w:jc w:val="both"/>
      </w:pPr>
      <w:r>
        <w:rPr>
          <w:i/>
          <w:color w:val="000000"/>
        </w:rPr>
        <w:t>591 Доступно на: https://media.srbija.gov.rs/medsrp/dokumenti/nacionalna_stra</w:t>
      </w:r>
      <w:r>
        <w:rPr>
          <w:i/>
          <w:color w:val="000000"/>
        </w:rPr>
        <w:t>tegija_i_akcioni_plan.pdf, приступ 11.6.2021.</w:t>
      </w:r>
    </w:p>
    <w:p w:rsidR="00BC3CE6" w:rsidRDefault="009A2DE5">
      <w:pPr>
        <w:spacing w:after="150"/>
        <w:jc w:val="both"/>
      </w:pPr>
      <w:r>
        <w:rPr>
          <w:i/>
          <w:color w:val="000000"/>
        </w:rPr>
        <w:t>592 Доступно на: http://javnerasprave.euprava.gov.rs/javna-rasprava/289, приступ 5.7.2021.</w:t>
      </w:r>
    </w:p>
    <w:p w:rsidR="00BC3CE6" w:rsidRDefault="009A2DE5">
      <w:pPr>
        <w:spacing w:after="150"/>
        <w:jc w:val="both"/>
      </w:pPr>
      <w:r>
        <w:rPr>
          <w:i/>
          <w:color w:val="000000"/>
        </w:rPr>
        <w:t>593 Решење Владе 24 број 119-9273/2017 од 6.10.2017.</w:t>
      </w:r>
    </w:p>
    <w:p w:rsidR="00BC3CE6" w:rsidRDefault="009A2DE5">
      <w:pPr>
        <w:spacing w:after="150"/>
        <w:jc w:val="both"/>
      </w:pPr>
      <w:r>
        <w:rPr>
          <w:i/>
          <w:color w:val="000000"/>
        </w:rPr>
        <w:t>594</w:t>
      </w:r>
      <w:r>
        <w:rPr>
          <w:i/>
          <w:color w:val="000000"/>
        </w:rPr>
        <w:tab/>
        <w:t>Доступно на: https://scindeks-clanci.ceon.rs/data/pdf/0409-295</w:t>
      </w:r>
      <w:r>
        <w:rPr>
          <w:i/>
          <w:color w:val="000000"/>
        </w:rPr>
        <w:t>3/2020/0409-29532003124R.pdf, приступ 12.6.2021.</w:t>
      </w:r>
    </w:p>
    <w:p w:rsidR="00BC3CE6" w:rsidRDefault="009A2DE5">
      <w:pPr>
        <w:spacing w:after="150"/>
        <w:jc w:val="both"/>
      </w:pPr>
      <w:r>
        <w:rPr>
          <w:i/>
          <w:color w:val="000000"/>
        </w:rPr>
        <w:t>595 Према званичним подацима, до октобра 2020. године у Србији је идентификовано 48 жртава трговине људима, међу којима и 15 девојчица и осам дечака, који су били жртве сексуалне експлоатације и принудних бр</w:t>
      </w:r>
      <w:r>
        <w:rPr>
          <w:i/>
          <w:color w:val="000000"/>
        </w:rPr>
        <w:t>акова, принуђени на просјачење или вршење кривичних дела. Пискулидис, представница Астре у интервју који је дала у јануару месецу ове године, између осталог, даје оцену како је пандемија „оголила систем” и показала колико је фрагилан и спор, тако да су ОЦД</w:t>
      </w:r>
      <w:r>
        <w:rPr>
          <w:i/>
          <w:color w:val="000000"/>
        </w:rPr>
        <w:t xml:space="preserve"> које пружају подршку жртвама трговине људима у овом случају брже реаговале од система Радио </w:t>
      </w:r>
      <w:r>
        <w:rPr>
          <w:i/>
          <w:color w:val="000000"/>
        </w:rPr>
        <w:lastRenderedPageBreak/>
        <w:t>021(8.1.2021). Доступно на:https://www.021.rs/story/Info/Srbija/262993/Astra-Identifikovali-smo-31-zrtvu-trgovine-ljudima-tokom-2020-godine.html, приступ 13.6.2021</w:t>
      </w:r>
      <w:r>
        <w:rPr>
          <w:i/>
          <w:color w:val="000000"/>
        </w:rPr>
        <w:t>.</w:t>
      </w:r>
    </w:p>
    <w:p w:rsidR="00BC3CE6" w:rsidRDefault="009A2DE5">
      <w:pPr>
        <w:spacing w:after="150"/>
        <w:jc w:val="both"/>
      </w:pPr>
      <w:r>
        <w:rPr>
          <w:i/>
          <w:color w:val="000000"/>
        </w:rPr>
        <w:t>596</w:t>
      </w:r>
      <w:r>
        <w:rPr>
          <w:i/>
          <w:color w:val="000000"/>
        </w:rPr>
        <w:tab/>
        <w:t>Доступно на: http://www.mup.gov.rs/wps/wcm/connect/cd2d35c1-10a0-4dae-b17e-4a376d55057a/Izve%C5%A1taj+AP+trgovina+ljudima+2019-2020.pdf?MOD=AJPERES&amp;CVID=nugibDG, приступ 13.9.2021.</w:t>
      </w:r>
    </w:p>
    <w:p w:rsidR="00BC3CE6" w:rsidRDefault="009A2DE5">
      <w:pPr>
        <w:spacing w:after="150"/>
        <w:jc w:val="both"/>
      </w:pPr>
      <w:r>
        <w:rPr>
          <w:i/>
          <w:color w:val="000000"/>
        </w:rPr>
        <w:t>597 Управо последње истраживање Род и ватрено оружје – Зашто је НАП 1</w:t>
      </w:r>
      <w:r>
        <w:rPr>
          <w:i/>
          <w:color w:val="000000"/>
        </w:rPr>
        <w:t>325 тако важан, усмерено је на промовисање родно одговорног и транспарентног приступа одговору на безбедносне изазове везане за ватрено оружје у ЈЛСу Србији, Видети: The Public Policy Research Centre (CENTER) “Gender and Firearms – Why is NAP 1325 so impor</w:t>
      </w:r>
      <w:r>
        <w:rPr>
          <w:i/>
          <w:color w:val="000000"/>
        </w:rPr>
        <w:t>tant” Final Report June 20, 2019 – December 19, 2019. Доступно на: https://www.publicpolicy.rs/files/NAP%201325.pdf приступ 28.8.2021.</w:t>
      </w:r>
    </w:p>
    <w:p w:rsidR="00BC3CE6" w:rsidRDefault="009A2DE5">
      <w:pPr>
        <w:spacing w:after="150"/>
        <w:jc w:val="both"/>
      </w:pPr>
      <w:r>
        <w:rPr>
          <w:i/>
          <w:color w:val="000000"/>
        </w:rPr>
        <w:t xml:space="preserve">598 Центар за истраживање јавних политика, Искуства примене НАП 1325, доступно на: </w:t>
      </w:r>
      <w:r>
        <w:rPr>
          <w:i/>
          <w:color w:val="000000"/>
        </w:rPr>
        <w:t>https://www.publicpolicy.rs/publikacije/8503f622ab8ce6981bfbd8f57bcd415357450725.pdf, приступ 6.6.2021.</w:t>
      </w:r>
    </w:p>
    <w:p w:rsidR="00BC3CE6" w:rsidRDefault="009A2DE5">
      <w:pPr>
        <w:spacing w:after="150"/>
        <w:jc w:val="both"/>
      </w:pPr>
      <w:r>
        <w:rPr>
          <w:i/>
          <w:color w:val="000000"/>
        </w:rPr>
        <w:t>599 Национални акциони план за примену Резолуције 1325 СБ УН – Жене, мир и безбедност у РС (2017–2020), „Службени гласник РС”, број 53/17.</w:t>
      </w:r>
    </w:p>
    <w:p w:rsidR="00BC3CE6" w:rsidRDefault="009A2DE5">
      <w:pPr>
        <w:spacing w:after="150"/>
        <w:jc w:val="both"/>
      </w:pPr>
      <w:r>
        <w:rPr>
          <w:i/>
          <w:color w:val="000000"/>
        </w:rPr>
        <w:t>600</w:t>
      </w:r>
      <w:r>
        <w:rPr>
          <w:i/>
          <w:color w:val="000000"/>
        </w:rPr>
        <w:tab/>
        <w:t>Овај доку</w:t>
      </w:r>
      <w:r>
        <w:rPr>
          <w:i/>
          <w:color w:val="000000"/>
        </w:rPr>
        <w:t>мент је био усмерен на локални ниво, односно остваривање видљивих промена у свакодневном животу жена и мушкараца у локалним заједницама, како би се побољшала њихова лична безбедност и обезбедила” већа укљученост жена у очувању мира и безбедности на нивоу л</w:t>
      </w:r>
      <w:r>
        <w:rPr>
          <w:i/>
          <w:color w:val="000000"/>
        </w:rPr>
        <w:t>окалне заједнице”. Документом је било предвиђено у укључивање ОЦД у спровођење активности. Доступно на: http://www.mod.gov.rs/multimedia/file/staticki_sadrzaj/dokumenta/akcioni_planovi/2017/Zakljucak%20Vlade%20o%20usvajanju%20NAP%20za%20primenu%20R_1325%20</w:t>
      </w:r>
      <w:r>
        <w:rPr>
          <w:i/>
          <w:color w:val="000000"/>
        </w:rPr>
        <w:t>SB%20UN%20u%20R_Srbiji.pdf, приступ 30.5.2021.</w:t>
      </w:r>
    </w:p>
    <w:p w:rsidR="00BC3CE6" w:rsidRDefault="009A2DE5">
      <w:pPr>
        <w:spacing w:after="150"/>
        <w:jc w:val="both"/>
      </w:pPr>
      <w:r>
        <w:rPr>
          <w:i/>
          <w:color w:val="000000"/>
        </w:rPr>
        <w:t>601</w:t>
      </w:r>
      <w:r>
        <w:rPr>
          <w:i/>
          <w:color w:val="000000"/>
        </w:rPr>
        <w:tab/>
        <w:t>Доступно на: http://www.mod.gov.rs/multimedia/file/staticki_sadrzaj/dokumenta/akcioni_planovi/2021/Izvestaj%20za%20NAP%20za%202020%20Prilog.pdf, приступ 30.5.2021.</w:t>
      </w:r>
    </w:p>
    <w:p w:rsidR="00BC3CE6" w:rsidRDefault="009A2DE5">
      <w:pPr>
        <w:spacing w:after="150"/>
        <w:jc w:val="both"/>
      </w:pPr>
      <w:r>
        <w:rPr>
          <w:i/>
          <w:color w:val="000000"/>
        </w:rPr>
        <w:t>602 Резултати спровођења НАП у току 2020.</w:t>
      </w:r>
      <w:r>
        <w:rPr>
          <w:i/>
          <w:color w:val="000000"/>
        </w:rPr>
        <w:t xml:space="preserve"> године достављени су од надлежних организационих јединица МО и ВС и обрађени од стране Аналитичке групе МО и ВС за анализу спровођења НАП за примену Резолуције 1325 СБ УН – Жене, мир и безбедност у РС.</w:t>
      </w:r>
    </w:p>
    <w:p w:rsidR="00BC3CE6" w:rsidRDefault="009A2DE5">
      <w:pPr>
        <w:spacing w:after="150"/>
        <w:jc w:val="both"/>
      </w:pPr>
      <w:r>
        <w:rPr>
          <w:i/>
          <w:color w:val="000000"/>
        </w:rPr>
        <w:t>603 Закључак 05 број 02-4504/2020, од 4. јуна 2020. г</w:t>
      </w:r>
      <w:r>
        <w:rPr>
          <w:i/>
          <w:color w:val="000000"/>
        </w:rPr>
        <w:t>одине.</w:t>
      </w:r>
    </w:p>
    <w:p w:rsidR="00BC3CE6" w:rsidRDefault="009A2DE5">
      <w:pPr>
        <w:spacing w:after="150"/>
        <w:jc w:val="both"/>
      </w:pPr>
      <w:r>
        <w:rPr>
          <w:i/>
          <w:color w:val="000000"/>
        </w:rPr>
        <w:t>604 Нема јавно доступног документа; Реферисано на основу података које је доставило МО у току прикупљања информација за извештавање о Пекиншкој платформи за акцију.</w:t>
      </w:r>
    </w:p>
    <w:p w:rsidR="00BC3CE6" w:rsidRDefault="009A2DE5">
      <w:pPr>
        <w:spacing w:after="150"/>
        <w:jc w:val="both"/>
      </w:pPr>
      <w:r>
        <w:rPr>
          <w:i/>
          <w:color w:val="000000"/>
        </w:rPr>
        <w:lastRenderedPageBreak/>
        <w:t xml:space="preserve">605 Нема јавно доступног документа; Реферисано на основу података које је доставило </w:t>
      </w:r>
      <w:r>
        <w:rPr>
          <w:i/>
          <w:color w:val="000000"/>
        </w:rPr>
        <w:t>МО у току прикупљања информација за извештавање о Пекиншкој платформи за акцију.</w:t>
      </w:r>
    </w:p>
    <w:p w:rsidR="00BC3CE6" w:rsidRDefault="009A2DE5">
      <w:pPr>
        <w:spacing w:after="150"/>
        <w:jc w:val="both"/>
      </w:pPr>
      <w:r>
        <w:rPr>
          <w:i/>
          <w:color w:val="000000"/>
        </w:rPr>
        <w:t>606 „Службени војни лист”, број 1/18</w:t>
      </w:r>
    </w:p>
    <w:p w:rsidR="00BC3CE6" w:rsidRDefault="009A2DE5">
      <w:pPr>
        <w:spacing w:after="150"/>
        <w:jc w:val="both"/>
      </w:pPr>
      <w:r>
        <w:rPr>
          <w:i/>
          <w:color w:val="000000"/>
        </w:rPr>
        <w:t>607</w:t>
      </w:r>
      <w:r>
        <w:rPr>
          <w:i/>
          <w:color w:val="000000"/>
        </w:rPr>
        <w:tab/>
        <w:t>Доступно на: https://www.slobodnaevropa.org/a/vojska-srbija-naoruzanje-novac/29637678.html приступ 16.6.2021.</w:t>
      </w:r>
    </w:p>
    <w:p w:rsidR="00BC3CE6" w:rsidRDefault="009A2DE5">
      <w:pPr>
        <w:spacing w:after="150"/>
        <w:jc w:val="both"/>
      </w:pPr>
      <w:r>
        <w:rPr>
          <w:i/>
          <w:color w:val="000000"/>
        </w:rPr>
        <w:t>608</w:t>
      </w:r>
      <w:r>
        <w:rPr>
          <w:i/>
          <w:color w:val="000000"/>
        </w:rPr>
        <w:tab/>
        <w:t>Насупрот војним изда</w:t>
      </w:r>
      <w:r>
        <w:rPr>
          <w:i/>
          <w:color w:val="000000"/>
        </w:rPr>
        <w:t>цима, планирана буџетска средства за спровођење програма жене, мир и безбедност за периоду 2017–2020. износе 2.480.000,00 динара, али финансијска средства још увек нису коришћена за спровођење плана, нити су предвиђена финансијска средстава довољна да би с</w:t>
      </w:r>
      <w:r>
        <w:rPr>
          <w:i/>
          <w:color w:val="000000"/>
        </w:rPr>
        <w:t>е план у целости спровео. Стога је узета у обзир донаторска подршка, као и сарадња са ОЦД у циљу спровођења плана. У периоду од 2017. до 2020. спровођење програма жене, мир и безбедност су највише финансирале донаторске организације (нпр. Мисија ОЕБС у Срб</w:t>
      </w:r>
      <w:r>
        <w:rPr>
          <w:i/>
          <w:color w:val="000000"/>
        </w:rPr>
        <w:t>ији, UNWomen и UNDP, Kvinna till Kvinna, Амбасада Краљевине Норвешке, Амбасада САД, Краљевине Холандије, Влада Краљевине Норвешке, НАТО и др.) самостално или кроз пројекте ОЦД. Доступно на: http://www.parlament.gov.rs/upload/archive/files/cir/pdf/zakoni/20</w:t>
      </w:r>
      <w:r>
        <w:rPr>
          <w:i/>
          <w:color w:val="000000"/>
        </w:rPr>
        <w:t>19/BUDZET%202020.pdf, приступ 16.6.2021.</w:t>
      </w:r>
    </w:p>
    <w:p w:rsidR="00BC3CE6" w:rsidRDefault="009A2DE5">
      <w:pPr>
        <w:spacing w:after="150"/>
        <w:jc w:val="both"/>
      </w:pPr>
      <w:r>
        <w:rPr>
          <w:i/>
          <w:color w:val="000000"/>
        </w:rPr>
        <w:t xml:space="preserve">609 Циљ Пројекта „Развијање родне агенде у МУП-у РС” је прелазак са ad hoc приступа родним питањима на конкретну, практичну и мерљиву примену политике за родну равноправност, уклањањем стварних и формалних препрека </w:t>
      </w:r>
      <w:r>
        <w:rPr>
          <w:i/>
          <w:color w:val="000000"/>
        </w:rPr>
        <w:t>за веће учешће и задржавање жена на полицијским пословима и руководећим положајима, не само као основну претпоставку за спровођење политике једнаких могућности, већ и развој полиције која препознаје и на адекватан начин одговара на различите безбедносне из</w:t>
      </w:r>
      <w:r>
        <w:rPr>
          <w:i/>
          <w:color w:val="000000"/>
        </w:rPr>
        <w:t>азове у друштву. Фокусиран је на стварање формалних и фактичких предуслова за институционалну интеграцију родне равноправности у све интерне процесе, структуре и функције у полицији, посебно у систему управљања људским ресурсима, препознавањем мера које тр</w:t>
      </w:r>
      <w:r>
        <w:rPr>
          <w:i/>
          <w:color w:val="000000"/>
        </w:rPr>
        <w:t>еба предузети да би се жене задржале у полицијском раду и уклониле постојеће препреке за њихов рад и напредак унутар полиције.</w:t>
      </w:r>
    </w:p>
    <w:p w:rsidR="00BC3CE6" w:rsidRDefault="009A2DE5">
      <w:pPr>
        <w:spacing w:after="150"/>
        <w:jc w:val="both"/>
      </w:pPr>
      <w:r>
        <w:rPr>
          <w:i/>
          <w:color w:val="000000"/>
        </w:rPr>
        <w:t>610 У току рада на пројекту развијене су и усвојене Смернице за спровођење мера за постизање родне равноправности у МУП кроз сист</w:t>
      </w:r>
      <w:r>
        <w:rPr>
          <w:i/>
          <w:color w:val="000000"/>
        </w:rPr>
        <w:t>ем управљања људским ресурсима, а мере су интегрисане у све функције управљања људским ресурсима са индикаторима за праћење реализације и постигнутог утицаја; израђен је Програм обуке руководилаца и запослених о интегрисању родне перспективе у рад полиције</w:t>
      </w:r>
      <w:r>
        <w:rPr>
          <w:i/>
          <w:color w:val="000000"/>
        </w:rPr>
        <w:t xml:space="preserve"> и обучени тренери унутар организације полиције који ће ову обуку спроводити у оквиру едукације у МУП; донето је Упутство са смерницама за превенцију и заштиту од родно засноване дискриминације и дискриминације по другим личним својствима у МУП; припремљен</w:t>
      </w:r>
      <w:r>
        <w:rPr>
          <w:i/>
          <w:color w:val="000000"/>
        </w:rPr>
        <w:t xml:space="preserve"> је Приручник о поступању у случајевима родно засноване дискриминације и дискриминације по другим личним својствима у МУП; </w:t>
      </w:r>
      <w:r>
        <w:rPr>
          <w:i/>
          <w:color w:val="000000"/>
        </w:rPr>
        <w:lastRenderedPageBreak/>
        <w:t>усвојен је Програм обуке медијатора, као један од кључних механизама у поступку по пријавама за дискриминацију у оквиру МУП; реализов</w:t>
      </w:r>
      <w:r>
        <w:rPr>
          <w:i/>
          <w:color w:val="000000"/>
        </w:rPr>
        <w:t>ана обука једног броја именованих медијатора у МУП; створене су организационе и нормативне претпоставке за ефикасну превенцију и одговор на случајеве родно засноване дискриминације и дискриминације по другим личним својствима у МУП и полицији; у неколико ц</w:t>
      </w:r>
      <w:r>
        <w:rPr>
          <w:i/>
          <w:color w:val="000000"/>
        </w:rPr>
        <w:t>иклуса организоване су обуке руководилаца високог нивоа руковођења и др.</w:t>
      </w:r>
    </w:p>
    <w:p w:rsidR="00BC3CE6" w:rsidRDefault="009A2DE5">
      <w:pPr>
        <w:spacing w:after="150"/>
        <w:jc w:val="both"/>
      </w:pPr>
      <w:r>
        <w:rPr>
          <w:i/>
          <w:color w:val="000000"/>
        </w:rPr>
        <w:t>611 Рађено је на подизању капацитета чланица Мреже како би могле ефикасно да комуницирају циљеве и вредности Мреже кроз полицијску организацију и промовишу жене у полицији, реализован</w:t>
      </w:r>
      <w:r>
        <w:rPr>
          <w:i/>
          <w:color w:val="000000"/>
        </w:rPr>
        <w:t>е су и бројне промотивне активности и обезбеђен је простор и средства за рад Мреже.</w:t>
      </w:r>
    </w:p>
    <w:p w:rsidR="00BC3CE6" w:rsidRDefault="009A2DE5">
      <w:pPr>
        <w:spacing w:after="150"/>
        <w:jc w:val="both"/>
      </w:pPr>
      <w:r>
        <w:rPr>
          <w:i/>
          <w:color w:val="000000"/>
        </w:rPr>
        <w:t>612 Видети Посебан извештај Заштитника грађана „Заступљеност жена на местима одлучивања и позиција и активности локалних механизама за родну равноправност у јединицама лока</w:t>
      </w:r>
      <w:r>
        <w:rPr>
          <w:i/>
          <w:color w:val="000000"/>
        </w:rPr>
        <w:t>лне самоуправе у Србији.” Доступно на: https://www.ombudsman.rs/index.php/izvestaji/posebnii-izvestaji/5901-p-s-b-n-izv-sh-z-sh-i-ni-gr-d-n-z-s-uplj-n-s-z-n-n-s-i-dluciv-nj-i-p-zici-i-ivn-s-i-l-lnih-h-niz-z-r-dnu-r-vn-pr-vn-s-u-dinic-l-l-n-s-upr-v-u-srbi-i</w:t>
      </w:r>
      <w:r>
        <w:rPr>
          <w:i/>
          <w:color w:val="000000"/>
        </w:rPr>
        <w:t xml:space="preserve"> приступ 16.6.2021.</w:t>
      </w:r>
    </w:p>
    <w:p w:rsidR="00BC3CE6" w:rsidRDefault="009A2DE5">
      <w:pPr>
        <w:spacing w:after="150"/>
        <w:jc w:val="both"/>
      </w:pPr>
      <w:r>
        <w:rPr>
          <w:i/>
          <w:color w:val="000000"/>
        </w:rPr>
        <w:t>613</w:t>
      </w:r>
      <w:r>
        <w:rPr>
          <w:i/>
          <w:color w:val="000000"/>
        </w:rPr>
        <w:tab/>
        <w:t>Публикован 2015. године. Доступно на: https://www.osce.org/files/f/documents/a/0/217011.pdf, приступ 2.6.2021.</w:t>
      </w:r>
    </w:p>
    <w:p w:rsidR="00BC3CE6" w:rsidRDefault="009A2DE5">
      <w:pPr>
        <w:spacing w:after="150"/>
        <w:jc w:val="both"/>
      </w:pPr>
      <w:r>
        <w:rPr>
          <w:i/>
          <w:color w:val="000000"/>
        </w:rPr>
        <w:t>614</w:t>
      </w:r>
      <w:r>
        <w:rPr>
          <w:i/>
          <w:color w:val="000000"/>
        </w:rPr>
        <w:tab/>
        <w:t>Више: Извештај Помирење из женске перспективе: ка нормализацији односа Србије и Косова, који су припремили Удружење ж</w:t>
      </w:r>
      <w:r>
        <w:rPr>
          <w:i/>
          <w:color w:val="000000"/>
        </w:rPr>
        <w:t>ена Пешчаник, из Крушевца и Асоцијација жена Митровице за људска права, из Косовске Митровице, а који представља део пројекта Жене за мир и безбедност: ка добросуседским односима Србије и Косова, подржан од стране ЕУ и шведске фондације Квинна тилл Квинна,</w:t>
      </w:r>
      <w:r>
        <w:rPr>
          <w:i/>
          <w:color w:val="000000"/>
        </w:rPr>
        <w:t xml:space="preserve"> доступно на: https://udruzenjepescanik.org/izvestaji/pomirenje-iz-zenske-perspektive-ka-normalizaciji-odnosa-srbije-i-kosova/#_Toc61949668, приступ 5.6.2021.</w:t>
      </w:r>
    </w:p>
    <w:p w:rsidR="00BC3CE6" w:rsidRDefault="009A2DE5">
      <w:pPr>
        <w:spacing w:after="150"/>
        <w:jc w:val="both"/>
      </w:pPr>
      <w:r>
        <w:rPr>
          <w:i/>
          <w:color w:val="000000"/>
        </w:rPr>
        <w:t>615 Доступно на: https://uploads-ssl.webflow.com/5e9038a5fc30d378d256622b/5f8dac20b5dfb27e678f899</w:t>
      </w:r>
      <w:r>
        <w:rPr>
          <w:i/>
          <w:color w:val="000000"/>
        </w:rPr>
        <w:t>1_Monitoring-izvestaj-.-Delovanje-jedinica-lokalne-samouprave-tokom-vanrednog-stanja.pdf приступ 11.6.2021.</w:t>
      </w:r>
    </w:p>
    <w:p w:rsidR="00BC3CE6" w:rsidRDefault="009A2DE5">
      <w:pPr>
        <w:spacing w:after="150"/>
        <w:jc w:val="both"/>
      </w:pPr>
      <w:r>
        <w:rPr>
          <w:i/>
          <w:color w:val="000000"/>
        </w:rPr>
        <w:t>616</w:t>
      </w:r>
      <w:r>
        <w:rPr>
          <w:i/>
          <w:color w:val="000000"/>
        </w:rPr>
        <w:tab/>
        <w:t>Доступно на: http://www.mod.gov.rs/multimedia/file/staticki_sadrzaj/dokumenta/akcioni_planovi/2021/Izvestaj%20za%20NAP%20za%202020%20Prilog.pdf,</w:t>
      </w:r>
      <w:r>
        <w:rPr>
          <w:i/>
          <w:color w:val="000000"/>
        </w:rPr>
        <w:t xml:space="preserve"> приступ 15.6.2021.</w:t>
      </w:r>
    </w:p>
    <w:p w:rsidR="00BC3CE6" w:rsidRDefault="009A2DE5">
      <w:pPr>
        <w:spacing w:after="150"/>
        <w:jc w:val="both"/>
      </w:pPr>
      <w:r>
        <w:rPr>
          <w:i/>
          <w:color w:val="000000"/>
        </w:rPr>
        <w:t>617 Независни мониторинг преговора Београда и Приштине резултат је сарадње Организације жена (Косовске) Митровице за људска права и Удружења жена Пешчаник из Крушевца на повећању улоге жена у процесу Европских интеграција и посебно, пре</w:t>
      </w:r>
      <w:r>
        <w:rPr>
          <w:i/>
          <w:color w:val="000000"/>
        </w:rPr>
        <w:t xml:space="preserve">говорима између Београда и Приштине. Удружење жена Пешчаник, „Преговори Београда и Приштине из женске перспективе”, 28.3.2018. доступно на: </w:t>
      </w:r>
      <w:r>
        <w:rPr>
          <w:i/>
          <w:color w:val="000000"/>
        </w:rPr>
        <w:lastRenderedPageBreak/>
        <w:t>https://udruzenjepescanik.org/aktuelnosti/688-pregovori-beograda-i-pristine-iz-zenske-perspektive приступ 15.6.2021.</w:t>
      </w:r>
    </w:p>
    <w:p w:rsidR="00BC3CE6" w:rsidRDefault="009A2DE5">
      <w:pPr>
        <w:spacing w:after="150"/>
        <w:jc w:val="both"/>
      </w:pPr>
      <w:r>
        <w:rPr>
          <w:i/>
          <w:color w:val="000000"/>
        </w:rPr>
        <w:t>618 У независном мониторингу се наводи да „чак и када женске организације самоиницијативно спроводе активности усмерене у правцу помирења, представници јавних власти не желе да у њима учествују, а у неким случајевима чак и активно раде на томе да спрече д</w:t>
      </w:r>
      <w:r>
        <w:rPr>
          <w:i/>
          <w:color w:val="000000"/>
        </w:rPr>
        <w:t>а до разговора Српкиња и Албанки уопште дође”, Исто.</w:t>
      </w:r>
    </w:p>
    <w:p w:rsidR="00BC3CE6" w:rsidRDefault="009A2DE5">
      <w:pPr>
        <w:spacing w:after="150"/>
        <w:jc w:val="both"/>
      </w:pPr>
      <w:r>
        <w:rPr>
          <w:i/>
          <w:color w:val="000000"/>
        </w:rPr>
        <w:t>619 Ибид.</w:t>
      </w:r>
    </w:p>
    <w:p w:rsidR="00BC3CE6" w:rsidRDefault="009A2DE5">
      <w:pPr>
        <w:spacing w:after="150"/>
        <w:jc w:val="both"/>
      </w:pPr>
      <w:r>
        <w:rPr>
          <w:i/>
          <w:color w:val="000000"/>
        </w:rPr>
        <w:t>620</w:t>
      </w:r>
      <w:r>
        <w:rPr>
          <w:i/>
          <w:color w:val="000000"/>
        </w:rPr>
        <w:tab/>
        <w:t>Доступно на: https://rc.gradjanske.org/kako-mediji-izvestavaju-o-nasilju-prema-zenama/ приступ 26.5.2021.</w:t>
      </w:r>
    </w:p>
    <w:p w:rsidR="00BC3CE6" w:rsidRDefault="009A2DE5">
      <w:pPr>
        <w:spacing w:after="150"/>
        <w:jc w:val="both"/>
      </w:pPr>
      <w:r>
        <w:rPr>
          <w:i/>
          <w:color w:val="000000"/>
        </w:rPr>
        <w:t>621</w:t>
      </w:r>
      <w:r>
        <w:rPr>
          <w:i/>
          <w:color w:val="000000"/>
        </w:rPr>
        <w:tab/>
        <w:t>Доступно на: https://www.danas.rs/drustvo/pasalic-zabrinjavajuci-stepen-mrznje-</w:t>
      </w:r>
      <w:r>
        <w:rPr>
          <w:i/>
          <w:color w:val="000000"/>
        </w:rPr>
        <w:t>kojoj-su-zene-u-javnosti-izlozene/ приступ 26.5.2021.</w:t>
      </w:r>
    </w:p>
    <w:p w:rsidR="00BC3CE6" w:rsidRDefault="009A2DE5">
      <w:pPr>
        <w:spacing w:after="150"/>
        <w:jc w:val="both"/>
      </w:pPr>
      <w:r>
        <w:rPr>
          <w:i/>
          <w:color w:val="000000"/>
        </w:rPr>
        <w:t>622</w:t>
      </w:r>
      <w:r>
        <w:rPr>
          <w:i/>
          <w:color w:val="000000"/>
        </w:rPr>
        <w:tab/>
        <w:t>Доступно на: https://www.021.rs/story/Info/Biznis-i-ekonomija/132358/Recenice-koje-mozda-slusate-svaki-dan-a-koje-su-mobing.html, приступ 30.5.2021.</w:t>
      </w:r>
    </w:p>
    <w:p w:rsidR="00BC3CE6" w:rsidRDefault="009A2DE5">
      <w:pPr>
        <w:spacing w:after="150"/>
        <w:jc w:val="both"/>
      </w:pPr>
      <w:r>
        <w:rPr>
          <w:i/>
          <w:color w:val="000000"/>
        </w:rPr>
        <w:t xml:space="preserve">623 Истраживање је спровео ОЕБС (2018). Доступно </w:t>
      </w:r>
      <w:r>
        <w:rPr>
          <w:i/>
          <w:color w:val="000000"/>
        </w:rPr>
        <w:t>на: https://www.osce.org/sr/secretariat/419756, приступ 15.6.2021.</w:t>
      </w:r>
    </w:p>
    <w:p w:rsidR="00BC3CE6" w:rsidRDefault="009A2DE5">
      <w:pPr>
        <w:spacing w:after="150"/>
        <w:jc w:val="both"/>
      </w:pPr>
      <w:r>
        <w:rPr>
          <w:i/>
          <w:color w:val="000000"/>
        </w:rPr>
        <w:t>624 Ибид.</w:t>
      </w:r>
    </w:p>
    <w:p w:rsidR="00BC3CE6" w:rsidRDefault="009A2DE5">
      <w:pPr>
        <w:spacing w:after="150"/>
        <w:jc w:val="both"/>
      </w:pPr>
      <w:r>
        <w:rPr>
          <w:i/>
          <w:color w:val="000000"/>
        </w:rPr>
        <w:t>625</w:t>
      </w:r>
      <w:r>
        <w:rPr>
          <w:i/>
          <w:color w:val="000000"/>
        </w:rPr>
        <w:tab/>
        <w:t>Доступно на: https://www.paragraf.rs/propisi/zakon_o_sprecavanju_nasilja_u_porodici.html, приступ 20.5.2021.</w:t>
      </w:r>
    </w:p>
    <w:p w:rsidR="00BC3CE6" w:rsidRDefault="009A2DE5">
      <w:pPr>
        <w:spacing w:after="150"/>
        <w:jc w:val="both"/>
      </w:pPr>
      <w:r>
        <w:rPr>
          <w:i/>
          <w:color w:val="000000"/>
        </w:rPr>
        <w:t>626 Доступно на: https://www.kpu.edu.rs/cms/ приступ 14.6.2021.</w:t>
      </w:r>
    </w:p>
    <w:p w:rsidR="00BC3CE6" w:rsidRDefault="009A2DE5">
      <w:pPr>
        <w:spacing w:after="150"/>
        <w:jc w:val="both"/>
      </w:pPr>
      <w:r>
        <w:rPr>
          <w:i/>
          <w:color w:val="000000"/>
        </w:rPr>
        <w:t>627</w:t>
      </w:r>
      <w:r>
        <w:rPr>
          <w:i/>
          <w:color w:val="000000"/>
        </w:rPr>
        <w:tab/>
        <w:t>Доступно на: https://pars.rs/sr/tags/sprecavanje-nasilja-u-porodici приступ 14.6.2021.</w:t>
      </w:r>
    </w:p>
    <w:p w:rsidR="00BC3CE6" w:rsidRDefault="009A2DE5">
      <w:pPr>
        <w:spacing w:after="150"/>
        <w:jc w:val="both"/>
      </w:pPr>
      <w:r>
        <w:rPr>
          <w:i/>
          <w:color w:val="000000"/>
        </w:rPr>
        <w:t>628 Видети Посебан извештај Заштитника грађана о раду Група за координацију и сарадњу са подручја града Београда, 2020, доступно на: https://www.ombudsman.rs/index.p</w:t>
      </w:r>
      <w:r>
        <w:rPr>
          <w:i/>
          <w:color w:val="000000"/>
        </w:rPr>
        <w:t>hp/izvestaji/posebnii-izvestaji/6804-p-s-b-n-izv-sh-z-sh-i-ni-gr-d-n-r-du-grup-z-rdin-ci-u-i-s-r-dnju-n-p-druc-u-gr-d-b-gr-d приступ: 13.9.2021.</w:t>
      </w:r>
    </w:p>
    <w:p w:rsidR="00BC3CE6" w:rsidRDefault="009A2DE5">
      <w:pPr>
        <w:spacing w:after="150"/>
        <w:jc w:val="both"/>
      </w:pPr>
      <w:r>
        <w:rPr>
          <w:i/>
          <w:color w:val="000000"/>
        </w:rPr>
        <w:t xml:space="preserve">629 Члан 17. није адекватно сагледао специфичне потребе Ромкиња које су изложене породичном насиљу. Како </w:t>
      </w:r>
      <w:r>
        <w:rPr>
          <w:i/>
          <w:color w:val="000000"/>
        </w:rPr>
        <w:t>Ромкиње живе у проширеним породицама са родитељима насилника, у случају изрицања хитне мере оне буду изложене додатној тортури и насиљу од стране породице насилника и приморане да повуку кривичне пријаве за насиље у породици.</w:t>
      </w:r>
    </w:p>
    <w:p w:rsidR="00BC3CE6" w:rsidRDefault="009A2DE5">
      <w:pPr>
        <w:spacing w:after="150"/>
        <w:jc w:val="both"/>
      </w:pPr>
      <w:r>
        <w:rPr>
          <w:i/>
          <w:color w:val="000000"/>
        </w:rPr>
        <w:t>630 Ибид.</w:t>
      </w:r>
    </w:p>
    <w:p w:rsidR="00BC3CE6" w:rsidRDefault="009A2DE5">
      <w:pPr>
        <w:spacing w:after="150"/>
        <w:jc w:val="both"/>
      </w:pPr>
      <w:r>
        <w:rPr>
          <w:i/>
          <w:color w:val="000000"/>
        </w:rPr>
        <w:t>631</w:t>
      </w:r>
      <w:r>
        <w:rPr>
          <w:i/>
          <w:color w:val="000000"/>
        </w:rPr>
        <w:tab/>
        <w:t>Дoступно на: htt</w:t>
      </w:r>
      <w:r>
        <w:rPr>
          <w:i/>
          <w:color w:val="000000"/>
        </w:rPr>
        <w:t>ps://www.paragraf.rs/izmene_i_dopune/241116-zakon_o_izmenama_i_dopunama_krivicnog_zakonika.html, приступ 7.6.2021.</w:t>
      </w:r>
    </w:p>
    <w:p w:rsidR="00BC3CE6" w:rsidRDefault="009A2DE5">
      <w:pPr>
        <w:spacing w:after="150"/>
        <w:jc w:val="both"/>
      </w:pPr>
      <w:r>
        <w:rPr>
          <w:i/>
          <w:color w:val="000000"/>
        </w:rPr>
        <w:lastRenderedPageBreak/>
        <w:t>632 Доступно на: https://www.paragraf.rs/dnevne-vesti/140916/140916-vest10.html приступ 13.6.2021.</w:t>
      </w:r>
    </w:p>
    <w:p w:rsidR="00BC3CE6" w:rsidRDefault="009A2DE5">
      <w:pPr>
        <w:spacing w:after="150"/>
        <w:jc w:val="both"/>
      </w:pPr>
      <w:r>
        <w:rPr>
          <w:i/>
          <w:color w:val="000000"/>
        </w:rPr>
        <w:t>633 Доступно на: https://www.paragraf.rs/p</w:t>
      </w:r>
      <w:r>
        <w:rPr>
          <w:i/>
          <w:color w:val="000000"/>
        </w:rPr>
        <w:t>ropisi/zakon-o-azilu-i-privremenoj-zastiti.html приступ 13.6.2021.</w:t>
      </w:r>
    </w:p>
    <w:p w:rsidR="00BC3CE6" w:rsidRDefault="009A2DE5">
      <w:pPr>
        <w:spacing w:after="150"/>
        <w:jc w:val="both"/>
      </w:pPr>
      <w:r>
        <w:rPr>
          <w:i/>
          <w:color w:val="000000"/>
        </w:rPr>
        <w:t>634 „Службени гласник РС”, број 52/01.</w:t>
      </w:r>
    </w:p>
    <w:p w:rsidR="00BC3CE6" w:rsidRDefault="009A2DE5">
      <w:pPr>
        <w:spacing w:after="150"/>
        <w:jc w:val="both"/>
      </w:pPr>
      <w:r>
        <w:rPr>
          <w:i/>
          <w:color w:val="000000"/>
        </w:rPr>
        <w:t>635 „Службени гласник РС”, број 52/01.</w:t>
      </w:r>
    </w:p>
    <w:p w:rsidR="00BC3CE6" w:rsidRDefault="009A2DE5">
      <w:pPr>
        <w:spacing w:after="150"/>
        <w:jc w:val="both"/>
      </w:pPr>
      <w:r>
        <w:rPr>
          <w:i/>
          <w:color w:val="000000"/>
        </w:rPr>
        <w:t>636 Члан 6. став 1. тач. 10, 11. и 12. Закона о родној равноправности.</w:t>
      </w:r>
    </w:p>
    <w:p w:rsidR="00BC3CE6" w:rsidRDefault="009A2DE5">
      <w:pPr>
        <w:spacing w:after="150"/>
        <w:jc w:val="both"/>
      </w:pPr>
      <w:r>
        <w:rPr>
          <w:i/>
          <w:color w:val="000000"/>
        </w:rPr>
        <w:t>637 Члан 6. став 1. тач. 13, 15. и 16. З</w:t>
      </w:r>
      <w:r>
        <w:rPr>
          <w:i/>
          <w:color w:val="000000"/>
        </w:rPr>
        <w:t>акона о родној равноправности.</w:t>
      </w:r>
    </w:p>
    <w:p w:rsidR="00BC3CE6" w:rsidRDefault="009A2DE5">
      <w:pPr>
        <w:spacing w:after="150"/>
        <w:jc w:val="both"/>
      </w:pPr>
      <w:r>
        <w:rPr>
          <w:i/>
          <w:color w:val="000000"/>
        </w:rPr>
        <w:t>638</w:t>
      </w:r>
      <w:r>
        <w:rPr>
          <w:i/>
          <w:color w:val="000000"/>
        </w:rPr>
        <w:tab/>
        <w:t>Доступно на: https://www.danas.rs/drustvo/mreza-zene-protiv-nasilja-od-pocetka-2020-ubijeno-sest-zena-brojke-mogu-biti-vece/ приступ 23.5.2021.</w:t>
      </w:r>
    </w:p>
    <w:p w:rsidR="00BC3CE6" w:rsidRDefault="009A2DE5">
      <w:pPr>
        <w:spacing w:after="150"/>
        <w:jc w:val="both"/>
      </w:pPr>
      <w:r>
        <w:rPr>
          <w:i/>
          <w:color w:val="000000"/>
        </w:rPr>
        <w:t>639</w:t>
      </w:r>
      <w:r>
        <w:rPr>
          <w:i/>
          <w:color w:val="000000"/>
        </w:rPr>
        <w:tab/>
        <w:t>Доступно на: https://publikacije.stat.gov.rs/G2021/Pdf/G20213009.pdf, при</w:t>
      </w:r>
      <w:r>
        <w:rPr>
          <w:i/>
          <w:color w:val="000000"/>
        </w:rPr>
        <w:t>ступ 13.9.2021.</w:t>
      </w:r>
    </w:p>
    <w:p w:rsidR="00BC3CE6" w:rsidRDefault="009A2DE5">
      <w:pPr>
        <w:spacing w:after="150"/>
        <w:jc w:val="both"/>
      </w:pPr>
      <w:r>
        <w:rPr>
          <w:i/>
          <w:color w:val="000000"/>
        </w:rPr>
        <w:t>640</w:t>
      </w:r>
      <w:r>
        <w:rPr>
          <w:i/>
          <w:color w:val="000000"/>
        </w:rPr>
        <w:tab/>
        <w:t>Доступно на: https://www.zeneprotivnasilja.net/femicid-u-srbiji#2010-godina, приступ 17.6.2021.</w:t>
      </w:r>
    </w:p>
    <w:p w:rsidR="00BC3CE6" w:rsidRDefault="009A2DE5">
      <w:pPr>
        <w:spacing w:after="150"/>
        <w:jc w:val="both"/>
      </w:pPr>
      <w:r>
        <w:rPr>
          <w:i/>
          <w:color w:val="000000"/>
        </w:rPr>
        <w:t>641 Ибид.</w:t>
      </w:r>
    </w:p>
    <w:p w:rsidR="00BC3CE6" w:rsidRDefault="009A2DE5">
      <w:pPr>
        <w:spacing w:after="150"/>
        <w:jc w:val="both"/>
      </w:pPr>
      <w:r>
        <w:rPr>
          <w:i/>
          <w:color w:val="000000"/>
        </w:rPr>
        <w:t>642</w:t>
      </w:r>
      <w:r>
        <w:rPr>
          <w:i/>
          <w:color w:val="000000"/>
        </w:rPr>
        <w:tab/>
        <w:t xml:space="preserve">Доступно на: http://www.femplatz.org/library/publications/2019-11_Femicid_monografija_Prva_publikacija_E_primerak.pdf приступ </w:t>
      </w:r>
      <w:r>
        <w:rPr>
          <w:i/>
          <w:color w:val="000000"/>
        </w:rPr>
        <w:t>17.6.2021.</w:t>
      </w:r>
    </w:p>
    <w:p w:rsidR="00BC3CE6" w:rsidRDefault="009A2DE5">
      <w:pPr>
        <w:spacing w:after="150"/>
        <w:jc w:val="both"/>
      </w:pPr>
      <w:r>
        <w:rPr>
          <w:i/>
          <w:color w:val="000000"/>
        </w:rPr>
        <w:t>643 У 2019. години завршен је поступак по кривичној пријави за 92 797 пунолетних учинилаца кривичних дела, што је 0,1% мање него у 2018. години, док је правоснажно осуђено 28 112 пунолетних лица што је за 6% мање него у 2018. години. Кривична де</w:t>
      </w:r>
      <w:r>
        <w:rPr>
          <w:i/>
          <w:color w:val="000000"/>
        </w:rPr>
        <w:t>ла против брака и породице су међу најбројнијим кривичним делима за која су правоснажно осуђена п У Ревидирани АП за Поглавље 23, додат је као (нови) показатељ „јавно доступни квартални извештаји о спровођењу закона”, а АЖЦ наставља са независним извештава</w:t>
      </w:r>
      <w:r>
        <w:rPr>
          <w:i/>
          <w:color w:val="000000"/>
        </w:rPr>
        <w:t>њем о праћењу примене овог закона.643 пунолетна лица 14,8%. Доступно на: https://www.stat.gov.rs/sr-latn/oblasti/pravosudje/ приступ 17.6.2021.</w:t>
      </w:r>
    </w:p>
    <w:p w:rsidR="00BC3CE6" w:rsidRDefault="009A2DE5">
      <w:pPr>
        <w:spacing w:after="150"/>
        <w:jc w:val="both"/>
      </w:pPr>
      <w:r>
        <w:rPr>
          <w:i/>
          <w:color w:val="000000"/>
        </w:rPr>
        <w:t>644 Божанић, Д. Род и малокалибарско оружје у Србији: Кључне чињенице, UNDP SEESAC, 2019, str. 9</w:t>
      </w:r>
    </w:p>
    <w:p w:rsidR="00BC3CE6" w:rsidRDefault="009A2DE5">
      <w:pPr>
        <w:spacing w:after="150"/>
        <w:jc w:val="both"/>
      </w:pPr>
      <w:r>
        <w:rPr>
          <w:i/>
          <w:color w:val="000000"/>
        </w:rPr>
        <w:t>645 Ибид.</w:t>
      </w:r>
    </w:p>
    <w:p w:rsidR="00BC3CE6" w:rsidRDefault="009A2DE5">
      <w:pPr>
        <w:spacing w:after="150"/>
        <w:jc w:val="both"/>
      </w:pPr>
      <w:r>
        <w:rPr>
          <w:i/>
          <w:color w:val="000000"/>
        </w:rPr>
        <w:t>646 „</w:t>
      </w:r>
      <w:r>
        <w:rPr>
          <w:i/>
          <w:color w:val="000000"/>
        </w:rPr>
        <w:t>Службени гласник РС”, бр. 20/15, 10/19 и 20/20.</w:t>
      </w:r>
    </w:p>
    <w:p w:rsidR="00BC3CE6" w:rsidRDefault="009A2DE5">
      <w:pPr>
        <w:spacing w:after="150"/>
        <w:jc w:val="both"/>
      </w:pPr>
      <w:r>
        <w:rPr>
          <w:i/>
          <w:color w:val="000000"/>
        </w:rPr>
        <w:t>647 Независни извештај о локализацији НАП-а 1325 у Србији сачињен у оквиру пројекта „подршка учешћу цивилног друштва у имплементацији и праћењу НАП за Резолуцију СБУН 1325 (2017–2020) на локалном нивоу”, (201</w:t>
      </w:r>
      <w:r>
        <w:rPr>
          <w:i/>
          <w:color w:val="000000"/>
        </w:rPr>
        <w:t>8–2019. године), Центар за подршку женама, уз подршку мисије ОEBS у Србији, припремила Бјелош, М.</w:t>
      </w:r>
    </w:p>
    <w:p w:rsidR="00BC3CE6" w:rsidRDefault="009A2DE5">
      <w:pPr>
        <w:spacing w:after="150"/>
        <w:jc w:val="both"/>
      </w:pPr>
      <w:r>
        <w:rPr>
          <w:i/>
          <w:color w:val="000000"/>
        </w:rPr>
        <w:t>648 „Службени гласник РС”, број 18/20.</w:t>
      </w:r>
    </w:p>
    <w:p w:rsidR="00BC3CE6" w:rsidRDefault="009A2DE5">
      <w:pPr>
        <w:spacing w:after="150"/>
        <w:jc w:val="both"/>
      </w:pPr>
      <w:r>
        <w:rPr>
          <w:i/>
          <w:color w:val="000000"/>
        </w:rPr>
        <w:lastRenderedPageBreak/>
        <w:t>649 Према стручном мишљењу Фонда за хуманитарно право, овај нацрт Закона је дискриминаторан у делу у којем нацрт пропис</w:t>
      </w:r>
      <w:r>
        <w:rPr>
          <w:i/>
          <w:color w:val="000000"/>
        </w:rPr>
        <w:t>ује да би жртва остварила статус цивилног инвалида рата или члана породице цивилне жртве рата, потребно је да истовремено испуни неколико услова: да је држављанин Србије, да има телесно оштећење од 50%, да је повреду претрпела од стране непријатеља током р</w:t>
      </w:r>
      <w:r>
        <w:rPr>
          <w:i/>
          <w:color w:val="000000"/>
        </w:rPr>
        <w:t>ата или оружаног сукоба, као и да се та повреда догодила на територији Србије. Овако предвиђено законско решење велики број жртава онемогућава да остваре своја права. Тако жртве сексуалног насиља не могу остварити статус цивилног инвалида рата, јер сексуал</w:t>
      </w:r>
      <w:r>
        <w:rPr>
          <w:i/>
          <w:color w:val="000000"/>
        </w:rPr>
        <w:t>но насиље најчешће не доводи до телесних, већ до психичких последица које Нацрт закона не препознаје.</w:t>
      </w:r>
    </w:p>
    <w:p w:rsidR="00BC3CE6" w:rsidRDefault="009A2DE5">
      <w:pPr>
        <w:spacing w:after="120"/>
        <w:jc w:val="center"/>
      </w:pPr>
      <w:r>
        <w:rPr>
          <w:i/>
          <w:color w:val="000000"/>
        </w:rPr>
        <w:t>5.2.4. Политички живот и учешће жена у одлучивању о јавним пословима</w:t>
      </w:r>
    </w:p>
    <w:p w:rsidR="00BC3CE6" w:rsidRDefault="009A2DE5">
      <w:pPr>
        <w:spacing w:after="150"/>
      </w:pPr>
      <w:r>
        <w:rPr>
          <w:color w:val="000000"/>
        </w:rPr>
        <w:t>Родни јаз и даље је присутан у политичком животу, посебно у политичким странкама, при</w:t>
      </w:r>
      <w:r>
        <w:rPr>
          <w:color w:val="000000"/>
        </w:rPr>
        <w:t>ступу руководећим местима у институцијама, јавним установама, највишим позицијама у ЈЛС и месним заједницама. Стереотипи и предрасуде и даље постоје што доводи до тога да се политички ангажман жена редукује на области и питања које се традиционално сматрај</w:t>
      </w:r>
      <w:r>
        <w:rPr>
          <w:color w:val="000000"/>
        </w:rPr>
        <w:t>у женским питањима. Равноправно учешће жена у политичком и јавном животу од суштинске је важности за постизање ЦОР – Агенде 2030, посебно циља 5. Иако је родни јаз у овој области смањен, а ангажовање жена у политичком животу повећано посебно њихова заступљ</w:t>
      </w:r>
      <w:r>
        <w:rPr>
          <w:color w:val="000000"/>
        </w:rPr>
        <w:t>еност у скупштинама на националном, покрајинском и локалном нивоу</w:t>
      </w:r>
      <w:r>
        <w:rPr>
          <w:color w:val="000000"/>
          <w:vertAlign w:val="superscript"/>
        </w:rPr>
        <w:t>650</w:t>
      </w:r>
      <w:r>
        <w:rPr>
          <w:color w:val="000000"/>
        </w:rPr>
        <w:t>, још увек је мање жена међу доносиоцима одлука (УН: индикатор 5.5.1). Највећи родни јаз је на највишим позицијама у ЈЛС и месним заједницама.</w:t>
      </w:r>
      <w:r>
        <w:rPr>
          <w:color w:val="000000"/>
          <w:vertAlign w:val="superscript"/>
        </w:rPr>
        <w:t>651</w:t>
      </w:r>
      <w:r>
        <w:rPr>
          <w:color w:val="000000"/>
        </w:rPr>
        <w:t xml:space="preserve"> Жене су мање заступљене на местима председ</w:t>
      </w:r>
      <w:r>
        <w:rPr>
          <w:color w:val="000000"/>
        </w:rPr>
        <w:t>ника општина, амбасадора, као и на руководећим положајима у јавним предузећима.</w:t>
      </w:r>
      <w:r>
        <w:rPr>
          <w:color w:val="000000"/>
          <w:vertAlign w:val="superscript"/>
        </w:rPr>
        <w:t>652</w:t>
      </w:r>
      <w:r>
        <w:rPr>
          <w:color w:val="000000"/>
        </w:rPr>
        <w:t xml:space="preserve"> Поред заступљености жена у органима јавне власти, једнако значајна је и: њихова заступљеност на руководећим местима у тим органима; процедуре које омогућавају утицај на одлу</w:t>
      </w:r>
      <w:r>
        <w:rPr>
          <w:color w:val="000000"/>
        </w:rPr>
        <w:t xml:space="preserve">чивање о јавним пословима; као и превазилажење стереотипа који политички ангажман жена редукују на само области друштвеног живота које се традиционално сматрају женским пословима (породица, социјална питања, брига о деци, старима, особама са инвалидитетом </w:t>
      </w:r>
      <w:r>
        <w:rPr>
          <w:color w:val="000000"/>
        </w:rPr>
        <w:t>и понекада здравствена заштита, образовање и култура). Национална стратегија за родну равноправност је посебно значајан инструмент за унапређење родне равноправности и у овој области.</w:t>
      </w:r>
    </w:p>
    <w:p w:rsidR="00BC3CE6" w:rsidRDefault="009A2DE5">
      <w:pPr>
        <w:spacing w:after="150"/>
      </w:pPr>
      <w:r>
        <w:rPr>
          <w:color w:val="000000"/>
        </w:rPr>
        <w:t>Заступљеност жена у скупштинама је повећана, али не и на руководећим мес</w:t>
      </w:r>
      <w:r>
        <w:rPr>
          <w:color w:val="000000"/>
        </w:rPr>
        <w:t>тима. У Републици Србији су почетком 2020. године усвојене измене Закона о избору народних посланика</w:t>
      </w:r>
      <w:r>
        <w:rPr>
          <w:color w:val="000000"/>
          <w:vertAlign w:val="superscript"/>
        </w:rPr>
        <w:t>653</w:t>
      </w:r>
      <w:r>
        <w:rPr>
          <w:color w:val="000000"/>
        </w:rPr>
        <w:t>, Закона о локалним изборима</w:t>
      </w:r>
      <w:r>
        <w:rPr>
          <w:color w:val="000000"/>
          <w:vertAlign w:val="superscript"/>
        </w:rPr>
        <w:t>654</w:t>
      </w:r>
      <w:r>
        <w:rPr>
          <w:color w:val="000000"/>
        </w:rPr>
        <w:t>, као и Покрајинска скупштинска одлука о избору посланика у Скупштину АПВ</w:t>
      </w:r>
      <w:r>
        <w:rPr>
          <w:color w:val="000000"/>
          <w:vertAlign w:val="superscript"/>
        </w:rPr>
        <w:t>655</w:t>
      </w:r>
      <w:r>
        <w:rPr>
          <w:color w:val="000000"/>
        </w:rPr>
        <w:t xml:space="preserve"> којима су регулисане квоте за мање заступљени</w:t>
      </w:r>
      <w:r>
        <w:rPr>
          <w:color w:val="000000"/>
        </w:rPr>
        <w:t xml:space="preserve"> пол од 40% и резервисана места на изборним листама.</w:t>
      </w:r>
      <w:r>
        <w:rPr>
          <w:color w:val="000000"/>
          <w:vertAlign w:val="superscript"/>
        </w:rPr>
        <w:t>656</w:t>
      </w:r>
      <w:r>
        <w:rPr>
          <w:color w:val="000000"/>
        </w:rPr>
        <w:t xml:space="preserve"> Парламентарни, локални и покрајински избори одржани су 21. јуна 2020. године. Актуелни сазив Народне скупштине</w:t>
      </w:r>
      <w:r>
        <w:rPr>
          <w:color w:val="000000"/>
          <w:vertAlign w:val="superscript"/>
        </w:rPr>
        <w:t>657</w:t>
      </w:r>
      <w:r>
        <w:rPr>
          <w:color w:val="000000"/>
        </w:rPr>
        <w:t xml:space="preserve"> чини 98 посланица (39,2%)</w:t>
      </w:r>
      <w:r>
        <w:rPr>
          <w:color w:val="000000"/>
          <w:vertAlign w:val="superscript"/>
        </w:rPr>
        <w:t>658</w:t>
      </w:r>
      <w:r>
        <w:rPr>
          <w:color w:val="000000"/>
        </w:rPr>
        <w:t xml:space="preserve"> и 152 посланика (60,2%). На челу Народне скупштине је пре</w:t>
      </w:r>
      <w:r>
        <w:rPr>
          <w:color w:val="000000"/>
        </w:rPr>
        <w:t xml:space="preserve">дседник. Народна скупштина има 20 одбора. </w:t>
      </w:r>
      <w:r>
        <w:rPr>
          <w:color w:val="000000"/>
        </w:rPr>
        <w:lastRenderedPageBreak/>
        <w:t>Жене су на челу пет (25%)</w:t>
      </w:r>
      <w:r>
        <w:rPr>
          <w:color w:val="000000"/>
          <w:vertAlign w:val="superscript"/>
        </w:rPr>
        <w:t>659</w:t>
      </w:r>
      <w:r>
        <w:rPr>
          <w:color w:val="000000"/>
        </w:rPr>
        <w:t>, а мушкарци 15 (75%) одбора. Међу заменицима председника одбора је десет жена и девет мушкараца</w:t>
      </w:r>
      <w:r>
        <w:rPr>
          <w:color w:val="000000"/>
          <w:vertAlign w:val="superscript"/>
        </w:rPr>
        <w:t>660</w:t>
      </w:r>
      <w:r>
        <w:rPr>
          <w:color w:val="000000"/>
        </w:rPr>
        <w:t xml:space="preserve">, а међу секретарима одбора је чак 16 (80%) жена. У саставу одбора, жене чине већину у </w:t>
      </w:r>
      <w:r>
        <w:rPr>
          <w:color w:val="000000"/>
        </w:rPr>
        <w:t>шест одбора</w:t>
      </w:r>
      <w:r>
        <w:rPr>
          <w:color w:val="000000"/>
          <w:vertAlign w:val="superscript"/>
        </w:rPr>
        <w:t>661</w:t>
      </w:r>
      <w:r>
        <w:rPr>
          <w:color w:val="000000"/>
        </w:rPr>
        <w:t>, од којих половина покрива области које се стереотипно повезују са женама, а мушкарци у одборима који покривају области које се стереотипно везују за мушкарце.</w:t>
      </w:r>
      <w:r>
        <w:rPr>
          <w:color w:val="000000"/>
          <w:vertAlign w:val="superscript"/>
        </w:rPr>
        <w:t>662</w:t>
      </w:r>
      <w:r>
        <w:rPr>
          <w:color w:val="000000"/>
        </w:rPr>
        <w:t xml:space="preserve"> У Народној скупштини постоје механизми РР. Заступљеност жена на местима предсе</w:t>
      </w:r>
      <w:r>
        <w:rPr>
          <w:color w:val="000000"/>
        </w:rPr>
        <w:t>дника одбора, састав радних тела и знатно већа заступљеност жена међу секретарима радних тела, показује да су и даље присутни родни стереотипи. Упркос повећању заступљености жена у скупштинама на свим нивоима, до које је дошло применом квоте од најмање 40%</w:t>
      </w:r>
      <w:r>
        <w:rPr>
          <w:color w:val="000000"/>
        </w:rPr>
        <w:t xml:space="preserve"> за мање заступљени пол, родни јаз је и даље присутан у политичком животу и институцијама јавне власти. Недавно усвојен ЗРР установљава квоту од 40% за мање заступљени пол</w:t>
      </w:r>
      <w:r>
        <w:rPr>
          <w:color w:val="000000"/>
          <w:vertAlign w:val="superscript"/>
        </w:rPr>
        <w:t>663</w:t>
      </w:r>
      <w:r>
        <w:rPr>
          <w:color w:val="000000"/>
        </w:rPr>
        <w:t xml:space="preserve"> и обавезује органе јавне власти да у органима управљања и надзора у којима није п</w:t>
      </w:r>
      <w:r>
        <w:rPr>
          <w:color w:val="000000"/>
        </w:rPr>
        <w:t>остигнута уравнотежена заступљеност полова примене квоту од најмање 40% за мање заступљени пол као посебну меру</w:t>
      </w:r>
      <w:r>
        <w:rPr>
          <w:color w:val="000000"/>
          <w:vertAlign w:val="superscript"/>
        </w:rPr>
        <w:t>664</w:t>
      </w:r>
      <w:r>
        <w:rPr>
          <w:color w:val="000000"/>
        </w:rPr>
        <w:t xml:space="preserve"> која треба да смањи родни јаз како би се достигла уравнотежена заступљеност полова и на руководећим положајима.</w:t>
      </w:r>
    </w:p>
    <w:p w:rsidR="00BC3CE6" w:rsidRDefault="009A2DE5">
      <w:pPr>
        <w:spacing w:after="150"/>
      </w:pPr>
      <w:r>
        <w:rPr>
          <w:color w:val="000000"/>
        </w:rPr>
        <w:t xml:space="preserve">Заступљеност жена у органима </w:t>
      </w:r>
      <w:r>
        <w:rPr>
          <w:color w:val="000000"/>
        </w:rPr>
        <w:t>извршне власти је повећана, али је родни јаз евидентан на руководећим позицијама, а родни стереотипи препознатљиви по родно неизбалансираном саставу ресора надлежних за области које се традиционално не сматрају женским пословима. На челу Владе је премијерк</w:t>
      </w:r>
      <w:r>
        <w:rPr>
          <w:color w:val="000000"/>
        </w:rPr>
        <w:t>а. Од пет потпредседника Владе две су жене (40%). Од укупно 23 ресора, 10 предводе министарке (43,4%)</w:t>
      </w:r>
      <w:r>
        <w:rPr>
          <w:color w:val="000000"/>
          <w:vertAlign w:val="superscript"/>
        </w:rPr>
        <w:t>665</w:t>
      </w:r>
      <w:r>
        <w:rPr>
          <w:color w:val="000000"/>
        </w:rPr>
        <w:t>, а међу државним секретарима, у 17 министарстава за које су подаци доступни, укупно је 60 жена, од којих су 18 (30%) на положају државне секретарке. Же</w:t>
      </w:r>
      <w:r>
        <w:rPr>
          <w:color w:val="000000"/>
        </w:rPr>
        <w:t xml:space="preserve">не чине већину у Министарству грађевинарства, саобраћаја и инфраструктуре, а међу шест државних секретара, пет су жене (83,3%). У Министарству за људска и мањинска права и друштвени дијалог и Министарству државне управе и локалне самоуправе жене чине 1/3, </w:t>
      </w:r>
      <w:r>
        <w:rPr>
          <w:color w:val="000000"/>
        </w:rPr>
        <w:t>а међу државним секретарима именована је и по једна жена. У шест министарстава за државне секретаре именовани су искључиво мушкарци.</w:t>
      </w:r>
      <w:r>
        <w:rPr>
          <w:color w:val="000000"/>
          <w:vertAlign w:val="superscript"/>
        </w:rPr>
        <w:t>666</w:t>
      </w:r>
      <w:r>
        <w:rPr>
          <w:color w:val="000000"/>
        </w:rPr>
        <w:t xml:space="preserve"> На местима секретара министарстава у 18 министарстава за које су подаци доступни, жене су заступљене са 83,3% (15 жена и</w:t>
      </w:r>
      <w:r>
        <w:rPr>
          <w:color w:val="000000"/>
        </w:rPr>
        <w:t xml:space="preserve"> 3 мушкарца).</w:t>
      </w:r>
      <w:r>
        <w:rPr>
          <w:color w:val="000000"/>
          <w:vertAlign w:val="superscript"/>
        </w:rPr>
        <w:t>667</w:t>
      </w:r>
      <w:r>
        <w:rPr>
          <w:color w:val="000000"/>
        </w:rPr>
        <w:t xml:space="preserve"> У државној администрацији на републичком нивоу запослено је 61% жена, администрацији АПВ 55,9% и у локалној администрацији 58% жена.</w:t>
      </w:r>
      <w:r>
        <w:rPr>
          <w:color w:val="000000"/>
          <w:vertAlign w:val="superscript"/>
        </w:rPr>
        <w:t>668</w:t>
      </w:r>
      <w:r>
        <w:rPr>
          <w:color w:val="000000"/>
        </w:rPr>
        <w:t xml:space="preserve"> Механизми за РР (савети, комисије) формирани су и у ЈЛС.</w:t>
      </w:r>
    </w:p>
    <w:p w:rsidR="00BC3CE6" w:rsidRDefault="009A2DE5">
      <w:pPr>
        <w:spacing w:after="150"/>
      </w:pPr>
      <w:r>
        <w:rPr>
          <w:color w:val="000000"/>
        </w:rPr>
        <w:t xml:space="preserve">Заступљеност жена у правосуђу. За разлику од </w:t>
      </w:r>
      <w:r>
        <w:rPr>
          <w:color w:val="000000"/>
        </w:rPr>
        <w:t>законодавне и извршне власти у којима су жене још увек подзаступљене, међу судијама као и председницима судова преовлађују жене што је такође показатељ родног дисбаланса у овој области. У укупном броју судија 71,5% судија су жене.</w:t>
      </w:r>
      <w:r>
        <w:rPr>
          <w:color w:val="000000"/>
          <w:vertAlign w:val="superscript"/>
        </w:rPr>
        <w:t>669</w:t>
      </w:r>
      <w:r>
        <w:rPr>
          <w:color w:val="000000"/>
        </w:rPr>
        <w:t xml:space="preserve"> У Управном суду заступ</w:t>
      </w:r>
      <w:r>
        <w:rPr>
          <w:color w:val="000000"/>
        </w:rPr>
        <w:t xml:space="preserve">љеност жена је 85.7%, у апелационим судовима 77,4%, у прекршајним судовима 75,8%, у привредним судовима 75,2%, а у Врховном касационом суду 65,9%. Међу председницима судова опште и </w:t>
      </w:r>
      <w:r>
        <w:rPr>
          <w:color w:val="000000"/>
        </w:rPr>
        <w:lastRenderedPageBreak/>
        <w:t>посебне надлежности је 58,2% жена, на челу Врховног касационог суда је жена</w:t>
      </w:r>
      <w:r>
        <w:rPr>
          <w:color w:val="000000"/>
        </w:rPr>
        <w:t>, док су председници свих апелационих судова мушкарци.</w:t>
      </w:r>
      <w:r>
        <w:rPr>
          <w:color w:val="000000"/>
          <w:vertAlign w:val="superscript"/>
        </w:rPr>
        <w:t>670</w:t>
      </w:r>
    </w:p>
    <w:p w:rsidR="00BC3CE6" w:rsidRDefault="009A2DE5">
      <w:pPr>
        <w:spacing w:after="150"/>
      </w:pPr>
      <w:r>
        <w:rPr>
          <w:color w:val="000000"/>
        </w:rPr>
        <w:t>Заступљеност жена у дипломатији. Од укупног броја запослених у Министарству спољних послова који имају дипломатска звања, жене су заступљене у сразмери од 56,53 %. Од укупно 71 шефа дипломатско-конз</w:t>
      </w:r>
      <w:r>
        <w:rPr>
          <w:color w:val="000000"/>
        </w:rPr>
        <w:t xml:space="preserve">уларних представништава (амбасада, мисија при међународним организацијама и генералних конзулата), 22 су жене, што износи 30,98% (од укупно 50 амбасадора, 12 су жене; од укупно седам шефова мисија при међународним организацијама, четири су жене; од укупно </w:t>
      </w:r>
      <w:r>
        <w:rPr>
          <w:color w:val="000000"/>
        </w:rPr>
        <w:t>14 генералних конзула, шест су жене). Поред шефова ДКП који су именовани функционери, међу дипломатама који привремено руководе ДКП до именовања новог шефа ДКП, од укупно 19 отправника послова – пет су жене или 26,31%, док су, од укупно девет конзула жеран</w:t>
      </w:r>
      <w:r>
        <w:rPr>
          <w:color w:val="000000"/>
        </w:rPr>
        <w:t>а – седам су жене, односно 77,77%.</w:t>
      </w:r>
      <w:r>
        <w:rPr>
          <w:color w:val="000000"/>
          <w:vertAlign w:val="superscript"/>
        </w:rPr>
        <w:t>671</w:t>
      </w:r>
    </w:p>
    <w:p w:rsidR="00BC3CE6" w:rsidRDefault="009A2DE5">
      <w:pPr>
        <w:spacing w:after="150"/>
      </w:pPr>
      <w:r>
        <w:rPr>
          <w:color w:val="000000"/>
        </w:rPr>
        <w:t>Заступљеност и учешће жена у политичким странкама. У политичким странкама као актерима политичког живота родни јаз опстаје, на унутрашњој демократизацији политичких странака мало се ради, а родна равноправност не сагле</w:t>
      </w:r>
      <w:r>
        <w:rPr>
          <w:color w:val="000000"/>
        </w:rPr>
        <w:t>дава се као чинилац унутрашње демократизације странке. Закон о политичким странкама</w:t>
      </w:r>
      <w:r>
        <w:rPr>
          <w:color w:val="000000"/>
          <w:vertAlign w:val="superscript"/>
        </w:rPr>
        <w:t>672</w:t>
      </w:r>
      <w:r>
        <w:rPr>
          <w:color w:val="000000"/>
        </w:rPr>
        <w:t>, Закон о финансирању политичких странака</w:t>
      </w:r>
      <w:r>
        <w:rPr>
          <w:color w:val="000000"/>
          <w:vertAlign w:val="superscript"/>
        </w:rPr>
        <w:t>673</w:t>
      </w:r>
      <w:r>
        <w:rPr>
          <w:color w:val="000000"/>
        </w:rPr>
        <w:t xml:space="preserve"> не садрже ни једну посебну меру која би допринела повећању заступљености жена у политичким странкама и њиховим органима. У ор</w:t>
      </w:r>
      <w:r>
        <w:rPr>
          <w:color w:val="000000"/>
        </w:rPr>
        <w:t>ганизационој структури политичких странака углавном постоје облици деловања жена најчешће саветодавног карактера</w:t>
      </w:r>
      <w:r>
        <w:rPr>
          <w:color w:val="000000"/>
          <w:vertAlign w:val="superscript"/>
        </w:rPr>
        <w:t>674</w:t>
      </w:r>
      <w:r>
        <w:rPr>
          <w:color w:val="000000"/>
        </w:rPr>
        <w:t>, а председница или одређени број представница тела за родну равноправност у неким странкама је по положају чланица руководећих органа странк</w:t>
      </w:r>
      <w:r>
        <w:rPr>
          <w:color w:val="000000"/>
        </w:rPr>
        <w:t>е.</w:t>
      </w:r>
      <w:r>
        <w:rPr>
          <w:color w:val="000000"/>
          <w:vertAlign w:val="superscript"/>
        </w:rPr>
        <w:t>675</w:t>
      </w:r>
      <w:r>
        <w:rPr>
          <w:color w:val="000000"/>
        </w:rPr>
        <w:t xml:space="preserve"> Посебне мере за унапређење родне равноправности ретко су прописане статутом странке.</w:t>
      </w:r>
      <w:r>
        <w:rPr>
          <w:color w:val="000000"/>
          <w:vertAlign w:val="superscript"/>
        </w:rPr>
        <w:t>676</w:t>
      </w:r>
      <w:r>
        <w:rPr>
          <w:color w:val="000000"/>
        </w:rPr>
        <w:t xml:space="preserve"> Родна перспектива унутар политичких странака не прати се систематски</w:t>
      </w:r>
      <w:r>
        <w:rPr>
          <w:color w:val="000000"/>
          <w:vertAlign w:val="superscript"/>
        </w:rPr>
        <w:t>677</w:t>
      </w:r>
      <w:r>
        <w:rPr>
          <w:color w:val="000000"/>
        </w:rPr>
        <w:t>, подаци о чланству у политичким странкама и њиховим органима нису разврстани по полу, чест</w:t>
      </w:r>
      <w:r>
        <w:rPr>
          <w:color w:val="000000"/>
        </w:rPr>
        <w:t>о су неажурни или недоступни на интернет страницама странака, недостају целовита истраживања родне перспективе у раду политичких странака.</w:t>
      </w:r>
      <w:r>
        <w:rPr>
          <w:color w:val="000000"/>
          <w:vertAlign w:val="superscript"/>
        </w:rPr>
        <w:t>678</w:t>
      </w:r>
      <w:r>
        <w:rPr>
          <w:color w:val="000000"/>
        </w:rPr>
        <w:t xml:space="preserve"> То говори у прилог потреби предузимања посебних мера у циљу отклањања родног јаза у чланству странке, унутар орган</w:t>
      </w:r>
      <w:r>
        <w:rPr>
          <w:color w:val="000000"/>
        </w:rPr>
        <w:t>изационе структуре странке, и интегрисања родне перспективе у програме и конкретне активности странке. Предстоје активности на примени ЗРР, који обавезује политичке странке да предузимају посебне мере уколико у странци није обезбеђена уравнотежена заступље</w:t>
      </w:r>
      <w:r>
        <w:rPr>
          <w:color w:val="000000"/>
        </w:rPr>
        <w:t>ност полова, што захтева и измене Закона о политичким странкама и Закона о финансирању политичких активности као и статута политичких странака и усвајање планова деловања који садрже посебне мере за унапређење родне равноправности и уравнотежене заступљено</w:t>
      </w:r>
      <w:r>
        <w:rPr>
          <w:color w:val="000000"/>
        </w:rPr>
        <w:t>сти полова у органима странке и обезбеђивању активног учешћа мање заступљеног пола у раду тих органа.</w:t>
      </w:r>
      <w:r>
        <w:rPr>
          <w:color w:val="000000"/>
          <w:vertAlign w:val="superscript"/>
        </w:rPr>
        <w:t>679</w:t>
      </w:r>
      <w:r>
        <w:rPr>
          <w:color w:val="000000"/>
        </w:rPr>
        <w:t xml:space="preserve"> Поред тога, неопходна је континуирана активност политичких странака усмерена на превазилажење родних стереотипа, како кроз њихово свакодневно политичко</w:t>
      </w:r>
      <w:r>
        <w:rPr>
          <w:color w:val="000000"/>
        </w:rPr>
        <w:t xml:space="preserve"> деловање, тако и кроз укључивање тема везаних за родну равноправност у едукацију чланства.</w:t>
      </w:r>
    </w:p>
    <w:p w:rsidR="00BC3CE6" w:rsidRDefault="009A2DE5">
      <w:pPr>
        <w:spacing w:after="150"/>
      </w:pPr>
      <w:r>
        <w:rPr>
          <w:color w:val="000000"/>
        </w:rPr>
        <w:lastRenderedPageBreak/>
        <w:t>Учешће жена из рањивих група у политичком и јавном животу. У целини посматрано, недовољна пажња је посвећена овом питању. На то упозорава и препорука CEDAW комитета</w:t>
      </w:r>
      <w:r>
        <w:rPr>
          <w:color w:val="000000"/>
        </w:rPr>
        <w:t xml:space="preserve"> која се односи на предузимање активности којима би се убрзало постизање једнаке заступљеност жена, посебно Ромкиња и особа са инвалидитетом у свим областима јавног и политичког живота.</w:t>
      </w:r>
      <w:r>
        <w:rPr>
          <w:color w:val="000000"/>
          <w:vertAlign w:val="superscript"/>
        </w:rPr>
        <w:t>680</w:t>
      </w:r>
      <w:r>
        <w:rPr>
          <w:color w:val="000000"/>
        </w:rPr>
        <w:t xml:space="preserve"> Известан помак бележи се у стварању услова за бољу приступачност ос</w:t>
      </w:r>
      <w:r>
        <w:rPr>
          <w:color w:val="000000"/>
        </w:rPr>
        <w:t>тваривању изборних права особа са инвалидитетом. Измењена су Упутства за спровођење Закона о избору народних посланика и Закона о локалним изборима, Правила о раду бирачких одбора, Подсетник за обуку инструктора за чланове сталног састава бирачких одбора и</w:t>
      </w:r>
      <w:r>
        <w:rPr>
          <w:color w:val="000000"/>
        </w:rPr>
        <w:t xml:space="preserve"> припремљен Водич за комуникацију и пружање подршке бирачима који су особе са инвалидитетом како би се унапредило остваривање активног бирачког права особа са инвалидитетом.</w:t>
      </w:r>
      <w:r>
        <w:rPr>
          <w:color w:val="000000"/>
          <w:vertAlign w:val="superscript"/>
        </w:rPr>
        <w:t>681</w:t>
      </w:r>
      <w:r>
        <w:rPr>
          <w:color w:val="000000"/>
        </w:rPr>
        <w:t xml:space="preserve"> Усвојена је одлука о процени приступачности бирачких места за особе са инвалиди</w:t>
      </w:r>
      <w:r>
        <w:rPr>
          <w:color w:val="000000"/>
        </w:rPr>
        <w:t>тетом, сачињен упитник за процену приступачности и сагледана приступачност свих бирачких места</w:t>
      </w:r>
      <w:r>
        <w:rPr>
          <w:color w:val="000000"/>
          <w:vertAlign w:val="superscript"/>
        </w:rPr>
        <w:t>682</w:t>
      </w:r>
      <w:r>
        <w:rPr>
          <w:color w:val="000000"/>
        </w:rPr>
        <w:t>, технички је омогућен увид у бирачки списак слепим и слабовидим особама а, припремљени су и пратећи едукативни материјали за особе са инвалидитетом о могућнос</w:t>
      </w:r>
      <w:r>
        <w:rPr>
          <w:color w:val="000000"/>
        </w:rPr>
        <w:t>тима остваривања бирачких права.</w:t>
      </w:r>
      <w:r>
        <w:rPr>
          <w:color w:val="000000"/>
          <w:vertAlign w:val="superscript"/>
        </w:rPr>
        <w:t>683</w:t>
      </w:r>
      <w:r>
        <w:rPr>
          <w:color w:val="000000"/>
        </w:rPr>
        <w:t xml:space="preserve"> Све ове мере усмерене су искључиво на остваривање активног бирачког права особа са инвалидитетом. Нису регулисана важна питања везана за остваривање пасивног бирачког права особа са инвалидитетом, укључујући и пословну с</w:t>
      </w:r>
      <w:r>
        <w:rPr>
          <w:color w:val="000000"/>
        </w:rPr>
        <w:t>пособност која је услов за стицање бирачког права, што особама лишеним пословне споробности онемогућава коришћење бирачког права. На потребу да се то преиспита и омогући стицање бирачког права особама са психичким инвалидитетом указује и препорука CEDAW ко</w:t>
      </w:r>
      <w:r>
        <w:rPr>
          <w:color w:val="000000"/>
        </w:rPr>
        <w:t>митета.</w:t>
      </w:r>
      <w:r>
        <w:rPr>
          <w:color w:val="000000"/>
          <w:vertAlign w:val="superscript"/>
        </w:rPr>
        <w:t>684</w:t>
      </w:r>
    </w:p>
    <w:p w:rsidR="00BC3CE6" w:rsidRDefault="009A2DE5">
      <w:pPr>
        <w:spacing w:after="150"/>
        <w:jc w:val="both"/>
      </w:pPr>
      <w:r>
        <w:rPr>
          <w:i/>
          <w:color w:val="000000"/>
        </w:rPr>
        <w:t>––––––––</w:t>
      </w:r>
    </w:p>
    <w:p w:rsidR="00BC3CE6" w:rsidRDefault="009A2DE5">
      <w:pPr>
        <w:spacing w:after="150"/>
        <w:jc w:val="both"/>
      </w:pPr>
      <w:r>
        <w:rPr>
          <w:i/>
          <w:color w:val="000000"/>
        </w:rPr>
        <w:t>650</w:t>
      </w:r>
      <w:r>
        <w:rPr>
          <w:i/>
          <w:color w:val="000000"/>
        </w:rPr>
        <w:tab/>
        <w:t>Упоредити стање 2017. године са стањем 2021. Видети: истраживање Родна равноправност на позицијама одлучивања у јединицама локалне самоуправе – пресек стања у спровођењу препоруке мера јединицама локалне самоуправе за остваривање ро</w:t>
      </w:r>
      <w:r>
        <w:rPr>
          <w:i/>
          <w:color w:val="000000"/>
        </w:rPr>
        <w:t>дне равноправности”, Повереник за заштиту равноправности, Београд 2017, доступно на: http://ravnopravnost.gov.rs/rs/rodna-ravnopravnost-u-jedinicama-lokalne-samouprave-presek-stanja-u-sprovodenju-preporuke-mera-jedinicama-lokalne-samouprave-za-ostvarivanje</w:t>
      </w:r>
      <w:r>
        <w:rPr>
          <w:i/>
          <w:color w:val="000000"/>
        </w:rPr>
        <w:t>-rodne-ravnopravnosti/ приступ 5.6.2021. као и Посебан извештај Заштитника грађана Заступљеност жена на местима одлучивања и позиција и активности локалних механизама за родну равноправност у јединицама локалне самоуправе у Србији. Доступно на: https://www</w:t>
      </w:r>
      <w:r>
        <w:rPr>
          <w:i/>
          <w:color w:val="000000"/>
        </w:rPr>
        <w:t>.ombudsman.rs/index.php/izvestaji/posebnii-izvestaji/5901-p-s-b-n-izv-sh-z-sh-i-ni-grd-n-z-s-uplj-n-s-z-n-n-s-i-dluciv-nj-i-p-zici-i-ivn-s-i-llnih-h-niz-z-r-dnu-r-vn-pr-vn-s-u-dinic-l-l-n-s-upr-vu-srbi-i приступ 6.6.2021.</w:t>
      </w:r>
    </w:p>
    <w:p w:rsidR="00BC3CE6" w:rsidRDefault="009A2DE5">
      <w:pPr>
        <w:spacing w:after="150"/>
        <w:jc w:val="both"/>
      </w:pPr>
      <w:r>
        <w:rPr>
          <w:i/>
          <w:color w:val="000000"/>
        </w:rPr>
        <w:t>651 Повереница за равноправност уп</w:t>
      </w:r>
      <w:r>
        <w:rPr>
          <w:i/>
          <w:color w:val="000000"/>
        </w:rPr>
        <w:t xml:space="preserve">утила је посебне препоруке за унапређење родне равноправности у ЈЛС. Доступно на: http://ravnopravnost.gov.rs/rs/preporuka-mera-za-ostvarivanje-ravnopravnosti/ </w:t>
      </w:r>
      <w:r>
        <w:rPr>
          <w:i/>
          <w:color w:val="000000"/>
        </w:rPr>
        <w:lastRenderedPageBreak/>
        <w:t>приступ 7.6.2021. Заштитник грађана је такође упутио препоруке за повећање заступљености жена на</w:t>
      </w:r>
      <w:r>
        <w:rPr>
          <w:i/>
          <w:color w:val="000000"/>
        </w:rPr>
        <w:t xml:space="preserve"> местима одлучивања у органима ЈЛС доступно на: https://www.ombudsman.rs/attachment/5901/Zastitnik%20gradjan_srpski.pdf. приступ 7.9.2021.</w:t>
      </w:r>
    </w:p>
    <w:p w:rsidR="00BC3CE6" w:rsidRDefault="009A2DE5">
      <w:pPr>
        <w:spacing w:after="150"/>
        <w:jc w:val="both"/>
      </w:pPr>
      <w:r>
        <w:rPr>
          <w:i/>
          <w:color w:val="000000"/>
        </w:rPr>
        <w:t>652 Србија и агенда 2020–2030. – Мапирање националног стратешког оквира, страна 21. Доступно на: https://rsjp.gov.rs/</w:t>
      </w:r>
      <w:r>
        <w:rPr>
          <w:i/>
          <w:color w:val="000000"/>
        </w:rPr>
        <w:t>wp-content/uploads/Agenda-UN-2030.pdf приступ 5.6.2021.</w:t>
      </w:r>
    </w:p>
    <w:p w:rsidR="00BC3CE6" w:rsidRDefault="009A2DE5">
      <w:pPr>
        <w:spacing w:after="150"/>
        <w:jc w:val="both"/>
      </w:pPr>
      <w:r>
        <w:rPr>
          <w:i/>
          <w:color w:val="000000"/>
        </w:rPr>
        <w:t>653 Закон о избору народних посланика, „Службени гласник РС”, бр. 35/00, 57/03 – УСРС, 72/03 – др. закон, 75/03 – исправка, др. закона, 18/04, 101/05 – др. закон, 85/05 – др. закон, 28/11 – УС, 36/11,</w:t>
      </w:r>
      <w:r>
        <w:rPr>
          <w:i/>
          <w:color w:val="000000"/>
        </w:rPr>
        <w:t xml:space="preserve"> 104/09 – др. закон, 12/20 и 68/20.</w:t>
      </w:r>
    </w:p>
    <w:p w:rsidR="00BC3CE6" w:rsidRDefault="009A2DE5">
      <w:pPr>
        <w:spacing w:after="150"/>
        <w:jc w:val="both"/>
      </w:pPr>
      <w:r>
        <w:rPr>
          <w:i/>
          <w:color w:val="000000"/>
        </w:rPr>
        <w:t>654 Закон о локалним изборима, „Службени гласник РС”, бр. 129/07, 34/10 – УС, 54/11, 12/20, 16/20 – аутентично тумачење и 68/20.</w:t>
      </w:r>
    </w:p>
    <w:p w:rsidR="00BC3CE6" w:rsidRDefault="009A2DE5">
      <w:pPr>
        <w:spacing w:after="150"/>
        <w:jc w:val="both"/>
      </w:pPr>
      <w:r>
        <w:rPr>
          <w:i/>
          <w:color w:val="000000"/>
        </w:rPr>
        <w:t>655 „Службени лист АП Војводине”, број 12/20.</w:t>
      </w:r>
    </w:p>
    <w:p w:rsidR="00BC3CE6" w:rsidRDefault="009A2DE5">
      <w:pPr>
        <w:spacing w:after="150"/>
        <w:jc w:val="both"/>
      </w:pPr>
      <w:r>
        <w:rPr>
          <w:i/>
          <w:color w:val="000000"/>
        </w:rPr>
        <w:t>656 Међу сваких пет кандидата по редоследу на</w:t>
      </w:r>
      <w:r>
        <w:rPr>
          <w:i/>
          <w:color w:val="000000"/>
        </w:rPr>
        <w:t xml:space="preserve"> листи (првих пет места, других пет места и све до краја листе) мора бити најмање по два кандидата припадника оног пола који је мање заступљен на листи.</w:t>
      </w:r>
    </w:p>
    <w:p w:rsidR="00BC3CE6" w:rsidRDefault="009A2DE5">
      <w:pPr>
        <w:spacing w:after="150"/>
        <w:jc w:val="both"/>
      </w:pPr>
      <w:r>
        <w:rPr>
          <w:i/>
          <w:color w:val="000000"/>
        </w:rPr>
        <w:t>657 Доступно: http://www.parlament.gov.rs/1.html приступ 5.6.2021.</w:t>
      </w:r>
    </w:p>
    <w:p w:rsidR="00BC3CE6" w:rsidRDefault="009A2DE5">
      <w:pPr>
        <w:spacing w:after="150"/>
        <w:jc w:val="both"/>
      </w:pPr>
      <w:r>
        <w:rPr>
          <w:i/>
          <w:color w:val="000000"/>
        </w:rPr>
        <w:t>658 У претходном сазиву Народне скуп</w:t>
      </w:r>
      <w:r>
        <w:rPr>
          <w:i/>
          <w:color w:val="000000"/>
        </w:rPr>
        <w:t>штине било је 93 (37,2%) народних посланица.</w:t>
      </w:r>
    </w:p>
    <w:p w:rsidR="00BC3CE6" w:rsidRDefault="009A2DE5">
      <w:pPr>
        <w:spacing w:after="150"/>
        <w:jc w:val="both"/>
      </w:pPr>
      <w:r>
        <w:rPr>
          <w:i/>
          <w:color w:val="000000"/>
        </w:rPr>
        <w:t>659 То су: Одбор за европске интеграције, Одбор за културу и информисање, Одбор за просторно планирање, саобраћај, инфраструктуру и телекомуникације, Одбор за уставна питања и законодавство и Одбор за финансије,</w:t>
      </w:r>
      <w:r>
        <w:rPr>
          <w:i/>
          <w:color w:val="000000"/>
        </w:rPr>
        <w:t xml:space="preserve"> републички буџет и контролу трошења јавних средстава. Приметно је да су жене на челу одбора који покривају области које се традиционално не сматрају „женским пословима”.</w:t>
      </w:r>
    </w:p>
    <w:p w:rsidR="00BC3CE6" w:rsidRDefault="009A2DE5">
      <w:pPr>
        <w:spacing w:after="150"/>
        <w:jc w:val="both"/>
      </w:pPr>
      <w:r>
        <w:rPr>
          <w:i/>
          <w:color w:val="000000"/>
        </w:rPr>
        <w:t>660 У једном одбору не постоји заменик.</w:t>
      </w:r>
    </w:p>
    <w:p w:rsidR="00BC3CE6" w:rsidRDefault="009A2DE5">
      <w:pPr>
        <w:spacing w:after="150"/>
        <w:jc w:val="both"/>
      </w:pPr>
      <w:r>
        <w:rPr>
          <w:i/>
          <w:color w:val="000000"/>
        </w:rPr>
        <w:t>661 Од шест одбора на чијем су челу жене поло</w:t>
      </w:r>
      <w:r>
        <w:rPr>
          <w:i/>
          <w:color w:val="000000"/>
        </w:rPr>
        <w:t>вина покрива области које се стереотипно повезују са женама: права детета (14 жена, 9 мушкараца), здравље и породица (12 жена, 5 мушкараца), рад, социјална питања, друштвена укљученост и смањење сиромаштва (10 жена, 7 мушкараца), а половина области које се</w:t>
      </w:r>
      <w:r>
        <w:rPr>
          <w:i/>
          <w:color w:val="000000"/>
        </w:rPr>
        <w:t xml:space="preserve"> традиционално не повезују са женама: европске интеграције (10 жена, 7 мушкараца), привреда, регионални развој, туризам и енергетика (9 жена, 8 мушкараца), култура и информисање (9 жена, 8 мушкараца).</w:t>
      </w:r>
    </w:p>
    <w:p w:rsidR="00BC3CE6" w:rsidRDefault="009A2DE5">
      <w:pPr>
        <w:spacing w:after="150"/>
        <w:jc w:val="both"/>
      </w:pPr>
      <w:r>
        <w:rPr>
          <w:i/>
          <w:color w:val="000000"/>
        </w:rPr>
        <w:t>662 Одбор за контролу служби безбедности у коме нема ми</w:t>
      </w:r>
      <w:r>
        <w:rPr>
          <w:i/>
          <w:color w:val="000000"/>
        </w:rPr>
        <w:t xml:space="preserve"> једне жене, Одбор за одбрану и унутрашње послове (4 жене, 13 мушкараца), Одбор за правосуђе, државну управу и локалну самоуправу (4 жене, 13 мушкараца).</w:t>
      </w:r>
    </w:p>
    <w:p w:rsidR="00BC3CE6" w:rsidRDefault="009A2DE5">
      <w:pPr>
        <w:spacing w:after="150"/>
        <w:jc w:val="both"/>
      </w:pPr>
      <w:r>
        <w:rPr>
          <w:i/>
          <w:color w:val="000000"/>
        </w:rPr>
        <w:lastRenderedPageBreak/>
        <w:t>663 Члан 6. став 1. тачка 9. Закона о родној равноправности.</w:t>
      </w:r>
    </w:p>
    <w:p w:rsidR="00BC3CE6" w:rsidRDefault="009A2DE5">
      <w:pPr>
        <w:spacing w:after="150"/>
        <w:jc w:val="both"/>
      </w:pPr>
      <w:r>
        <w:rPr>
          <w:i/>
          <w:color w:val="000000"/>
        </w:rPr>
        <w:t>664 Члан 26. став 2. Закона о родној равн</w:t>
      </w:r>
      <w:r>
        <w:rPr>
          <w:i/>
          <w:color w:val="000000"/>
        </w:rPr>
        <w:t>оправности.</w:t>
      </w:r>
    </w:p>
    <w:p w:rsidR="00BC3CE6" w:rsidRDefault="009A2DE5">
      <w:pPr>
        <w:spacing w:after="150"/>
        <w:jc w:val="both"/>
      </w:pPr>
      <w:r>
        <w:rPr>
          <w:i/>
          <w:color w:val="000000"/>
        </w:rPr>
        <w:t>665</w:t>
      </w:r>
      <w:r>
        <w:rPr>
          <w:i/>
          <w:color w:val="000000"/>
        </w:rPr>
        <w:tab/>
        <w:t>Доступно на: https://www.srbija.gov.rs/sastav/177/sastav-vlade.php приступ 5.6.2021.</w:t>
      </w:r>
    </w:p>
    <w:p w:rsidR="00BC3CE6" w:rsidRDefault="009A2DE5">
      <w:pPr>
        <w:spacing w:after="150"/>
        <w:jc w:val="both"/>
      </w:pPr>
      <w:r>
        <w:rPr>
          <w:i/>
          <w:color w:val="000000"/>
        </w:rPr>
        <w:t>666 Министарство привреде, Министарство трговине, туризма и телекомуникација, Министарство здравља, Министарство одбране, Министарство спољних послова и Ми</w:t>
      </w:r>
      <w:r>
        <w:rPr>
          <w:i/>
          <w:color w:val="000000"/>
        </w:rPr>
        <w:t>нистарство за бригу о селу. Доступно на званичним интернет страницама министарстава. Приступљено 9.3.2021.</w:t>
      </w:r>
    </w:p>
    <w:p w:rsidR="00BC3CE6" w:rsidRDefault="009A2DE5">
      <w:pPr>
        <w:spacing w:after="150"/>
        <w:jc w:val="both"/>
      </w:pPr>
      <w:r>
        <w:rPr>
          <w:i/>
          <w:color w:val="000000"/>
        </w:rPr>
        <w:t>667 Доступно на званичним интернет страницама министарстава. Приступ 9.3.2021.</w:t>
      </w:r>
    </w:p>
    <w:p w:rsidR="00BC3CE6" w:rsidRDefault="009A2DE5">
      <w:pPr>
        <w:spacing w:after="150"/>
        <w:jc w:val="both"/>
      </w:pPr>
      <w:r>
        <w:rPr>
          <w:i/>
          <w:color w:val="000000"/>
        </w:rPr>
        <w:t>668 Подаци Министарства државне управе и локалне самоуправе, допис бро</w:t>
      </w:r>
      <w:r>
        <w:rPr>
          <w:i/>
          <w:color w:val="000000"/>
        </w:rPr>
        <w:t>ј 021-01-00062/2021-02 од 25.1.2021. упућени Поверенику за заштиту равноправности. Приступ 9.3.2021.</w:t>
      </w:r>
    </w:p>
    <w:p w:rsidR="00BC3CE6" w:rsidRDefault="009A2DE5">
      <w:pPr>
        <w:spacing w:after="150"/>
        <w:jc w:val="both"/>
      </w:pPr>
      <w:r>
        <w:rPr>
          <w:i/>
          <w:color w:val="000000"/>
        </w:rPr>
        <w:t>669 Од укупно 2676 судија 1921 су жене. Доступно на: https://vss.sud.rs/sr-lat/spisak-sudija приступљено 27.1.2021.</w:t>
      </w:r>
    </w:p>
    <w:p w:rsidR="00BC3CE6" w:rsidRDefault="009A2DE5">
      <w:pPr>
        <w:spacing w:after="150"/>
        <w:jc w:val="both"/>
      </w:pPr>
      <w:r>
        <w:rPr>
          <w:i/>
          <w:color w:val="000000"/>
        </w:rPr>
        <w:t xml:space="preserve">670 Доступно на: </w:t>
      </w:r>
      <w:r>
        <w:rPr>
          <w:i/>
          <w:color w:val="000000"/>
        </w:rPr>
        <w:t>https://vss.sud.rs/sr-lat/spisak-sudija приступ 27.1.2021.</w:t>
      </w:r>
    </w:p>
    <w:p w:rsidR="00BC3CE6" w:rsidRDefault="009A2DE5">
      <w:pPr>
        <w:spacing w:after="150"/>
        <w:jc w:val="both"/>
      </w:pPr>
      <w:r>
        <w:rPr>
          <w:i/>
          <w:color w:val="000000"/>
        </w:rPr>
        <w:t>671 Извор: сугестије Министарства спољних послова изнете у консултацијама.</w:t>
      </w:r>
    </w:p>
    <w:p w:rsidR="00BC3CE6" w:rsidRDefault="009A2DE5">
      <w:pPr>
        <w:spacing w:after="150"/>
        <w:jc w:val="both"/>
      </w:pPr>
      <w:r>
        <w:rPr>
          <w:i/>
          <w:color w:val="000000"/>
        </w:rPr>
        <w:t>672 „Службени гласник РС”, бр. 36/09 и 61/15 – одлука Уставног суда.</w:t>
      </w:r>
    </w:p>
    <w:p w:rsidR="00BC3CE6" w:rsidRDefault="009A2DE5">
      <w:pPr>
        <w:spacing w:after="150"/>
        <w:jc w:val="both"/>
      </w:pPr>
      <w:r>
        <w:rPr>
          <w:i/>
          <w:color w:val="000000"/>
        </w:rPr>
        <w:t>673 „Службени гласник РС”, бр. 43/11, 123/14 и 88/19.</w:t>
      </w:r>
    </w:p>
    <w:p w:rsidR="00BC3CE6" w:rsidRDefault="009A2DE5">
      <w:pPr>
        <w:spacing w:after="150"/>
        <w:jc w:val="both"/>
      </w:pPr>
      <w:r>
        <w:rPr>
          <w:i/>
          <w:color w:val="000000"/>
        </w:rPr>
        <w:t>674 На пример: Унија жена СНП Члан 75 став 1 и члан 82 Статута СНС, доступно на: https://www.sns.org.rs/lat/o-nama/statut-sns; Форум жена СПС, члан 71 Статута СПС, доступно на: https://www.sps.org.rs/wp-content/uploads/2019/02/STATUT-SPS-2018.pdf, Форум ж</w:t>
      </w:r>
      <w:r>
        <w:rPr>
          <w:i/>
          <w:color w:val="000000"/>
        </w:rPr>
        <w:t>ена ДС, члан 76. Статута ДС: доступно на: https://www.ds.org.rs/fajlovi/dokumenta/Statut-DS.pdf, Форум жена СДП, члан 63. Статута СДП: доступно на: https://sdp.co.rs/wp-content/uploads/2019/06/STATUT-SDP.pdf, Покрет жена социјалиста, члан приступ 6.6.2021.</w:t>
      </w:r>
    </w:p>
    <w:p w:rsidR="00BC3CE6" w:rsidRDefault="009A2DE5">
      <w:pPr>
        <w:spacing w:after="150"/>
        <w:jc w:val="both"/>
      </w:pPr>
      <w:r>
        <w:rPr>
          <w:i/>
          <w:color w:val="000000"/>
        </w:rPr>
        <w:t>675 На пример, члан 71. став 3. Статута СПС. доступно на: https://www.sps.org.rs/wp-content/uploads/2019/02/STATUT-SPS-2018.pdf ; чл. 37. и 45. Статута ДС: доступно на: https://www.ds.org.rs/fajlovi/dokumenta/Statut-DS.pdf ; члан 39. став 2. тачка 8. Стат</w:t>
      </w:r>
      <w:r>
        <w:rPr>
          <w:i/>
          <w:color w:val="000000"/>
        </w:rPr>
        <w:t>ута Покрета социјалиста: доступно на: https://pokretsocijalista.rs/page/osnivacki-program/statut.html, члан 27. став 1. тачка 8. Статута Санџачке демократске партије: доступно на: https://sdp.co.rs/wp-content/uploads/2019/06/STATUT-SDP.pdf приступ 6.6.2021</w:t>
      </w:r>
      <w:r>
        <w:rPr>
          <w:i/>
          <w:color w:val="000000"/>
        </w:rPr>
        <w:t>.</w:t>
      </w:r>
    </w:p>
    <w:p w:rsidR="00BC3CE6" w:rsidRDefault="009A2DE5">
      <w:pPr>
        <w:spacing w:after="150"/>
        <w:jc w:val="both"/>
      </w:pPr>
      <w:r>
        <w:rPr>
          <w:i/>
          <w:color w:val="000000"/>
        </w:rPr>
        <w:t xml:space="preserve">676 На пример, родно недискриминаторни језик у Статуту ДС, доступно на: https://www.ds.org.rs/fajlovi/dokumenta/Statut-DS.pdf, квоте за мање </w:t>
      </w:r>
      <w:r>
        <w:rPr>
          <w:i/>
          <w:color w:val="000000"/>
        </w:rPr>
        <w:lastRenderedPageBreak/>
        <w:t>заступљени пол у органима странке (ДС, СПС, СДП, ПС), које не обезбеђују уравнотежену заступљеност полова у орган</w:t>
      </w:r>
      <w:r>
        <w:rPr>
          <w:i/>
          <w:color w:val="000000"/>
        </w:rPr>
        <w:t>има странке.</w:t>
      </w:r>
    </w:p>
    <w:p w:rsidR="00BC3CE6" w:rsidRDefault="009A2DE5">
      <w:pPr>
        <w:spacing w:after="150"/>
        <w:jc w:val="both"/>
      </w:pPr>
      <w:r>
        <w:rPr>
          <w:i/>
          <w:color w:val="000000"/>
        </w:rPr>
        <w:t>677 На пример, на званичним интернет презентацијама политичких странака не постоје, или су неажурни, подаци о броју чланова странке као и чланова органа странке разврстани по полу.</w:t>
      </w:r>
    </w:p>
    <w:p w:rsidR="00BC3CE6" w:rsidRDefault="009A2DE5">
      <w:pPr>
        <w:spacing w:after="150"/>
        <w:jc w:val="both"/>
      </w:pPr>
      <w:r>
        <w:rPr>
          <w:i/>
          <w:color w:val="000000"/>
        </w:rPr>
        <w:t>678 На пример: Баћановић, В. и Пајванчић – Цизељ А. Капацитети</w:t>
      </w:r>
      <w:r>
        <w:rPr>
          <w:i/>
          <w:color w:val="000000"/>
        </w:rPr>
        <w:t xml:space="preserve"> политичких странака у Војводини за остваривање родне равноправности. Доступно на: https://genderhub.org.rs/kapaciteti-politickih-stranaka/ приступ 6.6.2021.</w:t>
      </w:r>
    </w:p>
    <w:p w:rsidR="00BC3CE6" w:rsidRDefault="009A2DE5">
      <w:pPr>
        <w:spacing w:after="150"/>
        <w:jc w:val="both"/>
      </w:pPr>
      <w:r>
        <w:rPr>
          <w:i/>
          <w:color w:val="000000"/>
        </w:rPr>
        <w:t>679 Члан 48. ст. 1. и 2. Закона о родној равноправности.</w:t>
      </w:r>
    </w:p>
    <w:p w:rsidR="00BC3CE6" w:rsidRDefault="009A2DE5">
      <w:pPr>
        <w:spacing w:after="150"/>
        <w:jc w:val="both"/>
      </w:pPr>
      <w:r>
        <w:rPr>
          <w:i/>
          <w:color w:val="000000"/>
        </w:rPr>
        <w:t>680 CEDAW/C/SRB/CO/4 para. 27–28.</w:t>
      </w:r>
    </w:p>
    <w:p w:rsidR="00BC3CE6" w:rsidRDefault="009A2DE5">
      <w:pPr>
        <w:spacing w:after="150"/>
        <w:jc w:val="both"/>
      </w:pPr>
      <w:r>
        <w:rPr>
          <w:i/>
          <w:color w:val="000000"/>
        </w:rPr>
        <w:t>681 Дос</w:t>
      </w:r>
      <w:r>
        <w:rPr>
          <w:i/>
          <w:color w:val="000000"/>
        </w:rPr>
        <w:t>тупно на: https://shorturl.at/afixG приступ 26.1.2021.</w:t>
      </w:r>
    </w:p>
    <w:p w:rsidR="00BC3CE6" w:rsidRDefault="009A2DE5">
      <w:pPr>
        <w:spacing w:after="150"/>
        <w:jc w:val="both"/>
      </w:pPr>
      <w:r>
        <w:rPr>
          <w:i/>
          <w:color w:val="000000"/>
        </w:rPr>
        <w:t>682 Доступно на: http://shorturl.at/goPWZ приступ 26.1.2021.</w:t>
      </w:r>
    </w:p>
    <w:p w:rsidR="00BC3CE6" w:rsidRDefault="009A2DE5">
      <w:pPr>
        <w:spacing w:after="150"/>
        <w:jc w:val="both"/>
      </w:pPr>
      <w:r>
        <w:rPr>
          <w:i/>
          <w:color w:val="000000"/>
        </w:rPr>
        <w:t>683 Водич за гласање особа са инвалидитетом, доступно на: https://rb.gy/uotkfe, Водич за гласање ван бирачког места, доступно на: https://rb</w:t>
      </w:r>
      <w:r>
        <w:rPr>
          <w:i/>
          <w:color w:val="000000"/>
        </w:rPr>
        <w:t>.gy/wlzb69, Видео материјал Гласање ван бирачког места и уз помоћ помагача, доступно на: https://shorturl.at/yCMY0 приступ 26.1.2021.</w:t>
      </w:r>
    </w:p>
    <w:p w:rsidR="00BC3CE6" w:rsidRDefault="009A2DE5">
      <w:pPr>
        <w:spacing w:after="150"/>
        <w:jc w:val="both"/>
      </w:pPr>
      <w:r>
        <w:rPr>
          <w:i/>
          <w:color w:val="000000"/>
        </w:rPr>
        <w:t>684 CEDAW/C/SRB/CO/4 para. 44.</w:t>
      </w:r>
    </w:p>
    <w:p w:rsidR="00BC3CE6" w:rsidRDefault="009A2DE5">
      <w:pPr>
        <w:spacing w:after="120"/>
        <w:jc w:val="center"/>
      </w:pPr>
      <w:r>
        <w:rPr>
          <w:i/>
          <w:color w:val="000000"/>
        </w:rPr>
        <w:t>5.2.5. Родни аспекти пандемије изазване вирусом COVID-19</w:t>
      </w:r>
    </w:p>
    <w:p w:rsidR="00BC3CE6" w:rsidRDefault="009A2DE5">
      <w:pPr>
        <w:spacing w:after="150"/>
      </w:pPr>
      <w:r>
        <w:rPr>
          <w:color w:val="000000"/>
        </w:rPr>
        <w:t>Околности изазване пандемијом боле</w:t>
      </w:r>
      <w:r>
        <w:rPr>
          <w:color w:val="000000"/>
        </w:rPr>
        <w:t xml:space="preserve">сти COVID-19 које су у великој мери пореметиле свакодневни живот грађана и грађанки, посебно за време трајања ванредног стања, када су бројна права и слободе биле подвргнуте ограничењима како би се очувало основно људско право – право на живот, указала је </w:t>
      </w:r>
      <w:r>
        <w:rPr>
          <w:color w:val="000000"/>
        </w:rPr>
        <w:t>на нужност успостављања равнотеже између заштите здравља становништва, поштовања људских права и минимизирања бројних и различитих последица изазваних овом кризом. Суочавање са свакодневним проблемима са којима су се сусретали грађани и грађанке био је под</w:t>
      </w:r>
      <w:r>
        <w:rPr>
          <w:color w:val="000000"/>
        </w:rPr>
        <w:t>стицај за ангажман на сагледавању утицаја који је пандемија имала на родну равноправност у различитим областима друштвеног живота. У току трајања ванредног стања и примене мера за спречавање пандемије било је више иницијатива, активности и реаговања усмере</w:t>
      </w:r>
      <w:r>
        <w:rPr>
          <w:color w:val="000000"/>
        </w:rPr>
        <w:t>них на сагледавање родних аспеката новонастале ситуације, посебно у односу на рањиве групе. Резултат тих активности биле су анализе и истраживања у Републици Србији</w:t>
      </w:r>
      <w:r>
        <w:rPr>
          <w:color w:val="000000"/>
          <w:vertAlign w:val="superscript"/>
        </w:rPr>
        <w:t>685</w:t>
      </w:r>
      <w:r>
        <w:rPr>
          <w:color w:val="000000"/>
        </w:rPr>
        <w:t>, као и у окриљу међународних организација које делују у области родне равноправности.</w:t>
      </w:r>
      <w:r>
        <w:rPr>
          <w:color w:val="000000"/>
          <w:vertAlign w:val="superscript"/>
        </w:rPr>
        <w:t>686</w:t>
      </w:r>
      <w:r>
        <w:rPr>
          <w:color w:val="000000"/>
        </w:rPr>
        <w:t xml:space="preserve"> На основу налаза из анализа и истраживања сачињене су препоруке за отклањање уочених проблема, посебно за рањиве групе.</w:t>
      </w:r>
      <w:r>
        <w:rPr>
          <w:color w:val="000000"/>
          <w:vertAlign w:val="superscript"/>
        </w:rPr>
        <w:t>687</w:t>
      </w:r>
      <w:r>
        <w:rPr>
          <w:color w:val="000000"/>
        </w:rPr>
        <w:t xml:space="preserve"> Налази из истраживања и анализа и препоруке које садрже, показали су да родна равноправност није интегрисана у прописе који регулишу</w:t>
      </w:r>
      <w:r>
        <w:rPr>
          <w:color w:val="000000"/>
        </w:rPr>
        <w:t xml:space="preserve"> ванредне ситуације и стратегије које дефинишу активности и мере које се у таквим ситуацијама предузимају. То је посебно видљиво када се </w:t>
      </w:r>
      <w:r>
        <w:rPr>
          <w:color w:val="000000"/>
        </w:rPr>
        <w:lastRenderedPageBreak/>
        <w:t>ради о рањивим групама чије се потребе, често веома различите природе, нису имале у виду приликом креирања мера заштите</w:t>
      </w:r>
      <w:r>
        <w:rPr>
          <w:color w:val="000000"/>
        </w:rPr>
        <w:t xml:space="preserve"> од пандемије. Независне институције заштите људских права, Повереник за заштиту равноправности</w:t>
      </w:r>
      <w:r>
        <w:rPr>
          <w:color w:val="000000"/>
          <w:vertAlign w:val="superscript"/>
        </w:rPr>
        <w:t>688</w:t>
      </w:r>
      <w:r>
        <w:rPr>
          <w:color w:val="000000"/>
        </w:rPr>
        <w:t xml:space="preserve"> и Заштитник грађана</w:t>
      </w:r>
      <w:r>
        <w:rPr>
          <w:color w:val="000000"/>
          <w:vertAlign w:val="superscript"/>
        </w:rPr>
        <w:t>689</w:t>
      </w:r>
      <w:r>
        <w:rPr>
          <w:color w:val="000000"/>
        </w:rPr>
        <w:t xml:space="preserve"> реаговале су и у овим околностима инструментима које им стоје на располагању, прилагођавајући начин рада новонасталим приликама.</w:t>
      </w:r>
    </w:p>
    <w:p w:rsidR="00BC3CE6" w:rsidRDefault="009A2DE5">
      <w:pPr>
        <w:spacing w:after="150"/>
      </w:pPr>
      <w:r>
        <w:rPr>
          <w:color w:val="000000"/>
        </w:rPr>
        <w:t>Огран</w:t>
      </w:r>
      <w:r>
        <w:rPr>
          <w:color w:val="000000"/>
        </w:rPr>
        <w:t>ичења људских права за време ванредног стања и ванредних прилика. Епидемија COVID-19 која је угрозила право на живот као основно људско право, била је повод за проглашење ванредног стања у Републици Србији и усвајање мера којима је ограничен низ основних љ</w:t>
      </w:r>
      <w:r>
        <w:rPr>
          <w:color w:val="000000"/>
        </w:rPr>
        <w:t>удских права: слобода кретања, слобода окупљања, право на правично суђење и др.</w:t>
      </w:r>
      <w:r>
        <w:rPr>
          <w:color w:val="000000"/>
          <w:vertAlign w:val="superscript"/>
        </w:rPr>
        <w:t>690</w:t>
      </w:r>
      <w:r>
        <w:rPr>
          <w:color w:val="000000"/>
        </w:rPr>
        <w:t xml:space="preserve"> Неке од мера биле су дискриминаторне (мера ограничења слободе кретања особа старијих од 65 година). Повереник за заштиту равноправности наглашава да је „епидемија Ковид-19 н</w:t>
      </w:r>
      <w:r>
        <w:rPr>
          <w:color w:val="000000"/>
        </w:rPr>
        <w:t>есразмерно утицала на старије људе, на особе са инвалидитетом, на сиромашније слојеве друштва, становнике неформалних насеља, кориснике смештене у установама социјалне заштите, на особе са хроничним здравственим проблемима, на младе, запошљавање, школовање</w:t>
      </w:r>
      <w:r>
        <w:rPr>
          <w:color w:val="000000"/>
        </w:rPr>
        <w:t xml:space="preserve"> и сл., а мере забране кретања, ризик од заражавања, пребацивање све већег броја активности на онлајн сферу и сл. утицало је и на приступ појединим правима и остваривање права на услуге, судску заштиту и сл.”</w:t>
      </w:r>
      <w:r>
        <w:rPr>
          <w:color w:val="000000"/>
          <w:vertAlign w:val="superscript"/>
        </w:rPr>
        <w:t>691</w:t>
      </w:r>
      <w:r>
        <w:rPr>
          <w:color w:val="000000"/>
        </w:rPr>
        <w:t>, а приликом прописивања мера нису се узимале</w:t>
      </w:r>
      <w:r>
        <w:rPr>
          <w:color w:val="000000"/>
        </w:rPr>
        <w:t xml:space="preserve"> у обзир потребе рањивих група.</w:t>
      </w:r>
      <w:r>
        <w:rPr>
          <w:color w:val="000000"/>
          <w:vertAlign w:val="superscript"/>
        </w:rPr>
        <w:t>692</w:t>
      </w:r>
      <w:r>
        <w:rPr>
          <w:color w:val="000000"/>
        </w:rPr>
        <w:t xml:space="preserve"> О томе говоре и иницијативе</w:t>
      </w:r>
      <w:r>
        <w:rPr>
          <w:color w:val="000000"/>
          <w:vertAlign w:val="superscript"/>
        </w:rPr>
        <w:t>693</w:t>
      </w:r>
      <w:r>
        <w:rPr>
          <w:color w:val="000000"/>
        </w:rPr>
        <w:t>, и Опште препоруке за кризне ситуације Повереника за заштиту равноправности.</w:t>
      </w:r>
      <w:r>
        <w:rPr>
          <w:color w:val="000000"/>
          <w:vertAlign w:val="superscript"/>
        </w:rPr>
        <w:t>694</w:t>
      </w:r>
      <w:r>
        <w:rPr>
          <w:color w:val="000000"/>
        </w:rPr>
        <w:t xml:space="preserve"> Заштитник грађана реаговао је у вези са заштитом права на правично суђење и права на суђење у разумном року. К</w:t>
      </w:r>
      <w:r>
        <w:rPr>
          <w:color w:val="000000"/>
        </w:rPr>
        <w:t>онтрола рада судова и јавних тужилаштава није у надлежности Заштитника грађана, али су и овај период обележиле притужбе упућене Заштитнику грађана на рад тих органа. Притужбе су се односиле на повреде права на правично суђење и права на суђење у разумном р</w:t>
      </w:r>
      <w:r>
        <w:rPr>
          <w:color w:val="000000"/>
        </w:rPr>
        <w:t xml:space="preserve">оку, на која су утицале су мере уведене ради спречавања ширења епидемије болести COVID-19. Заштитник грађана је апеловао на надлежне органе да омогуће приступ алтернативним начинима комуникације, (апликација Skype), између окривљеног и браниоца у посебној </w:t>
      </w:r>
      <w:r>
        <w:rPr>
          <w:color w:val="000000"/>
        </w:rPr>
        <w:t>просторији, без присуства трећег лица.</w:t>
      </w:r>
      <w:r>
        <w:rPr>
          <w:color w:val="000000"/>
          <w:vertAlign w:val="superscript"/>
        </w:rPr>
        <w:t>695</w:t>
      </w:r>
    </w:p>
    <w:p w:rsidR="00BC3CE6" w:rsidRDefault="009A2DE5">
      <w:pPr>
        <w:spacing w:after="150"/>
      </w:pPr>
      <w:r>
        <w:rPr>
          <w:color w:val="000000"/>
        </w:rPr>
        <w:t>Родни аспект ванредних прилика и мера усвојених за спречавање ширења болести COVID-19 не препознаје се у довољној мери, као и безбедносни ризици за жене током ванредне ситуације. Жене чине већи део радне снаге у зд</w:t>
      </w:r>
      <w:r>
        <w:rPr>
          <w:color w:val="000000"/>
        </w:rPr>
        <w:t>равству, као и у другим тзв. контактним службама (трговина на велико и мало, набавне и доставне службе, угоститељство и туризам, култура и уметност). Већина примарних пружалаца неге болеснима су жене, што их чини изложеним вишеструким безбедносним ризицима</w:t>
      </w:r>
      <w:r>
        <w:rPr>
          <w:color w:val="000000"/>
        </w:rPr>
        <w:t xml:space="preserve"> током пандемије изазване вирусом COVID-19.</w:t>
      </w:r>
      <w:r>
        <w:rPr>
          <w:color w:val="000000"/>
          <w:vertAlign w:val="superscript"/>
        </w:rPr>
        <w:t>696</w:t>
      </w:r>
    </w:p>
    <w:p w:rsidR="00BC3CE6" w:rsidRDefault="009A2DE5">
      <w:pPr>
        <w:spacing w:after="150"/>
      </w:pPr>
      <w:r>
        <w:rPr>
          <w:color w:val="000000"/>
        </w:rPr>
        <w:t>Забележен је пораст родно заснованог насиља. Повећан је број пријава случајева насиља у породици</w:t>
      </w:r>
      <w:r>
        <w:rPr>
          <w:color w:val="000000"/>
          <w:vertAlign w:val="superscript"/>
        </w:rPr>
        <w:t>697</w:t>
      </w:r>
      <w:r>
        <w:rPr>
          <w:color w:val="000000"/>
        </w:rPr>
        <w:t xml:space="preserve"> које је прерасло из психичког у физичко и сексуално насиље.</w:t>
      </w:r>
      <w:r>
        <w:rPr>
          <w:color w:val="000000"/>
          <w:vertAlign w:val="superscript"/>
        </w:rPr>
        <w:t>698</w:t>
      </w:r>
      <w:r>
        <w:rPr>
          <w:color w:val="000000"/>
        </w:rPr>
        <w:t xml:space="preserve"> Ове прилике утицале су и на доступност пружања</w:t>
      </w:r>
      <w:r>
        <w:rPr>
          <w:color w:val="000000"/>
        </w:rPr>
        <w:t xml:space="preserve"> </w:t>
      </w:r>
      <w:r>
        <w:rPr>
          <w:color w:val="000000"/>
        </w:rPr>
        <w:lastRenderedPageBreak/>
        <w:t>услуга у околностима у којима је промењен режим пружања услуга заштите и подршке женама са искуством насиља</w:t>
      </w:r>
      <w:r>
        <w:rPr>
          <w:color w:val="000000"/>
          <w:vertAlign w:val="superscript"/>
        </w:rPr>
        <w:t>699</w:t>
      </w:r>
      <w:r>
        <w:rPr>
          <w:color w:val="000000"/>
        </w:rPr>
        <w:t>, посебно женама из рањивих група (ромкиње, старије жене, жене са села, жене са инвалидитетом, избеглице, мигранткиње, ЛГБТИ и др.).</w:t>
      </w:r>
      <w:r>
        <w:rPr>
          <w:color w:val="000000"/>
          <w:vertAlign w:val="superscript"/>
        </w:rPr>
        <w:t>700</w:t>
      </w:r>
      <w:r>
        <w:rPr>
          <w:color w:val="000000"/>
        </w:rPr>
        <w:t xml:space="preserve"> Комитет с</w:t>
      </w:r>
      <w:r>
        <w:rPr>
          <w:color w:val="000000"/>
        </w:rPr>
        <w:t>трана уговорница Конвенције СE o спречавању и сузбијању насиља према женама и насиља у породици усвојио је декларацију</w:t>
      </w:r>
      <w:r>
        <w:rPr>
          <w:color w:val="000000"/>
          <w:vertAlign w:val="superscript"/>
        </w:rPr>
        <w:t>701</w:t>
      </w:r>
      <w:r>
        <w:rPr>
          <w:color w:val="000000"/>
        </w:rPr>
        <w:t xml:space="preserve"> којом су државе које су ратификовале Истанбулску конвенцију позване да користе стандарде и препоруке из конвенције као смернице за акт</w:t>
      </w:r>
      <w:r>
        <w:rPr>
          <w:color w:val="000000"/>
        </w:rPr>
        <w:t>ивности и мере које предузимају током пандемије корона болести. По глобалном увођењу мера рестрикције кретања, низ међународних организација издало је упозорења на пораст родно заснованог насиља, посебно у породичним условима.</w:t>
      </w:r>
      <w:r>
        <w:rPr>
          <w:color w:val="000000"/>
          <w:vertAlign w:val="superscript"/>
        </w:rPr>
        <w:t>702</w:t>
      </w:r>
    </w:p>
    <w:p w:rsidR="00BC3CE6" w:rsidRDefault="009A2DE5">
      <w:pPr>
        <w:spacing w:after="150"/>
      </w:pPr>
      <w:r>
        <w:rPr>
          <w:color w:val="000000"/>
        </w:rPr>
        <w:t>Приступ здравственој зашти</w:t>
      </w:r>
      <w:r>
        <w:rPr>
          <w:color w:val="000000"/>
        </w:rPr>
        <w:t>ти је отежан за све пацијенте, нарочито за труднице, оболеле од рака и припадникe ризичних група. Мањи приоритет се придаје рутинским процедурама, онима које нису хитне, услед настојања система да ограничи преношење болести између пацијената/киња на болнич</w:t>
      </w:r>
      <w:r>
        <w:rPr>
          <w:color w:val="000000"/>
        </w:rPr>
        <w:t>ком лечењу. COVID-19 постао је и препрека за приступ превентивној заштити. Одлагање тих услуга довешће до огромног броја заосталих случајева у здравственом систему што ће отежати лечење и вероватно повећати стопе морбидитета и морталитета.</w:t>
      </w:r>
      <w:r>
        <w:rPr>
          <w:color w:val="000000"/>
          <w:vertAlign w:val="superscript"/>
        </w:rPr>
        <w:t>703</w:t>
      </w:r>
    </w:p>
    <w:p w:rsidR="00BC3CE6" w:rsidRDefault="009A2DE5">
      <w:pPr>
        <w:spacing w:after="150"/>
      </w:pPr>
      <w:r>
        <w:rPr>
          <w:color w:val="000000"/>
        </w:rPr>
        <w:t>Већина услуга</w:t>
      </w:r>
      <w:r>
        <w:rPr>
          <w:color w:val="000000"/>
        </w:rPr>
        <w:t xml:space="preserve"> социјалне заштите била је или обустављена или су услуге пружане уз ограничења и у измењеним условима. У току ванредног стања ЦСР су радили у отежаним условима, ограничења су се односила на непосредне контакте са корисницима/цама и обустављање теренских по</w:t>
      </w:r>
      <w:r>
        <w:rPr>
          <w:color w:val="000000"/>
        </w:rPr>
        <w:t>сета</w:t>
      </w:r>
      <w:r>
        <w:rPr>
          <w:color w:val="000000"/>
          <w:vertAlign w:val="superscript"/>
        </w:rPr>
        <w:t>704</w:t>
      </w:r>
      <w:r>
        <w:rPr>
          <w:color w:val="000000"/>
        </w:rPr>
        <w:t>, обустављање рада центара за дневни боравак деце са сметњама у развоју и ограничавање непосредног пружања других услуга корисницима/цама.</w:t>
      </w:r>
      <w:r>
        <w:rPr>
          <w:color w:val="000000"/>
          <w:vertAlign w:val="superscript"/>
        </w:rPr>
        <w:t>705</w:t>
      </w:r>
    </w:p>
    <w:p w:rsidR="00BC3CE6" w:rsidRDefault="009A2DE5">
      <w:pPr>
        <w:spacing w:after="150"/>
      </w:pPr>
      <w:r>
        <w:rPr>
          <w:color w:val="000000"/>
        </w:rPr>
        <w:t>Епидемија болести COVID-19 затекла је неспремним многе системе, укључујући и образовање. Половином марта 20</w:t>
      </w:r>
      <w:r>
        <w:rPr>
          <w:color w:val="000000"/>
        </w:rPr>
        <w:t>20. године, обустављена је настава у основним школама, а образовање на даљину обезбеђено је путем јавног медијског сервиса.</w:t>
      </w:r>
      <w:r>
        <w:rPr>
          <w:color w:val="000000"/>
          <w:vertAlign w:val="superscript"/>
        </w:rPr>
        <w:t>706</w:t>
      </w:r>
      <w:r>
        <w:rPr>
          <w:color w:val="000000"/>
        </w:rPr>
        <w:t xml:space="preserve"> Овај вид наставе организован је и у средњим школама, а високошколске институције су самостално организовале наставу на даљину. У </w:t>
      </w:r>
      <w:r>
        <w:rPr>
          <w:color w:val="000000"/>
        </w:rPr>
        <w:t>ситуацији када настава уживо није била могућа, алтернативни облици наставе били су неопходни. Њихово остваривање, у датим околностима, било је праћено бројним изазовима, са којима су се сусрели ученици/це, њихови родитељи, као и наставници/це. Ресурси сист</w:t>
      </w:r>
      <w:r>
        <w:rPr>
          <w:color w:val="000000"/>
        </w:rPr>
        <w:t>ема образовања били су усмерени организацију и обезбеђивање доступности ТВ часова и учења на даљину. За ученике/це који нису имали приступ интернету или су имали лошу конекцију, школе су обезбедиле штампане задатке за припрему завршног испита. Набављена је</w:t>
      </w:r>
      <w:r>
        <w:rPr>
          <w:color w:val="000000"/>
        </w:rPr>
        <w:t xml:space="preserve"> већа количина ИКТ опреме и спроведене су одговарајуће обуке за наставнике.</w:t>
      </w:r>
      <w:r>
        <w:rPr>
          <w:color w:val="000000"/>
          <w:vertAlign w:val="superscript"/>
        </w:rPr>
        <w:t>707</w:t>
      </w:r>
      <w:r>
        <w:rPr>
          <w:color w:val="000000"/>
        </w:rPr>
        <w:t xml:space="preserve"> Током ванредног стања, као и у школској 2020/21. години, рад педагошких асистената (ПA) који пружају подршку ученицима ромске националности</w:t>
      </w:r>
      <w:r>
        <w:rPr>
          <w:color w:val="000000"/>
          <w:vertAlign w:val="superscript"/>
        </w:rPr>
        <w:t>708</w:t>
      </w:r>
      <w:r>
        <w:rPr>
          <w:color w:val="000000"/>
        </w:rPr>
        <w:t xml:space="preserve">, настављен је и прилагођен </w:t>
      </w:r>
      <w:r>
        <w:rPr>
          <w:color w:val="000000"/>
        </w:rPr>
        <w:t xml:space="preserve">условима ванредног стања. Бројне тешкоће и изазови прате и образовање ученика/ца са сметњама у развоју и </w:t>
      </w:r>
      <w:r>
        <w:rPr>
          <w:color w:val="000000"/>
        </w:rPr>
        <w:lastRenderedPageBreak/>
        <w:t>инвалидитетом, ради чијег је превазилажења ресорно министарство израдило посебан оперативни план за додатну подршку у образовању ученика из осетљивих д</w:t>
      </w:r>
      <w:r>
        <w:rPr>
          <w:color w:val="000000"/>
        </w:rPr>
        <w:t>руштвених у ситуацији учења на даљину, како током ванредног стања (2020), тако и за школску 2020/21. годину.</w:t>
      </w:r>
      <w:r>
        <w:rPr>
          <w:color w:val="000000"/>
          <w:vertAlign w:val="superscript"/>
        </w:rPr>
        <w:t>709</w:t>
      </w:r>
      <w:r>
        <w:rPr>
          <w:color w:val="000000"/>
        </w:rPr>
        <w:t xml:space="preserve"> Нема, збирних података о томе како се у пракси спроводила настава по индивидуалним образовним плановима, али су многе школе успевале да превазиђ</w:t>
      </w:r>
      <w:r>
        <w:rPr>
          <w:color w:val="000000"/>
        </w:rPr>
        <w:t>у тешкоће.</w:t>
      </w:r>
      <w:r>
        <w:rPr>
          <w:color w:val="000000"/>
          <w:vertAlign w:val="superscript"/>
        </w:rPr>
        <w:t>710</w:t>
      </w:r>
      <w:r>
        <w:rPr>
          <w:color w:val="000000"/>
        </w:rPr>
        <w:t xml:space="preserve"> Током ванредног стања образовање младих такође је било праћено изазовима, као што су, на пример, контрадикторне информације о онлајн полагању мале и велике матуре, неукључивање младих у процес избора платформи за онлајн учење и др.</w:t>
      </w:r>
      <w:r>
        <w:rPr>
          <w:color w:val="000000"/>
          <w:vertAlign w:val="superscript"/>
        </w:rPr>
        <w:t>711</w:t>
      </w:r>
    </w:p>
    <w:p w:rsidR="00BC3CE6" w:rsidRDefault="009A2DE5">
      <w:pPr>
        <w:spacing w:after="150"/>
      </w:pPr>
      <w:r>
        <w:rPr>
          <w:color w:val="000000"/>
        </w:rPr>
        <w:t>Све ово</w:t>
      </w:r>
      <w:r>
        <w:rPr>
          <w:color w:val="000000"/>
        </w:rPr>
        <w:t xml:space="preserve"> указује на потребу креирања свеобухватног алтернативног модела функционисања система образовања који би се примењивао у кризним ситуацијама, а који би омогућио једнаку доступност квалитетног образовања за сву децу.</w:t>
      </w:r>
    </w:p>
    <w:p w:rsidR="00BC3CE6" w:rsidRDefault="009A2DE5">
      <w:pPr>
        <w:spacing w:after="150"/>
      </w:pPr>
      <w:r>
        <w:rPr>
          <w:color w:val="000000"/>
        </w:rPr>
        <w:t>Мере усвојене у циљу спречавања ширења е</w:t>
      </w:r>
      <w:r>
        <w:rPr>
          <w:color w:val="000000"/>
        </w:rPr>
        <w:t xml:space="preserve">пидемије нису имале у виду рањиве групе и њихове потребе. Са посебним тешкоћама у току ванредног стања и епидемије суочили су се: жене, самохрани родитељи, Роми и Ромкиње, особе са инвалидитетом, деца, старији од 65 година, мигранти, азиланти, бескућници, </w:t>
      </w:r>
      <w:r>
        <w:rPr>
          <w:color w:val="000000"/>
        </w:rPr>
        <w:t>ЛГБТИ.</w:t>
      </w:r>
      <w:r>
        <w:rPr>
          <w:color w:val="000000"/>
          <w:vertAlign w:val="superscript"/>
        </w:rPr>
        <w:t>712</w:t>
      </w:r>
      <w:r>
        <w:rPr>
          <w:color w:val="000000"/>
        </w:rPr>
        <w:t xml:space="preserve"> Посебне мере за ове рањиве групе нису донете, а многе од постојећих услуга су престале да функционишу.</w:t>
      </w:r>
      <w:r>
        <w:rPr>
          <w:color w:val="000000"/>
          <w:vertAlign w:val="superscript"/>
        </w:rPr>
        <w:t>713</w:t>
      </w:r>
      <w:r>
        <w:rPr>
          <w:color w:val="000000"/>
        </w:rPr>
        <w:t xml:space="preserve"> Епидемија болести COVID-19 је још једном потврдила неопходност хитне деинституционализације јер није могуће организовати адекватну заштиту к</w:t>
      </w:r>
      <w:r>
        <w:rPr>
          <w:color w:val="000000"/>
        </w:rPr>
        <w:t>орисника/ца и запослених у установама за смештај особа са инвалидитетом.</w:t>
      </w:r>
      <w:r>
        <w:rPr>
          <w:color w:val="000000"/>
          <w:vertAlign w:val="superscript"/>
        </w:rPr>
        <w:t>714</w:t>
      </w:r>
      <w:r>
        <w:rPr>
          <w:color w:val="000000"/>
        </w:rPr>
        <w:t xml:space="preserve"> Током ванредног стања, повећан је ризик од породичног и партнерског насиља за жене са инвалидитетом, а оне су се суочавале са неприступачним облицима информисања, обустављањем или </w:t>
      </w:r>
      <w:r>
        <w:rPr>
          <w:color w:val="000000"/>
        </w:rPr>
        <w:t>смањењем обима и начина пружања услуга.</w:t>
      </w:r>
      <w:r>
        <w:rPr>
          <w:color w:val="000000"/>
          <w:vertAlign w:val="superscript"/>
        </w:rPr>
        <w:t>715</w:t>
      </w:r>
      <w:r>
        <w:rPr>
          <w:color w:val="000000"/>
        </w:rPr>
        <w:t xml:space="preserve"> Рестриктивне мере уведене током епидемије појачале су ризик од сиромаштва Рома и Ромкиња које држава није препознала као посебно угрожену групу становништва, те су изостале посебно усмерене мере подршке.</w:t>
      </w:r>
      <w:r>
        <w:rPr>
          <w:color w:val="000000"/>
          <w:vertAlign w:val="superscript"/>
        </w:rPr>
        <w:t>716</w:t>
      </w:r>
      <w:r>
        <w:rPr>
          <w:color w:val="000000"/>
        </w:rPr>
        <w:t xml:space="preserve"> Особе </w:t>
      </w:r>
      <w:r>
        <w:rPr>
          <w:color w:val="000000"/>
        </w:rPr>
        <w:t>са инвалидитетом су у већем ризику од заражавања и озбиљнијим симптомима болести COVID-19 због општег здравственог стања, препрека у приступу здравственим услугама, тешкоћа у придржавању мера физичког дистанцирања, потребе за подршком других особа, додирив</w:t>
      </w:r>
      <w:r>
        <w:rPr>
          <w:color w:val="000000"/>
        </w:rPr>
        <w:t>ања објеката ради информисања, начина живота у групним облицима становања, баријера у приступу информацијама о здрављу и мерама. Особе са инвалидитетом, посебно жене, биле су изложене већем ризику од нарушавања здравственог стања због отказивања или одлага</w:t>
      </w:r>
      <w:r>
        <w:rPr>
          <w:color w:val="000000"/>
        </w:rPr>
        <w:t>ња редовних терапија, немогућности набавке потребних лекова, дуготрајне изолације која нарушава опште физичко стање. Заштита репродуктивног здравља и приступ гинеколошким прегледима су били у другом плану, с обзиром да је за коришћење ове и других услуга з</w:t>
      </w:r>
      <w:r>
        <w:rPr>
          <w:color w:val="000000"/>
        </w:rPr>
        <w:t>дравствене заштите, женама са инвалидитетом је често потребан адекватан превоз и асистенција, а када то обезбеде, долазе до неприступачних амбуланти које често немају хидрауличне гинеколошке столице.</w:t>
      </w:r>
      <w:r>
        <w:rPr>
          <w:color w:val="000000"/>
          <w:vertAlign w:val="superscript"/>
        </w:rPr>
        <w:t>717</w:t>
      </w:r>
      <w:r>
        <w:rPr>
          <w:color w:val="000000"/>
        </w:rPr>
        <w:t xml:space="preserve"> Проблем </w:t>
      </w:r>
      <w:r>
        <w:rPr>
          <w:color w:val="000000"/>
        </w:rPr>
        <w:lastRenderedPageBreak/>
        <w:t>здравствене заштите ромске популације је прес</w:t>
      </w:r>
      <w:r>
        <w:rPr>
          <w:color w:val="000000"/>
        </w:rPr>
        <w:t>танак рада здравствених медијаторки током ванредног стања. То се негативно одразило на труднице, породиље, децу, особе са инвалидитетом, старија лица и лица која пате од хроничних болести. Цена заштитне опреме онемогућила је адекватну заштиту и приступ здр</w:t>
      </w:r>
      <w:r>
        <w:rPr>
          <w:color w:val="000000"/>
        </w:rPr>
        <w:t>авственим услугама делу најсиромашнијих Рома и Ромкиња. Проблем је било и заказивање прегледа онлајн или телефоном.</w:t>
      </w:r>
      <w:r>
        <w:rPr>
          <w:color w:val="000000"/>
          <w:vertAlign w:val="superscript"/>
        </w:rPr>
        <w:t>718</w:t>
      </w:r>
      <w:r>
        <w:rPr>
          <w:color w:val="000000"/>
        </w:rPr>
        <w:t xml:space="preserve"> Ромкиње које имају здравствену књижицу нису ишле код лекара, заказани термини су отказивани. Највише су била погођена деца са сметњама у </w:t>
      </w:r>
      <w:r>
        <w:rPr>
          <w:color w:val="000000"/>
        </w:rPr>
        <w:t>развоју и инвалидитетом и деца из ромске популације. За децу са сметњама у развоју нису донете мере које би обезбедиле да под једнаким условима остварују право на образовање, док је за децу из ромске популације проблем представљало то што нису имала технич</w:t>
      </w:r>
      <w:r>
        <w:rPr>
          <w:color w:val="000000"/>
        </w:rPr>
        <w:t>ку опрему за праћење наставе на даљину, а положај им је додатно отежан престанком рада педагошких асистената.</w:t>
      </w:r>
      <w:r>
        <w:rPr>
          <w:color w:val="000000"/>
          <w:vertAlign w:val="superscript"/>
        </w:rPr>
        <w:t>719</w:t>
      </w:r>
      <w:r>
        <w:rPr>
          <w:color w:val="000000"/>
        </w:rPr>
        <w:t xml:space="preserve"> Резултати истраживања показали су да скоро 70% ОЦД сматра да је током трајања епидемије болести COVID-19 дошло до повећања ризика у области инк</w:t>
      </w:r>
      <w:r>
        <w:rPr>
          <w:color w:val="000000"/>
        </w:rPr>
        <w:t>лузивног образовања за децу са инвалидитетом и за децу из ромске популације.</w:t>
      </w:r>
      <w:r>
        <w:rPr>
          <w:color w:val="000000"/>
          <w:vertAlign w:val="superscript"/>
        </w:rPr>
        <w:t>720</w:t>
      </w:r>
    </w:p>
    <w:p w:rsidR="00BC3CE6" w:rsidRDefault="009A2DE5">
      <w:pPr>
        <w:spacing w:after="150"/>
      </w:pPr>
      <w:r>
        <w:rPr>
          <w:color w:val="000000"/>
        </w:rPr>
        <w:t>Налази у истраживањима, реаговањима независних институција заштите људских права за време ванредног стања и у току ванредне ситуација, као и активности у вези са родним аспекти</w:t>
      </w:r>
      <w:r>
        <w:rPr>
          <w:color w:val="000000"/>
        </w:rPr>
        <w:t>ма пандемије изазване епидемијом болести COVID-19, показују да је неопходно укључити родне аспекте мера које се предузимају у ванредним ситуацијама изазваним не само пандемијом, већ и бројним другим узроцима (елементарне непогоде, поплаве, земљотреси, клим</w:t>
      </w:r>
      <w:r>
        <w:rPr>
          <w:color w:val="000000"/>
        </w:rPr>
        <w:t>атске промене, аеро загађења, хаварије већих размера и др.). Потребан је интерсекторски приступ родним аспектима ванредних ситуација изазваних различитим узроцима, јер су оне посебан безбедносни ризик за женска људска права. Стога је неопходно сачинити све</w:t>
      </w:r>
      <w:r>
        <w:rPr>
          <w:color w:val="000000"/>
        </w:rPr>
        <w:t>обухватну анализу родних аспеката и последица мера које се у таквим околностима предузимају, као и мера усмерених на отклањање последица изазваних ванредним околностима и сачинити препоруке о интегрисању родне перспективе у прописе и планске документе који</w:t>
      </w:r>
      <w:r>
        <w:rPr>
          <w:color w:val="000000"/>
        </w:rPr>
        <w:t xml:space="preserve"> се односе на ванредне ситуације.</w:t>
      </w:r>
    </w:p>
    <w:p w:rsidR="00BC3CE6" w:rsidRDefault="009A2DE5">
      <w:pPr>
        <w:spacing w:after="150"/>
        <w:jc w:val="both"/>
      </w:pPr>
      <w:r>
        <w:rPr>
          <w:i/>
          <w:color w:val="000000"/>
        </w:rPr>
        <w:t>––––––––</w:t>
      </w:r>
    </w:p>
    <w:p w:rsidR="00BC3CE6" w:rsidRDefault="009A2DE5">
      <w:pPr>
        <w:spacing w:after="150"/>
        <w:jc w:val="both"/>
      </w:pPr>
      <w:r>
        <w:rPr>
          <w:i/>
          <w:color w:val="000000"/>
        </w:rPr>
        <w:t>685 На пример: Пајванчић, М. и др, Родна анализа одговора на COVID-19 у Републици Србији, Мисија ОЕБС-а у Србији и ЖПРС 2020, доступно на: https://www.osce.org/files/f/documents/3/9/459391.pdf, приступљено 3.6.202</w:t>
      </w:r>
      <w:r>
        <w:rPr>
          <w:i/>
          <w:color w:val="000000"/>
        </w:rPr>
        <w:t>1. Економија бриге за време пандемије КОВИД-19 и мера за њено спровођење, SeConS, UN Women, 2020; Утицај КОВИД-19 пандемије и мера за њено спречавање на предузетнице у Србији, SeConS, UN Women, 2020; Утицај КОВИД-19 пандемије и мера за њено спречавање на з</w:t>
      </w:r>
      <w:r>
        <w:rPr>
          <w:i/>
          <w:color w:val="000000"/>
        </w:rPr>
        <w:t xml:space="preserve">апосленост и услове рада жена и мушкараца у Србији, SeConS, Европска комисија, UN Women, 2020; Consequences of COVID-19 on womens and mens economic empowerment, SeConS, UN Women, UNFPA, 2020. Декларација женских организација цивилног друштва и експерткиња </w:t>
      </w:r>
      <w:r>
        <w:rPr>
          <w:i/>
          <w:color w:val="000000"/>
        </w:rPr>
        <w:t xml:space="preserve">за родну равноправност </w:t>
      </w:r>
      <w:r>
        <w:rPr>
          <w:i/>
          <w:color w:val="000000"/>
        </w:rPr>
        <w:lastRenderedPageBreak/>
        <w:t>након националних консултација за борбу против епидемије КОВИД-19 у РС, ЖПРС; КОВИД-19 заједничка регионална изјава ОЦД; доступно на: https://drive.google.com/drive/folders/16Bg45r57ZTFuXwayRds62Qf5xifHht0u?usp=sharing приступ 6.6.20</w:t>
      </w:r>
      <w:r>
        <w:rPr>
          <w:i/>
          <w:color w:val="000000"/>
        </w:rPr>
        <w:t>21</w:t>
      </w:r>
    </w:p>
    <w:p w:rsidR="00BC3CE6" w:rsidRDefault="009A2DE5">
      <w:pPr>
        <w:spacing w:after="150"/>
        <w:jc w:val="both"/>
      </w:pPr>
      <w:r>
        <w:rPr>
          <w:i/>
          <w:color w:val="000000"/>
        </w:rPr>
        <w:t>686 COVID-19 and Ending Violence Against Women and Girls, UN Women; Violence Against Women and Girls Data Collection during COVID-19, UN Women; ODIHR &amp; UN Women launch surveys on COVID-19 and Human Trafficking in 25 languages; Making Indigenous Women an</w:t>
      </w:r>
      <w:r>
        <w:rPr>
          <w:i/>
          <w:color w:val="000000"/>
        </w:rPr>
        <w:t>d Girls Visible in the Implementation of the UN Framework for the Immediate Socio-Economic Response to COVID-19 Accessing Funds Through the Multi-Partner Trust Fund, UN Women, 2020; Impact of the COVID-19 pandemic on specialist services for victims and sur</w:t>
      </w:r>
      <w:r>
        <w:rPr>
          <w:i/>
          <w:color w:val="000000"/>
        </w:rPr>
        <w:t>vivors of violence in Serbia, a proposal for addressing needs – Country report Serbia, UN Women, 2020; UN Women series: Women at the forefront of COVID-19 response in Europe and Central Asia – Voices of gender equality mechanism on COVID-19, UN Women, 2020</w:t>
      </w:r>
      <w:r>
        <w:rPr>
          <w:i/>
          <w:color w:val="000000"/>
        </w:rPr>
        <w:t>. Women’s Political Participation: Guidance on COVID-19 Policy and Programme Responses, UN Women, 2020; Доступно на: https://drive.google.com/drive/folders/16Bg45r57ZTFuXwayRds62Qf5xifHht0u?usp=sharing приступ 6.6.2021.</w:t>
      </w:r>
    </w:p>
    <w:p w:rsidR="00BC3CE6" w:rsidRDefault="009A2DE5">
      <w:pPr>
        <w:spacing w:after="150"/>
        <w:jc w:val="both"/>
      </w:pPr>
      <w:r>
        <w:rPr>
          <w:i/>
          <w:color w:val="000000"/>
        </w:rPr>
        <w:t>687</w:t>
      </w:r>
      <w:r>
        <w:rPr>
          <w:i/>
          <w:color w:val="000000"/>
        </w:rPr>
        <w:tab/>
        <w:t>Више: Николин, С., Рајков, Г. Политичко учешће жена са инвалидитетом током пандемије КОВИД-19, ЦСЖ, 2020, доступно на: http://cilsrbija.org/ebib/202010201257060.Politicko_ucesce_osi_u_Srbiji_tokom_pandemije_KOVID19.pdf приступ 15.6.2021; Утицај КОВИД-1</w:t>
      </w:r>
      <w:r>
        <w:rPr>
          <w:i/>
          <w:color w:val="000000"/>
        </w:rPr>
        <w:t>9 пандемије и мера за њено спречавање на социо-економски положај жена које живе на селу са фокусом на пољопривреду, SeConS, UN Women, 2020; КОВИД-19 Како укључити маргинализоване и рањиве групе у комуникацију о ризику и ангажовање заједнице, UN Women; Брки</w:t>
      </w:r>
      <w:r>
        <w:rPr>
          <w:i/>
          <w:color w:val="000000"/>
        </w:rPr>
        <w:t>ћ, С. и др. Шта особе које живе са ХИВ-ом треба да знају о оболењу изазваном новим вирусом корона под називом КОВИД-19?, USOP – Унија PLWHA –организација у Србији, 2020; Стефановић, С. и др. Бити дете за време пандемије КОВИД-19 – анализа истраживања утица</w:t>
      </w:r>
      <w:r>
        <w:rPr>
          <w:i/>
          <w:color w:val="000000"/>
        </w:rPr>
        <w:t>ја мера ванредног стања на децу током пандемије КОВИД-19 у Србији, МОДС, 2020. Доступно на: https://drive.google.com/drive/folders/16Bg45r57ZTFuXwayRds62Qf5xifHht0u?usp=sharing приступ 6.6.2021.</w:t>
      </w:r>
    </w:p>
    <w:p w:rsidR="00BC3CE6" w:rsidRDefault="009A2DE5">
      <w:pPr>
        <w:spacing w:after="150"/>
        <w:jc w:val="both"/>
      </w:pPr>
      <w:r>
        <w:rPr>
          <w:i/>
          <w:color w:val="000000"/>
        </w:rPr>
        <w:t>688 Највећи број притужби 121 притужби односио се на здравств</w:t>
      </w:r>
      <w:r>
        <w:rPr>
          <w:i/>
          <w:color w:val="000000"/>
        </w:rPr>
        <w:t>ено стање, 115 старосно доба, 114 национална припадност од тога 94 притужбе или 82% су притужбе ромске мањине, 105 пол, 89 инвалидитет (стр. 18). Повереник је упутио 312 препорука мера и 12 иницијатива органима јавне власти, у циљу деловања на унапређењу п</w:t>
      </w:r>
      <w:r>
        <w:rPr>
          <w:i/>
          <w:color w:val="000000"/>
        </w:rPr>
        <w:t>оложаја појединих група становништва које су у условима пандемије нарочито рањиве које су се односиле на давање информација и обавештења у приступачним форматима, редовно пружање услуге помоћ у кући свим корисницима и обезбеђивање потребних дозвола за крет</w:t>
      </w:r>
      <w:r>
        <w:rPr>
          <w:i/>
          <w:color w:val="000000"/>
        </w:rPr>
        <w:t xml:space="preserve">ање лица која пружају ову помоћ, потребу да се услугама социјалне заштите и програмима помоћи обухвате сва лица која се налазе у стању потребе, шири обухват економским мерама помоћи и др. </w:t>
      </w:r>
      <w:r>
        <w:rPr>
          <w:i/>
          <w:color w:val="000000"/>
        </w:rPr>
        <w:lastRenderedPageBreak/>
        <w:t>(стр. 13), Годишњи извештај Повереника за заштиту равноправности, 20</w:t>
      </w:r>
      <w:r>
        <w:rPr>
          <w:i/>
          <w:color w:val="000000"/>
        </w:rPr>
        <w:t>20. Доступно на: http://ravnopravnost.gov.rs/wp-content/uploads/2021/04/Poverenik-za-zastitu-ravnopravnosti-Godisnji-izvestaj-za-2020 приступ 10.6.2021.</w:t>
      </w:r>
    </w:p>
    <w:p w:rsidR="00BC3CE6" w:rsidRDefault="009A2DE5">
      <w:pPr>
        <w:spacing w:after="150"/>
        <w:jc w:val="both"/>
      </w:pPr>
      <w:r>
        <w:rPr>
          <w:i/>
          <w:color w:val="000000"/>
        </w:rPr>
        <w:t>689 Заштитник грађана је реаговао на почетку епидемиолошке кризе кад су били прекинути сви видови међун</w:t>
      </w:r>
      <w:r>
        <w:rPr>
          <w:i/>
          <w:color w:val="000000"/>
        </w:rPr>
        <w:t>ародног саобраћаја како би, захваљујући билатералним контактима са омбудсманима других држава, дао допринос повратку наших грађана из иностранства у РС. Покренуте су иницијативе које су омогућиле неометано кретање деци и родитељима деце са аутизмом у време</w:t>
      </w:r>
      <w:r>
        <w:rPr>
          <w:i/>
          <w:color w:val="000000"/>
        </w:rPr>
        <w:t xml:space="preserve"> забране кретања, одржавање личних односа између детета и родитеља са којим дете не живи, кретање лицима која се брину о старијима, непокретнима и особама са инвалидитетом током забране кретања, кретање жртвама насиља у време забране кретања ради заштите о</w:t>
      </w:r>
      <w:r>
        <w:rPr>
          <w:i/>
          <w:color w:val="000000"/>
        </w:rPr>
        <w:t xml:space="preserve">д насиља, као и измене процедура обавештавања породице о здравственом стању пацијената оболелих од COVID-19 смештених у Клиничком центру Ниш. Појачан је надзор на терену, провера услова у којима се налазе грађани, а посебно осетљиве групе – деца, особе са </w:t>
      </w:r>
      <w:r>
        <w:rPr>
          <w:i/>
          <w:color w:val="000000"/>
        </w:rPr>
        <w:t>инвалидитетом, Роми, мигранти као и лица лишена слободе. Продужено радно време на седам дана у недељи, уведено више телефонских линија које су радиле од 8–22 сата. Видети: Посебан извештај Заштитника грађана за време ванредног стања, доступно на: https://o</w:t>
      </w:r>
      <w:r>
        <w:rPr>
          <w:i/>
          <w:color w:val="000000"/>
        </w:rPr>
        <w:t>mbudsman.rs/attachment/article/6643/poseban%20izveštaj20zg_vanredno%stanje.docx приступ 11.9.2021, Тематски извештај НПМ о примени принципа ЦПТ о поступању према лицима лишеним слободе за време пандемије корона болести, 2020, доступно на: https://ombudsman</w:t>
      </w:r>
      <w:r>
        <w:rPr>
          <w:i/>
          <w:color w:val="000000"/>
        </w:rPr>
        <w:t>.rs/artisle6630/izveštaj.pdf приступ 11.9.2021, Посебан извештај Заштитника грађана Услови у ромским насељима и примена мера заштите услед епидемије корона болести (COVID-19), 2020. Доступно на: https://zaštitnik.rs/index.php/izveštaji/posebni-izveštaj/660</w:t>
      </w:r>
      <w:r>
        <w:rPr>
          <w:i/>
          <w:color w:val="000000"/>
        </w:rPr>
        <w:t>8-10 приступ: 11.9.2021., Годишњи извештај Заштитника грађана за 2020., страна 5. Доступно на: https://www.ombudsman.rs/index.php/izvestaji/godisnji-izvestaji приступ 15.6.2021.</w:t>
      </w:r>
    </w:p>
    <w:p w:rsidR="00BC3CE6" w:rsidRDefault="009A2DE5">
      <w:pPr>
        <w:spacing w:after="150"/>
        <w:jc w:val="both"/>
      </w:pPr>
      <w:r>
        <w:rPr>
          <w:i/>
          <w:color w:val="000000"/>
        </w:rPr>
        <w:t>690 Више: Људска права и КОВИД-19, – анализа правног оквира током епидемије, у</w:t>
      </w:r>
      <w:r>
        <w:rPr>
          <w:i/>
          <w:color w:val="000000"/>
        </w:rPr>
        <w:t>тицај на остваривање људских права, YUCOM, 2020, доступно на: https://en.yucom.org.rs/analysis-of-the-changes-in-legal-framework-during-the-covid-19-epidemic-and-impact-on-enjoying-human-rights-in-the-republic-of-serbia/ приступ 14.6.2021.</w:t>
      </w:r>
    </w:p>
    <w:p w:rsidR="00BC3CE6" w:rsidRDefault="009A2DE5">
      <w:pPr>
        <w:spacing w:after="150"/>
        <w:jc w:val="both"/>
      </w:pPr>
      <w:r>
        <w:rPr>
          <w:i/>
          <w:color w:val="000000"/>
        </w:rPr>
        <w:t>Анализа мера одс</w:t>
      </w:r>
      <w:r>
        <w:rPr>
          <w:i/>
          <w:color w:val="000000"/>
        </w:rPr>
        <w:t>тупања од људских и мањинских права током ванредног стања у РС изазваног епидемијом заразне болести КОВИД-19 у Србији, А11 – Иницијатива за социјална и економска права, 2020, доступно на: https://www.a11initiative.org/wp-content/uploads/2020/03/Analiza-mer</w:t>
      </w:r>
      <w:r>
        <w:rPr>
          <w:i/>
          <w:color w:val="000000"/>
        </w:rPr>
        <w:t xml:space="preserve">a-odstupanja-derogacija-od-ljudskih-i-manjinskih-prava-tokom-vanrednog-stanja-u-Republici-Srbiji-izazvanog-epidemijom-zarazne-bolesti-COVID-19-1.pdf Мисија ОЕБС припремила је посебне алате за државе чланице везане за Поштовање демократије, владавине права </w:t>
      </w:r>
      <w:r>
        <w:rPr>
          <w:i/>
          <w:color w:val="000000"/>
        </w:rPr>
        <w:t xml:space="preserve">и људских права у контексту </w:t>
      </w:r>
      <w:r>
        <w:rPr>
          <w:i/>
          <w:color w:val="000000"/>
        </w:rPr>
        <w:lastRenderedPageBreak/>
        <w:t>здравствене кризе изазване КОВИД-19 – Алати за државе чланице, ОЕБС, 2020. доступно на: www.osce.org. приступ 14.6.2021.</w:t>
      </w:r>
    </w:p>
    <w:p w:rsidR="00BC3CE6" w:rsidRDefault="009A2DE5">
      <w:pPr>
        <w:spacing w:after="150"/>
        <w:jc w:val="both"/>
      </w:pPr>
      <w:r>
        <w:rPr>
          <w:i/>
          <w:color w:val="000000"/>
        </w:rPr>
        <w:t>691 Редовни годишњи извештај Повереника за заштиту равноправности, страна 37.</w:t>
      </w:r>
    </w:p>
    <w:p w:rsidR="00BC3CE6" w:rsidRDefault="009A2DE5">
      <w:pPr>
        <w:spacing w:after="150"/>
        <w:jc w:val="both"/>
      </w:pPr>
      <w:r>
        <w:rPr>
          <w:i/>
          <w:color w:val="000000"/>
        </w:rPr>
        <w:t xml:space="preserve">692 У извештају се наводи да </w:t>
      </w:r>
      <w:r>
        <w:rPr>
          <w:i/>
          <w:color w:val="000000"/>
        </w:rPr>
        <w:t>се „Током кризе у великој мери могла се сагледати потреба унапређивања приступа адекватним и правовременим информацијама у вези са кризним догађајем и начинима за његово превазилажење, али и други проблеми, попут: сагледавања специфичности различитих друшт</w:t>
      </w:r>
      <w:r>
        <w:rPr>
          <w:i/>
          <w:color w:val="000000"/>
        </w:rPr>
        <w:t>вених група које су током криза у повећаном ризику, давања правовременог одговора на њихове потребе; неопходности претходног поседовања што прецизнијих сегрегисаних података о становништву како се не би догодило да неке група грађана буду изостављене из по</w:t>
      </w:r>
      <w:r>
        <w:rPr>
          <w:i/>
          <w:color w:val="000000"/>
        </w:rPr>
        <w:t>јединих мера; нужности успостављања сарадње и укључивања што већег броја представника рањивих група у креирање одговарајућих одговора на кризне ситуације; снажне потребе за подстицањем волонтеризма и друштвене одговорности; развоја и прецизирања могућности</w:t>
      </w:r>
      <w:r>
        <w:rPr>
          <w:i/>
          <w:color w:val="000000"/>
        </w:rPr>
        <w:t xml:space="preserve"> за континуирано коришћење права на здравствену али и социјалну заштиту, у условима кризних ситуација; потребе за прецизирањем одредаба одређених прописа (попут прописа о раду од куће, безбедности и здравља на раду у кризним ситуацијама и сл.) и наглашава </w:t>
      </w:r>
      <w:r>
        <w:rPr>
          <w:i/>
          <w:color w:val="000000"/>
        </w:rPr>
        <w:t>да је „пракса показала и да је потребно укључивати представнике организација које се баве заштитом права одређених друштвених група као и институције за заштиту људских права, попут Повереника, у креирање мера превенције и заштите становништва, као и да је</w:t>
      </w:r>
      <w:r>
        <w:rPr>
          <w:i/>
          <w:color w:val="000000"/>
        </w:rPr>
        <w:t xml:space="preserve"> било и неопходно остављати довољно времена за припрему и информисање становништва за увођење мера, а у циљу постизања бољих и ефикаснијих резултата”, страна 15.</w:t>
      </w:r>
    </w:p>
    <w:p w:rsidR="00BC3CE6" w:rsidRDefault="009A2DE5">
      <w:pPr>
        <w:spacing w:after="150"/>
        <w:jc w:val="both"/>
      </w:pPr>
      <w:r>
        <w:rPr>
          <w:i/>
          <w:color w:val="000000"/>
        </w:rPr>
        <w:t>693 Исто, страна 45.</w:t>
      </w:r>
    </w:p>
    <w:p w:rsidR="00BC3CE6" w:rsidRDefault="009A2DE5">
      <w:pPr>
        <w:spacing w:after="150"/>
        <w:jc w:val="both"/>
      </w:pPr>
      <w:r>
        <w:rPr>
          <w:i/>
          <w:color w:val="000000"/>
        </w:rPr>
        <w:t>694 Исто, стр. 26–27.</w:t>
      </w:r>
    </w:p>
    <w:p w:rsidR="00BC3CE6" w:rsidRDefault="009A2DE5">
      <w:pPr>
        <w:spacing w:after="150"/>
        <w:jc w:val="both"/>
      </w:pPr>
      <w:r>
        <w:rPr>
          <w:i/>
          <w:color w:val="000000"/>
        </w:rPr>
        <w:t>695 Видети: Годишњи извештај Заштитника грађана, ст</w:t>
      </w:r>
      <w:r>
        <w:rPr>
          <w:i/>
          <w:color w:val="000000"/>
        </w:rPr>
        <w:t>р. 7–8 Доступно на: https://www.ombudsman.rs/index.php/izvestaji/godisnji-izvestaji приступ 15.6.2021.</w:t>
      </w:r>
    </w:p>
    <w:p w:rsidR="00BC3CE6" w:rsidRDefault="009A2DE5">
      <w:pPr>
        <w:spacing w:after="150"/>
        <w:jc w:val="both"/>
      </w:pPr>
      <w:r>
        <w:rPr>
          <w:i/>
          <w:color w:val="000000"/>
        </w:rPr>
        <w:t>696 Доступно на: COVID-19: Како укључити маргинализоване и рањиве особе у комуникацију о ризику и у ангажовање заједнице, UN Women Srbija, приступ 14.6.2</w:t>
      </w:r>
      <w:r>
        <w:rPr>
          <w:i/>
          <w:color w:val="000000"/>
        </w:rPr>
        <w:t>021.</w:t>
      </w:r>
    </w:p>
    <w:p w:rsidR="00BC3CE6" w:rsidRDefault="009A2DE5">
      <w:pPr>
        <w:spacing w:after="150"/>
        <w:jc w:val="both"/>
      </w:pPr>
      <w:r>
        <w:rPr>
          <w:i/>
          <w:color w:val="000000"/>
        </w:rPr>
        <w:t>697</w:t>
      </w:r>
      <w:r>
        <w:rPr>
          <w:i/>
          <w:color w:val="000000"/>
        </w:rPr>
        <w:tab/>
        <w:t>Доступно на: https://www.womenngo.org.rs/vesti/1576-saopstenje-za-javnost-zastita-i-podrska-zenama-zrtvama-nasilja-tokom-prvih-mesec-dana-vanrednog-stanja, приступ 30.5.2021.</w:t>
      </w:r>
    </w:p>
    <w:p w:rsidR="00BC3CE6" w:rsidRDefault="009A2DE5">
      <w:pPr>
        <w:spacing w:after="150"/>
        <w:jc w:val="both"/>
      </w:pPr>
      <w:r>
        <w:rPr>
          <w:i/>
          <w:color w:val="000000"/>
        </w:rPr>
        <w:t>698</w:t>
      </w:r>
      <w:r>
        <w:rPr>
          <w:i/>
          <w:color w:val="000000"/>
        </w:rPr>
        <w:tab/>
        <w:t>Доступно на: https://www.femplatz.org/library/newsletters/Bilten_4_S</w:t>
      </w:r>
      <w:r>
        <w:rPr>
          <w:i/>
          <w:color w:val="000000"/>
        </w:rPr>
        <w:t>R.pdf, 12.6.2021.</w:t>
      </w:r>
    </w:p>
    <w:p w:rsidR="00BC3CE6" w:rsidRDefault="009A2DE5">
      <w:pPr>
        <w:spacing w:after="150"/>
        <w:jc w:val="both"/>
      </w:pPr>
      <w:r>
        <w:rPr>
          <w:i/>
          <w:color w:val="000000"/>
        </w:rPr>
        <w:t>699 Impact of the COVID-19 pandemic on specialist services for victims and survivors of violence in the Western Balkans and Turkey, UNW 2020.</w:t>
      </w:r>
    </w:p>
    <w:p w:rsidR="00BC3CE6" w:rsidRDefault="009A2DE5">
      <w:pPr>
        <w:spacing w:after="150"/>
        <w:jc w:val="both"/>
      </w:pPr>
      <w:r>
        <w:rPr>
          <w:i/>
          <w:color w:val="000000"/>
        </w:rPr>
        <w:lastRenderedPageBreak/>
        <w:t>700 Родна анализа одговора на КОВИД-19 у РС, ОСЦЕ 2020. Доступно на: https://www.osce.org/files/</w:t>
      </w:r>
      <w:r>
        <w:rPr>
          <w:i/>
          <w:color w:val="000000"/>
        </w:rPr>
        <w:t>f/documents/3/9/459391.pdf; приступ 15.6.2021. Одбор за људска права Врање и Удружење Ромкиња ОСВИТ из Ниша, поднеле два предлога: за допуну уредбе о забрани кретања и Предлог допуне уредбе о организовању рада установа социјалне заштите, организације социј</w:t>
      </w:r>
      <w:r>
        <w:rPr>
          <w:i/>
          <w:color w:val="000000"/>
        </w:rPr>
        <w:t>алне заштите за пружање услуга домског смештаја у период ванредног стања, којим би се омогућио пријем жена са искуством насиља у Сигурне куће током пандемије КОВИД-19. Ни један од предлога није усвојен.</w:t>
      </w:r>
    </w:p>
    <w:p w:rsidR="00BC3CE6" w:rsidRDefault="009A2DE5">
      <w:pPr>
        <w:spacing w:after="150"/>
        <w:jc w:val="both"/>
      </w:pPr>
      <w:r>
        <w:rPr>
          <w:i/>
          <w:color w:val="000000"/>
        </w:rPr>
        <w:t>701</w:t>
      </w:r>
      <w:r>
        <w:rPr>
          <w:i/>
          <w:color w:val="000000"/>
        </w:rPr>
        <w:tab/>
        <w:t>Доступно на: https://rm.coe.int/declaration-commi</w:t>
      </w:r>
      <w:r>
        <w:rPr>
          <w:i/>
          <w:color w:val="000000"/>
        </w:rPr>
        <w:t>ttee-of-the-parties-to-ic-covid-/16809e33c6n-cases-of-violence-against-women, приступ 13.6.2021.</w:t>
      </w:r>
    </w:p>
    <w:p w:rsidR="00BC3CE6" w:rsidRDefault="009A2DE5">
      <w:pPr>
        <w:spacing w:after="150"/>
        <w:jc w:val="both"/>
      </w:pPr>
      <w:r>
        <w:rPr>
          <w:i/>
          <w:color w:val="000000"/>
        </w:rPr>
        <w:t>702</w:t>
      </w:r>
      <w:r>
        <w:rPr>
          <w:i/>
          <w:color w:val="000000"/>
        </w:rPr>
        <w:tab/>
        <w:t>Доступно на: https://www.osce.org/secretariat/449797.; https://eige.europa.eu/news/covid-19-and-gender-based-violence-has-pandemic-taught-us-anything;https</w:t>
      </w:r>
      <w:r>
        <w:rPr>
          <w:i/>
          <w:color w:val="000000"/>
        </w:rPr>
        <w:t>://victimsupport.eu/covid-19information /?fbclid=IwAR3KYSC14Elm055wqRVwrMKIbd-1Bao3mJ2n_-kOD5K7g32-Upcpvp7hFY;https://www.euro.who.int/en/health-topics/disease-prevention/violence-and-injuries/areas-of-work/violence/violence-against-women; https://www.rosa</w:t>
      </w:r>
      <w:r>
        <w:rPr>
          <w:i/>
          <w:color w:val="000000"/>
        </w:rPr>
        <w:t>lux.de/en/news/id/42140/feminism-now. приступ 17.6.2021.</w:t>
      </w:r>
    </w:p>
    <w:p w:rsidR="00BC3CE6" w:rsidRDefault="009A2DE5">
      <w:pPr>
        <w:spacing w:after="150"/>
        <w:jc w:val="both"/>
      </w:pPr>
      <w:r>
        <w:rPr>
          <w:i/>
          <w:color w:val="000000"/>
        </w:rPr>
        <w:t>703</w:t>
      </w:r>
      <w:r>
        <w:rPr>
          <w:i/>
          <w:color w:val="000000"/>
        </w:rPr>
        <w:tab/>
        <w:t>Rupasinge, N. и др. Утицај ковид-19 на здравствене системе на Западном Балкану Доступно на: https://pubdocs.worldbank.org/en/726641590707354436/RER17-Health-note-SRB.pdf, приступ: 15.6.2021.</w:t>
      </w:r>
    </w:p>
    <w:p w:rsidR="00BC3CE6" w:rsidRDefault="009A2DE5">
      <w:pPr>
        <w:spacing w:after="150"/>
        <w:jc w:val="both"/>
      </w:pPr>
      <w:r>
        <w:rPr>
          <w:i/>
          <w:color w:val="000000"/>
        </w:rPr>
        <w:t xml:space="preserve">704 </w:t>
      </w:r>
      <w:r>
        <w:rPr>
          <w:i/>
          <w:color w:val="000000"/>
        </w:rPr>
        <w:t>Супервизија Републичког завода за социјалну заштиту о начину функционисања ЦСР током пандемије показала је да су центри функционисали отежано и прилагођавали организацију радног процеса – рад у сменама, дежурства, рад у циклусима када део запослених ради о</w:t>
      </w:r>
      <w:r>
        <w:rPr>
          <w:i/>
          <w:color w:val="000000"/>
        </w:rPr>
        <w:t>д куће, а део у просторијама центара. Иако није постојала стриктна инструкција о приоритетизацији случајева, по аутоматизму су прво решавани хитни смештаји и случајеви насиља. Рестрикције у директним контактима прављене су обуставом теренских посета корисн</w:t>
      </w:r>
      <w:r>
        <w:rPr>
          <w:i/>
          <w:color w:val="000000"/>
        </w:rPr>
        <w:t>ицима и приликом пријема захтева за материјална давања. Највеће тешкоће и пуно непознаница ЦСР су имали у ситуацијама виђања детета са родитељем са којим дете не живи, по судским одлукама, због ограничења кретања грађана/ки и самих стручњака центара за соц</w:t>
      </w:r>
      <w:r>
        <w:rPr>
          <w:i/>
          <w:color w:val="000000"/>
        </w:rPr>
        <w:t>ијални рад. Извор: Коментар Републичког завода за социјалну заштиту током консултација о Полазним основама Стратегије за родну равноправност за период 2021–2030, август 2021.</w:t>
      </w:r>
    </w:p>
    <w:p w:rsidR="00BC3CE6" w:rsidRDefault="009A2DE5">
      <w:pPr>
        <w:spacing w:after="150"/>
        <w:jc w:val="both"/>
      </w:pPr>
      <w:r>
        <w:rPr>
          <w:i/>
          <w:color w:val="000000"/>
        </w:rPr>
        <w:t>705 Пајванчић, М. и др. Rodna analiza odgovora na COVID-19 u Republici Srbiji, 20</w:t>
      </w:r>
      <w:r>
        <w:rPr>
          <w:i/>
          <w:color w:val="000000"/>
        </w:rPr>
        <w:t>20, страна 47, доступно на: https://www.osce.org/files/f/documents/3/9/459391.pdf, приступ: 12.6.2021.</w:t>
      </w:r>
    </w:p>
    <w:p w:rsidR="00BC3CE6" w:rsidRDefault="009A2DE5">
      <w:pPr>
        <w:spacing w:after="150"/>
        <w:jc w:val="both"/>
      </w:pPr>
      <w:r>
        <w:rPr>
          <w:i/>
          <w:color w:val="000000"/>
        </w:rPr>
        <w:lastRenderedPageBreak/>
        <w:t xml:space="preserve">706 Увођењем ванредног стања образовни програми су реализовани на даљину путем телевизијског канала РТС 3, платформе РТС Планета и интернет платформи за </w:t>
      </w:r>
      <w:r>
        <w:rPr>
          <w:i/>
          <w:color w:val="000000"/>
        </w:rPr>
        <w:t>учење. Одлука о обустави извођења наставе у високошколским установама, средњим и основним школама и редовног рада установа предшколског васпитања и образовања, „Службени гласник РС”, брoj 30/2020.</w:t>
      </w:r>
    </w:p>
    <w:p w:rsidR="00BC3CE6" w:rsidRDefault="009A2DE5">
      <w:pPr>
        <w:spacing w:after="150"/>
        <w:jc w:val="both"/>
      </w:pPr>
      <w:r>
        <w:rPr>
          <w:i/>
          <w:color w:val="000000"/>
        </w:rPr>
        <w:t>707 Према подацима ресорног министарства, министарство је н</w:t>
      </w:r>
      <w:r>
        <w:rPr>
          <w:i/>
          <w:color w:val="000000"/>
        </w:rPr>
        <w:t>абавило и дистрибуирало 2450 ИТ уређаја и 2400 интернет картица, а уз подршку Ромског образовног фонда и Фондације отворено друштво још 550 ИТ уређаја који су додељени школама у којима се образују ученици/це ромске националности који нису имали потребну ИТ</w:t>
      </w:r>
      <w:r>
        <w:rPr>
          <w:i/>
          <w:color w:val="000000"/>
        </w:rPr>
        <w:t xml:space="preserve"> опрему за праћење наставе на даљину. Током школске 2020/21. године, кроз партнерство са УНИЦЕФ-ом набављено је преко 2.000 уређаја за 30 најугроженијих школа у којима се образују ромски ученици, обука за 900 наставника, као и неповратна средства за школе </w:t>
      </w:r>
      <w:r>
        <w:rPr>
          <w:i/>
          <w:color w:val="000000"/>
        </w:rPr>
        <w:t>(5.000 евра) за формирање Клуба за учење у којима се обезбеђују услови за онлајн учење за ученике који немају те услове кући.</w:t>
      </w:r>
    </w:p>
    <w:p w:rsidR="00BC3CE6" w:rsidRDefault="009A2DE5">
      <w:pPr>
        <w:spacing w:after="150"/>
        <w:jc w:val="both"/>
      </w:pPr>
      <w:r>
        <w:rPr>
          <w:i/>
          <w:color w:val="000000"/>
        </w:rPr>
        <w:t>708 Према налазима истраживања које је ресорно министарство спровело у сарадњи са УНИЦЕФ-ом и Институтом за психологију, већина ПА</w:t>
      </w:r>
      <w:r>
        <w:rPr>
          <w:i/>
          <w:color w:val="000000"/>
        </w:rPr>
        <w:t xml:space="preserve"> је, користећи савремену комуникациону технологију, била са ученицима у контакту најмање три пута недељно, најмање два пута недељно са родитељима, а свакодневно са наставницима/цама, са којима су размењивали образовни материјал и белешке о активности појед</w:t>
      </w:r>
      <w:r>
        <w:rPr>
          <w:i/>
          <w:color w:val="000000"/>
        </w:rPr>
        <w:t>иних ученика, прикупљали задатке од ученика и достављали их предметним наставницима, ако то ученици нису урадили директно; За ученике/це који наставу прате смо преко ТВ, ПА су остварили појачану комуникацију са ученицима/цама, бележили рад и образовна пост</w:t>
      </w:r>
      <w:r>
        <w:rPr>
          <w:i/>
          <w:color w:val="000000"/>
        </w:rPr>
        <w:t>игнућа ученика/ца, што је коришћено у процесу оцењивања, у складу са допунама Правилника о оцењивању ученика у основном образовању и васпитању („Службени гласник РС”, број 34 од 17. маја 2019, 59 од 22. априла 2020) Видети: „Праћење начина учешћа и процеса</w:t>
      </w:r>
      <w:r>
        <w:rPr>
          <w:i/>
          <w:color w:val="000000"/>
        </w:rPr>
        <w:t xml:space="preserve"> учења ученика из осетљивих група током остваривања образовно-васпитног рада учењем на даљину”. доступно на: http://www.mpn.gov.rs/wp-content/uploads/2020/06/4.b-Prvi-izve%C5%A1taj-osetljive-grupe-u%C4%8Denje-na-daljinu.pdf приступ 28.8.2021.</w:t>
      </w:r>
    </w:p>
    <w:p w:rsidR="00BC3CE6" w:rsidRDefault="009A2DE5">
      <w:pPr>
        <w:spacing w:after="150"/>
        <w:jc w:val="both"/>
      </w:pPr>
      <w:r>
        <w:rPr>
          <w:i/>
          <w:color w:val="000000"/>
        </w:rPr>
        <w:t xml:space="preserve">709 Школе су </w:t>
      </w:r>
      <w:r>
        <w:rPr>
          <w:i/>
          <w:color w:val="000000"/>
        </w:rPr>
        <w:t>биле у обавези да у оперативним плановима рада предвиде и учење на даљину са ученицима који раде по индивидуалном образовном плану, а наставници да израде посебне прилагођене материјале за ђаке којима је потребан структуиран индивидуализован приступ у раду</w:t>
      </w:r>
      <w:r>
        <w:rPr>
          <w:i/>
          <w:color w:val="000000"/>
        </w:rPr>
        <w:t xml:space="preserve"> и да их учине доступним ученицима, као и да као и да припреме садржај, упутство за учење и начин добијања повратне информације, како би се пратило напредовање ученика и обезбедила додатна подршка. Ресорно министарство је упутило и допис свим општинама са </w:t>
      </w:r>
      <w:r>
        <w:rPr>
          <w:i/>
          <w:color w:val="000000"/>
        </w:rPr>
        <w:t xml:space="preserve">препоруком за организовање рада интерресорне комисије са циљем да се у условима ванредног стања обезбеди додатна подршка деци и ученицима. Такође, током припрема </w:t>
      </w:r>
      <w:r>
        <w:rPr>
          <w:i/>
          <w:color w:val="000000"/>
        </w:rPr>
        <w:lastRenderedPageBreak/>
        <w:t xml:space="preserve">пробног завршног испита у онлајн окружењу, школе су добиле посебне инструкције о модалитетима </w:t>
      </w:r>
      <w:r>
        <w:rPr>
          <w:i/>
          <w:color w:val="000000"/>
        </w:rPr>
        <w:t>прилагођавања овог испита ученицима који се образују по индивидуалном образовном плану. Подаци о предузетим мерама доступни су на сајту ресорног министарства. http://www.mpn.gov.rs/.</w:t>
      </w:r>
    </w:p>
    <w:p w:rsidR="00BC3CE6" w:rsidRDefault="009A2DE5">
      <w:pPr>
        <w:spacing w:after="150"/>
        <w:jc w:val="both"/>
      </w:pPr>
      <w:r>
        <w:rPr>
          <w:i/>
          <w:color w:val="000000"/>
        </w:rPr>
        <w:t>710 Родна анализа одговора на КОВИД-19 у РС, оп. цит. страна 51UNW 2020.</w:t>
      </w:r>
    </w:p>
    <w:p w:rsidR="00BC3CE6" w:rsidRDefault="009A2DE5">
      <w:pPr>
        <w:spacing w:after="150"/>
        <w:jc w:val="both"/>
      </w:pPr>
      <w:r>
        <w:rPr>
          <w:i/>
          <w:color w:val="000000"/>
        </w:rPr>
        <w:t>711 Исто, страна 25.</w:t>
      </w:r>
    </w:p>
    <w:p w:rsidR="00BC3CE6" w:rsidRDefault="009A2DE5">
      <w:pPr>
        <w:spacing w:after="150"/>
        <w:jc w:val="both"/>
      </w:pPr>
      <w:r>
        <w:rPr>
          <w:i/>
          <w:color w:val="000000"/>
        </w:rPr>
        <w:t>712</w:t>
      </w:r>
      <w:r>
        <w:rPr>
          <w:i/>
          <w:color w:val="000000"/>
        </w:rPr>
        <w:tab/>
        <w:t>Мршевић, З. 2020. Положај лезбејки и транс жена у време пандемије корона болести. A11 иницијатива. Доступно на: https://www.a11initiative.org/zorica-mrsevic-polozaj-lezbejki-i-trans-zena-u-vreme-pandemije-korona-virusa/, приступ 30</w:t>
      </w:r>
      <w:r>
        <w:rPr>
          <w:i/>
          <w:color w:val="000000"/>
        </w:rPr>
        <w:t>.5.2021.</w:t>
      </w:r>
    </w:p>
    <w:p w:rsidR="00BC3CE6" w:rsidRDefault="009A2DE5">
      <w:pPr>
        <w:spacing w:after="150"/>
        <w:jc w:val="both"/>
      </w:pPr>
      <w:r>
        <w:rPr>
          <w:i/>
          <w:color w:val="000000"/>
        </w:rPr>
        <w:t>713</w:t>
      </w:r>
      <w:r>
        <w:rPr>
          <w:i/>
          <w:color w:val="000000"/>
        </w:rPr>
        <w:tab/>
        <w:t>Пајванчић, М. и др. Родна анализа одговора на КОВИД-19 у Републици Србији, 2020, страна 47, доступно на: https://www.osce.org/files/f/documents/3/9/459391.pdf, приступ: 12.6.2021.</w:t>
      </w:r>
    </w:p>
    <w:p w:rsidR="00BC3CE6" w:rsidRDefault="009A2DE5">
      <w:pPr>
        <w:spacing w:after="150"/>
        <w:jc w:val="both"/>
      </w:pPr>
      <w:r>
        <w:rPr>
          <w:i/>
          <w:color w:val="000000"/>
        </w:rPr>
        <w:t>714</w:t>
      </w:r>
      <w:r>
        <w:rPr>
          <w:i/>
          <w:color w:val="000000"/>
        </w:rPr>
        <w:tab/>
        <w:t>Бекер, К. и др. КОВИД -19 мере и социјална и економска права жена са инвалидитетом у Србији, Udruženje građanki, FemPlatz, Iz kruga Beograd, 2021. страна 11 доступно на: https://www.femplatz.org/library/reports/2021-02-16_Kovid-19_i_zene_sa_invaliditet</w:t>
      </w:r>
      <w:r>
        <w:rPr>
          <w:i/>
          <w:color w:val="000000"/>
        </w:rPr>
        <w:t>om.pdf приступ 6.6.2021.</w:t>
      </w:r>
    </w:p>
    <w:p w:rsidR="00BC3CE6" w:rsidRDefault="009A2DE5">
      <w:pPr>
        <w:spacing w:after="150"/>
        <w:jc w:val="both"/>
      </w:pPr>
      <w:r>
        <w:rPr>
          <w:i/>
          <w:color w:val="000000"/>
        </w:rPr>
        <w:t>715 Ибид.</w:t>
      </w:r>
    </w:p>
    <w:p w:rsidR="00BC3CE6" w:rsidRDefault="009A2DE5">
      <w:pPr>
        <w:spacing w:after="150"/>
        <w:jc w:val="both"/>
      </w:pPr>
      <w:r>
        <w:rPr>
          <w:i/>
          <w:color w:val="000000"/>
        </w:rPr>
        <w:t>716</w:t>
      </w:r>
      <w:r>
        <w:rPr>
          <w:i/>
          <w:color w:val="000000"/>
        </w:rPr>
        <w:tab/>
        <w:t>Последице КОВИД-19 на положај осетљивих група и група у ризику, Тим за социјално укључивање и смањење сиромаштва, Београд, 2020, страна 11, доступно на: http://socijalnoukljucivanje.gov.rs/wp-content/uploads/2020/12/P</w:t>
      </w:r>
      <w:r>
        <w:rPr>
          <w:i/>
          <w:color w:val="000000"/>
        </w:rPr>
        <w:t>osledice_Kovid-19_na_polozaj_osetljivih_grupa_i_grupa_u_riziku.pdf приступ 11.5.2021.</w:t>
      </w:r>
    </w:p>
    <w:p w:rsidR="00BC3CE6" w:rsidRDefault="009A2DE5">
      <w:pPr>
        <w:spacing w:after="150"/>
        <w:jc w:val="both"/>
      </w:pPr>
      <w:r>
        <w:rPr>
          <w:i/>
          <w:color w:val="000000"/>
        </w:rPr>
        <w:t>717</w:t>
      </w:r>
      <w:r>
        <w:rPr>
          <w:i/>
          <w:color w:val="000000"/>
        </w:rPr>
        <w:tab/>
        <w:t>Бекер, К. и др. Б. Ковид-19 мере и социјална и економска права жена са инвалидитетом у Србији, FemPlatz, Iz krugа, 2021. Доступно на: https://www.femplatz.org/library</w:t>
      </w:r>
      <w:r>
        <w:rPr>
          <w:i/>
          <w:color w:val="000000"/>
        </w:rPr>
        <w:t>/reports/2021-02-16_Kovid-19_i_zene_sa_invaliditetom.pdf приступ 15.6.2021.</w:t>
      </w:r>
    </w:p>
    <w:p w:rsidR="00BC3CE6" w:rsidRDefault="009A2DE5">
      <w:pPr>
        <w:spacing w:after="150"/>
        <w:jc w:val="both"/>
      </w:pPr>
      <w:r>
        <w:rPr>
          <w:i/>
          <w:color w:val="000000"/>
        </w:rPr>
        <w:t>718</w:t>
      </w:r>
      <w:r>
        <w:rPr>
          <w:i/>
          <w:color w:val="000000"/>
        </w:rPr>
        <w:tab/>
        <w:t>Последице ковид-19 на положај осетљивих група и група у ризику, Тим за социјално укључивање и смањење сиромаштва, 2020, доступно на: http://socijalnoukljucivanje.gov.rs/wp-cont</w:t>
      </w:r>
      <w:r>
        <w:rPr>
          <w:i/>
          <w:color w:val="000000"/>
        </w:rPr>
        <w:t>ent/uploads/2020/12/Posledice_Kovid-19_na_polozaj_osetljivih_grupa_i_grupa_u_riziku.pdf приступ. 11.5.2021.</w:t>
      </w:r>
    </w:p>
    <w:p w:rsidR="00BC3CE6" w:rsidRDefault="009A2DE5">
      <w:pPr>
        <w:spacing w:after="150"/>
        <w:jc w:val="both"/>
      </w:pPr>
      <w:r>
        <w:rPr>
          <w:i/>
          <w:color w:val="000000"/>
        </w:rPr>
        <w:t>719 Више: Пајванчић, М. и др., 2020, оп. цит. стр. 51. и 53.</w:t>
      </w:r>
    </w:p>
    <w:p w:rsidR="00BC3CE6" w:rsidRDefault="009A2DE5">
      <w:pPr>
        <w:spacing w:after="150"/>
        <w:jc w:val="both"/>
      </w:pPr>
      <w:r>
        <w:rPr>
          <w:i/>
          <w:color w:val="000000"/>
        </w:rPr>
        <w:t>720 Последице КОВИДа-19 на положај осетљивих група и група у ризику узроци, исходи и пр</w:t>
      </w:r>
      <w:r>
        <w:rPr>
          <w:i/>
          <w:color w:val="000000"/>
        </w:rPr>
        <w:t>епоруке, Високи комесаријат УН за људска права (OHCHR), Тим за социјално укључивање и смањење сиромаштва Владе РС, Београд, 2020, стр. 7. и 12.</w:t>
      </w:r>
    </w:p>
    <w:p w:rsidR="00BC3CE6" w:rsidRDefault="009A2DE5">
      <w:pPr>
        <w:spacing w:after="150"/>
        <w:jc w:val="both"/>
      </w:pPr>
      <w:r>
        <w:rPr>
          <w:i/>
          <w:color w:val="000000"/>
        </w:rPr>
        <w:t> </w:t>
      </w:r>
    </w:p>
    <w:p w:rsidR="00BC3CE6" w:rsidRDefault="009A2DE5">
      <w:pPr>
        <w:spacing w:after="120"/>
        <w:jc w:val="center"/>
      </w:pPr>
      <w:r>
        <w:rPr>
          <w:b/>
          <w:color w:val="000000"/>
        </w:rPr>
        <w:t>5.3. Родни аспекти здравствене заштите и социјалне сигурности</w:t>
      </w:r>
    </w:p>
    <w:p w:rsidR="00BC3CE6" w:rsidRDefault="009A2DE5">
      <w:pPr>
        <w:spacing w:after="150"/>
      </w:pPr>
      <w:r>
        <w:rPr>
          <w:color w:val="000000"/>
        </w:rPr>
        <w:lastRenderedPageBreak/>
        <w:t>Родни аспекти здравствене заштите и социјалне си</w:t>
      </w:r>
      <w:r>
        <w:rPr>
          <w:color w:val="000000"/>
        </w:rPr>
        <w:t>гурности представљени су у овом одељку у контексту принципа социјалне правде као једног од темељних принципа на којима почива Устав.</w:t>
      </w:r>
    </w:p>
    <w:p w:rsidR="00BC3CE6" w:rsidRDefault="009A2DE5">
      <w:pPr>
        <w:spacing w:after="120"/>
        <w:jc w:val="center"/>
      </w:pPr>
      <w:r>
        <w:rPr>
          <w:i/>
          <w:color w:val="000000"/>
        </w:rPr>
        <w:t>5.3.1. Здравствена заштита</w:t>
      </w:r>
    </w:p>
    <w:p w:rsidR="00BC3CE6" w:rsidRDefault="009A2DE5">
      <w:pPr>
        <w:spacing w:after="150"/>
      </w:pPr>
      <w:r>
        <w:rPr>
          <w:color w:val="000000"/>
        </w:rPr>
        <w:t>Светска здравствена организација дефинише здравље као „Стање потпуног физичког, менталног и друш</w:t>
      </w:r>
      <w:r>
        <w:rPr>
          <w:color w:val="000000"/>
        </w:rPr>
        <w:t>твеног благостања, а не само одсуство болести или немоћи”.</w:t>
      </w:r>
      <w:r>
        <w:rPr>
          <w:color w:val="000000"/>
          <w:vertAlign w:val="superscript"/>
        </w:rPr>
        <w:t>721</w:t>
      </w:r>
      <w:r>
        <w:rPr>
          <w:color w:val="000000"/>
        </w:rPr>
        <w:t xml:space="preserve"> Здрав живот и промовисање благостања за људе свих генерација је трећи циљ Агенде 2030 УН, а један од потциљева (3.7) односи се на обезбеђење универзалног приступа услугама које се односе на репр</w:t>
      </w:r>
      <w:r>
        <w:rPr>
          <w:color w:val="000000"/>
        </w:rPr>
        <w:t>одуктивну здравствену заштиту, између осталог, и услугама за планирање породице, информисање, образовање и интегрисање питања репродуктивног здравља у националне стратегије и програме.</w:t>
      </w:r>
      <w:r>
        <w:rPr>
          <w:color w:val="000000"/>
          <w:vertAlign w:val="superscript"/>
        </w:rPr>
        <w:t>722</w:t>
      </w:r>
      <w:r>
        <w:rPr>
          <w:color w:val="000000"/>
        </w:rPr>
        <w:t xml:space="preserve"> Ратификацијом CEDAW конвенције</w:t>
      </w:r>
      <w:r>
        <w:rPr>
          <w:color w:val="000000"/>
          <w:vertAlign w:val="superscript"/>
        </w:rPr>
        <w:t>723</w:t>
      </w:r>
      <w:r>
        <w:rPr>
          <w:color w:val="000000"/>
        </w:rPr>
        <w:t xml:space="preserve">, Република Србија се обавезала да </w:t>
      </w:r>
      <w:r>
        <w:rPr>
          <w:color w:val="000000"/>
        </w:rPr>
        <w:t>обезбеди доступност здравствене заштите женама током целог живота, без дискриминације, што укључује планирање породице, порођај, заштиту након порођаја и касније, што се односи и на жене из посебно осетљивих група.</w:t>
      </w:r>
      <w:r>
        <w:rPr>
          <w:color w:val="000000"/>
          <w:vertAlign w:val="superscript"/>
        </w:rPr>
        <w:t>724</w:t>
      </w:r>
    </w:p>
    <w:p w:rsidR="00BC3CE6" w:rsidRDefault="009A2DE5">
      <w:pPr>
        <w:spacing w:after="150"/>
      </w:pPr>
      <w:r>
        <w:rPr>
          <w:color w:val="000000"/>
        </w:rPr>
        <w:t>Родни аспекти заштите здравља. Када је</w:t>
      </w:r>
      <w:r>
        <w:rPr>
          <w:color w:val="000000"/>
        </w:rPr>
        <w:t xml:space="preserve"> у питању заштита здравља жена и остваривање родне равноправности, Закон о равноправности полова</w:t>
      </w:r>
      <w:r>
        <w:rPr>
          <w:color w:val="000000"/>
          <w:vertAlign w:val="superscript"/>
        </w:rPr>
        <w:t>725</w:t>
      </w:r>
      <w:r>
        <w:rPr>
          <w:color w:val="000000"/>
        </w:rPr>
        <w:t xml:space="preserve"> (важио до краја маја 2021. године) прописивао је забрану дискриминације по основу пола приликом остваривања права на здравствену заштиту</w:t>
      </w:r>
      <w:r>
        <w:rPr>
          <w:color w:val="000000"/>
          <w:vertAlign w:val="superscript"/>
        </w:rPr>
        <w:t>726</w:t>
      </w:r>
      <w:r>
        <w:rPr>
          <w:color w:val="000000"/>
        </w:rPr>
        <w:t xml:space="preserve"> док Закон о родн</w:t>
      </w:r>
      <w:r>
        <w:rPr>
          <w:color w:val="000000"/>
        </w:rPr>
        <w:t>ој равноправности</w:t>
      </w:r>
      <w:r>
        <w:rPr>
          <w:color w:val="000000"/>
          <w:vertAlign w:val="superscript"/>
        </w:rPr>
        <w:t>727</w:t>
      </w:r>
      <w:r>
        <w:rPr>
          <w:color w:val="000000"/>
        </w:rPr>
        <w:t xml:space="preserve"> знатно детаљније регулише обавезе у области социјалне и здравствене заштите.</w:t>
      </w:r>
      <w:r>
        <w:rPr>
          <w:color w:val="000000"/>
          <w:vertAlign w:val="superscript"/>
        </w:rPr>
        <w:t>728</w:t>
      </w:r>
      <w:r>
        <w:rPr>
          <w:color w:val="000000"/>
        </w:rPr>
        <w:t xml:space="preserve"> На здравље жена утичу не само њихове биолошке особине, него и услови живота, сиромаштво, запосленост, породичне обавезе и статус у приватној сфери живота. </w:t>
      </w:r>
      <w:r>
        <w:rPr>
          <w:color w:val="000000"/>
        </w:rPr>
        <w:t>На здравље жена утиче и родно засновано насиље које проузрокује хроничне последице које могу бити фаталне по живот. Неједнакост моћи значи да жене имају мањи приступ и контролу над ресурсима за заштиту свог здравља, као и мање могућности да буду укључене у</w:t>
      </w:r>
      <w:r>
        <w:rPr>
          <w:color w:val="000000"/>
        </w:rPr>
        <w:t xml:space="preserve"> одлучивање. Важна здравствена питања за жене укључују: кардиоваскуларне болести, депресију, деменцију, остеопорозу и анемију.</w:t>
      </w:r>
      <w:r>
        <w:rPr>
          <w:color w:val="000000"/>
          <w:vertAlign w:val="superscript"/>
        </w:rPr>
        <w:t>729</w:t>
      </w:r>
      <w:r>
        <w:rPr>
          <w:color w:val="000000"/>
        </w:rPr>
        <w:t xml:space="preserve"> Обољења и стања повезана са трудноћом и порођајем су међу водећим узроцима оболевања жена у репродуктивном периоду, а међу пок</w:t>
      </w:r>
      <w:r>
        <w:rPr>
          <w:color w:val="000000"/>
        </w:rPr>
        <w:t>азатељима здравственог стања je очекивано трајање живота на рођењу, које континуирано расте, и у 2019. години за мушкарце је износило 73 године, а 78 година за жене.</w:t>
      </w:r>
      <w:r>
        <w:rPr>
          <w:color w:val="000000"/>
          <w:vertAlign w:val="superscript"/>
        </w:rPr>
        <w:t>730</w:t>
      </w:r>
      <w:r>
        <w:rPr>
          <w:color w:val="000000"/>
        </w:rPr>
        <w:t xml:space="preserve"> Последица дужег живота жена је већа вероватноћа да ће живети у лошијем здравственом ста</w:t>
      </w:r>
      <w:r>
        <w:rPr>
          <w:color w:val="000000"/>
        </w:rPr>
        <w:t>њу о којем се оне изјашњавају неповољније од мушкараца.</w:t>
      </w:r>
      <w:r>
        <w:rPr>
          <w:color w:val="000000"/>
          <w:vertAlign w:val="superscript"/>
        </w:rPr>
        <w:t>731</w:t>
      </w:r>
      <w:r>
        <w:rPr>
          <w:color w:val="000000"/>
        </w:rPr>
        <w:t xml:space="preserve"> У последњих годину дана 10,2% жена и мушкараца није посетило лекара а 11,1% жена и 12,6% мушкараца није посетило стоматолога, иако су имали здравствених проблема. Главни разлози неодласка код лекар</w:t>
      </w:r>
      <w:r>
        <w:rPr>
          <w:color w:val="000000"/>
        </w:rPr>
        <w:t>а су: финансијска немогућност (28% жена и 23,7% мушкараца), очекивање да ће се здравствено стање стабилизовати (20,9% жена и 23,3% мушкараца) и недостатак времена због посла, бриге о деци или другима (14,8% жена и 17,7% мушкараца).</w:t>
      </w:r>
      <w:r>
        <w:rPr>
          <w:color w:val="000000"/>
          <w:vertAlign w:val="superscript"/>
        </w:rPr>
        <w:t>732</w:t>
      </w:r>
      <w:r>
        <w:rPr>
          <w:color w:val="000000"/>
        </w:rPr>
        <w:t xml:space="preserve"> Због ограничених могу</w:t>
      </w:r>
      <w:r>
        <w:rPr>
          <w:color w:val="000000"/>
        </w:rPr>
        <w:t>ћности мобилности, жене чешће од мушкараца одустају од коришћења здравствених услуга.</w:t>
      </w:r>
      <w:r>
        <w:rPr>
          <w:color w:val="000000"/>
          <w:vertAlign w:val="superscript"/>
        </w:rPr>
        <w:t>733</w:t>
      </w:r>
      <w:r>
        <w:rPr>
          <w:color w:val="000000"/>
        </w:rPr>
        <w:t xml:space="preserve"> Мушкарци </w:t>
      </w:r>
      <w:r>
        <w:rPr>
          <w:color w:val="000000"/>
        </w:rPr>
        <w:lastRenderedPageBreak/>
        <w:t>чешће него жене оцењују своје здравље као добро/веома добро. Mентално благостање је у константном паду. Република Србија има и највећи ризик од депресије у од</w:t>
      </w:r>
      <w:r>
        <w:rPr>
          <w:color w:val="000000"/>
        </w:rPr>
        <w:t>носу на остале земље кандидате за чланство и у односу на просек земаља ЕУ</w:t>
      </w:r>
      <w:r>
        <w:rPr>
          <w:color w:val="000000"/>
          <w:vertAlign w:val="superscript"/>
        </w:rPr>
        <w:t>734</w:t>
      </w:r>
      <w:r>
        <w:rPr>
          <w:color w:val="000000"/>
        </w:rPr>
        <w:t xml:space="preserve"> (39% мушкарца и 46% жена)</w:t>
      </w:r>
      <w:r>
        <w:rPr>
          <w:color w:val="000000"/>
          <w:vertAlign w:val="superscript"/>
        </w:rPr>
        <w:t>735</w:t>
      </w:r>
      <w:r>
        <w:rPr>
          <w:color w:val="000000"/>
        </w:rPr>
        <w:t>, a забрињава и то што се мали проценат станoвништва бави спортом и рекреативним активностима (19%).</w:t>
      </w:r>
      <w:r>
        <w:rPr>
          <w:color w:val="000000"/>
          <w:vertAlign w:val="superscript"/>
        </w:rPr>
        <w:t>736</w:t>
      </w:r>
      <w:r>
        <w:rPr>
          <w:color w:val="000000"/>
        </w:rPr>
        <w:t xml:space="preserve"> Индекс родне равноправности за домен здравља</w:t>
      </w:r>
      <w:r>
        <w:rPr>
          <w:color w:val="000000"/>
          <w:vertAlign w:val="superscript"/>
        </w:rPr>
        <w:t>737</w:t>
      </w:r>
      <w:r>
        <w:rPr>
          <w:color w:val="000000"/>
        </w:rPr>
        <w:t xml:space="preserve"> показује незнатно побољшање здравља жена за 0,6 поена (повећање вредности са 83,4 у 2014. на 84,0 у 2016. години) и забележио је највећи пораст у односу на друге домене.</w:t>
      </w:r>
      <w:r>
        <w:rPr>
          <w:color w:val="000000"/>
          <w:vertAlign w:val="superscript"/>
        </w:rPr>
        <w:t>738</w:t>
      </w:r>
    </w:p>
    <w:p w:rsidR="00BC3CE6" w:rsidRDefault="009A2DE5">
      <w:pPr>
        <w:spacing w:after="150"/>
      </w:pPr>
      <w:r>
        <w:rPr>
          <w:color w:val="000000"/>
        </w:rPr>
        <w:t>Заштита сексуалног и репродуктивног здравља. Питања везана за заштиту сексуалног и</w:t>
      </w:r>
      <w:r>
        <w:rPr>
          <w:color w:val="000000"/>
        </w:rPr>
        <w:t xml:space="preserve"> репродуктивног здравља разматрана су у многим законским и стратешким документима. Законом о здравственој заштити и Законом о здравственом осигурању прописана је бесплатна здравствена заштита свим осигураним лицима, као и свим девојчицама, трудницама и пор</w:t>
      </w:r>
      <w:r>
        <w:rPr>
          <w:color w:val="000000"/>
        </w:rPr>
        <w:t>одиљама, без обзира на статус осигурања.</w:t>
      </w:r>
      <w:r>
        <w:rPr>
          <w:color w:val="000000"/>
          <w:vertAlign w:val="superscript"/>
        </w:rPr>
        <w:t>739</w:t>
      </w:r>
      <w:r>
        <w:rPr>
          <w:color w:val="000000"/>
        </w:rPr>
        <w:t xml:space="preserve"> Закон о здравственој заштити</w:t>
      </w:r>
      <w:r>
        <w:rPr>
          <w:color w:val="000000"/>
          <w:vertAlign w:val="superscript"/>
        </w:rPr>
        <w:t>740</w:t>
      </w:r>
      <w:r>
        <w:rPr>
          <w:color w:val="000000"/>
        </w:rPr>
        <w:t xml:space="preserve"> предвиђа, под једнаким условима, обезбеђивање здравствене заштите групацијама становништва које су изложене повећаном ризику од оболевања, спречавање, сузбијање, рано откривање и л</w:t>
      </w:r>
      <w:r>
        <w:rPr>
          <w:color w:val="000000"/>
        </w:rPr>
        <w:t>ечење болести и стања од већег јавно здравственог значаја, као и социјално угроженог становништва. Обухваћено је 19 група, између осталих: лица у вези са планирањем породице и у току трудноће, порођаја и материнства до 12 месеци након порођаја; жртве насиљ</w:t>
      </w:r>
      <w:r>
        <w:rPr>
          <w:color w:val="000000"/>
        </w:rPr>
        <w:t>а у породици; жртве трговине људима; лица којима се обезбеђују циљани превентивни прегледи (скрининг), према одговарајућим националним програмима. Закон о здравственом осигурању</w:t>
      </w:r>
      <w:r>
        <w:rPr>
          <w:color w:val="000000"/>
          <w:vertAlign w:val="superscript"/>
        </w:rPr>
        <w:t>741</w:t>
      </w:r>
      <w:r>
        <w:rPr>
          <w:color w:val="000000"/>
        </w:rPr>
        <w:t xml:space="preserve"> наводи 28 група осигураника, а право на здравствену заштиту обухвата, измеђ</w:t>
      </w:r>
      <w:r>
        <w:rPr>
          <w:color w:val="000000"/>
        </w:rPr>
        <w:t>у осталих, мере превенције и раног откривања болести, прегледе у вези са планирањем породице, у току трудноће, порођаја и до 12 месеци након порођаја.</w:t>
      </w:r>
      <w:r>
        <w:rPr>
          <w:color w:val="000000"/>
          <w:vertAlign w:val="superscript"/>
        </w:rPr>
        <w:t>742</w:t>
      </w:r>
      <w:r>
        <w:rPr>
          <w:color w:val="000000"/>
        </w:rPr>
        <w:t xml:space="preserve"> Закон о биомедицински потпомогнутој оплодњи</w:t>
      </w:r>
      <w:r>
        <w:rPr>
          <w:color w:val="000000"/>
          <w:vertAlign w:val="superscript"/>
        </w:rPr>
        <w:t>743</w:t>
      </w:r>
      <w:r>
        <w:rPr>
          <w:color w:val="000000"/>
        </w:rPr>
        <w:t>, осим начела медицинске оправданости, предвиђа и начело</w:t>
      </w:r>
      <w:r>
        <w:rPr>
          <w:color w:val="000000"/>
        </w:rPr>
        <w:t xml:space="preserve"> равноправности које се остварује обезбеђивањем једнаких могућности за жену и за мушкарца у примени поступака БМПО. Ово право имају супружници, односно ванбрачни партнери којима је потребна помоћ у лечењу неплодности, под истим условима и жена или мушкарац</w:t>
      </w:r>
      <w:r>
        <w:rPr>
          <w:color w:val="000000"/>
        </w:rPr>
        <w:t xml:space="preserve"> који су употребу својих репродуктивних ћелија одложили због постојања могућности смањења или губитка репродуктивне функције, а воде заједнички живот, као и пунолетна и пословно способна жена која живи сама, али „изузетно”</w:t>
      </w:r>
      <w:r>
        <w:rPr>
          <w:color w:val="000000"/>
          <w:vertAlign w:val="superscript"/>
        </w:rPr>
        <w:t>744</w:t>
      </w:r>
      <w:r>
        <w:rPr>
          <w:color w:val="000000"/>
        </w:rPr>
        <w:t xml:space="preserve">. Издавање дозволе за обављање </w:t>
      </w:r>
      <w:r>
        <w:rPr>
          <w:color w:val="000000"/>
        </w:rPr>
        <w:t>поступка БМПО у надлежности је Управе за биомедицину, за разлику од ранијег закона када је за то био надлежан министар.</w:t>
      </w:r>
      <w:r>
        <w:rPr>
          <w:color w:val="000000"/>
          <w:vertAlign w:val="superscript"/>
        </w:rPr>
        <w:t>745</w:t>
      </w:r>
    </w:p>
    <w:p w:rsidR="00BC3CE6" w:rsidRDefault="009A2DE5">
      <w:pPr>
        <w:spacing w:after="150"/>
      </w:pPr>
      <w:r>
        <w:rPr>
          <w:color w:val="000000"/>
        </w:rPr>
        <w:t>Смањивање родних неједнакости у заштити здравља. Један од циљева Стратегије јавног здравља у Републици Србији 2018–2026. године</w:t>
      </w:r>
      <w:r>
        <w:rPr>
          <w:color w:val="000000"/>
          <w:vertAlign w:val="superscript"/>
        </w:rPr>
        <w:t>746</w:t>
      </w:r>
      <w:r>
        <w:rPr>
          <w:color w:val="000000"/>
        </w:rPr>
        <w:t xml:space="preserve"> је</w:t>
      </w:r>
      <w:r>
        <w:rPr>
          <w:color w:val="000000"/>
        </w:rPr>
        <w:t xml:space="preserve"> унапређење здравља и смањивање неједнакости у здрављу који подразумева примену и праћење Националног програма очувања и унапређења сексуалног и репродуктивног здравља становништва.</w:t>
      </w:r>
      <w:r>
        <w:rPr>
          <w:color w:val="000000"/>
          <w:vertAlign w:val="superscript"/>
        </w:rPr>
        <w:t>747</w:t>
      </w:r>
      <w:r>
        <w:rPr>
          <w:color w:val="000000"/>
        </w:rPr>
        <w:t xml:space="preserve"> Општи </w:t>
      </w:r>
      <w:r>
        <w:rPr>
          <w:color w:val="000000"/>
        </w:rPr>
        <w:lastRenderedPageBreak/>
        <w:t xml:space="preserve">циљ програма је очување и унапређење сексуалног и репродуктивног </w:t>
      </w:r>
      <w:r>
        <w:rPr>
          <w:color w:val="000000"/>
        </w:rPr>
        <w:t>здравља становника Републике Србије уз поштовање права на доношење информисаних одлука које се односе на сексуалност и репродукцију независно од личних карактеристика појединаца. И друга стратешка документа садрже одредбе о заштити сексуалног и репродуктив</w:t>
      </w:r>
      <w:r>
        <w:rPr>
          <w:color w:val="000000"/>
        </w:rPr>
        <w:t>ног здравља</w:t>
      </w:r>
      <w:r>
        <w:rPr>
          <w:color w:val="000000"/>
          <w:vertAlign w:val="superscript"/>
        </w:rPr>
        <w:t>748</w:t>
      </w:r>
      <w:r>
        <w:rPr>
          <w:color w:val="000000"/>
        </w:rPr>
        <w:t>, а Национална стратегија за родну равноправности за период од 2016. до 2020. године</w:t>
      </w:r>
      <w:r>
        <w:rPr>
          <w:color w:val="000000"/>
          <w:vertAlign w:val="superscript"/>
        </w:rPr>
        <w:t>749</w:t>
      </w:r>
      <w:r>
        <w:rPr>
          <w:color w:val="000000"/>
        </w:rPr>
        <w:t>, као један од циљева издваја побољшано здравље жена и равноправан приступ здравственим услугама. Према налазима евалуације АП и Националне стратегије за р</w:t>
      </w:r>
      <w:r>
        <w:rPr>
          <w:color w:val="000000"/>
        </w:rPr>
        <w:t>одну равноправност</w:t>
      </w:r>
      <w:r>
        <w:rPr>
          <w:color w:val="000000"/>
          <w:vertAlign w:val="superscript"/>
        </w:rPr>
        <w:t>750</w:t>
      </w:r>
      <w:r>
        <w:rPr>
          <w:color w:val="000000"/>
        </w:rPr>
        <w:t>, очекивани резултати у овој области нису постигнути. Комитет УН за елиминацију дискриминације жена упутио је Републици Србији низ препорука</w:t>
      </w:r>
      <w:r>
        <w:rPr>
          <w:color w:val="000000"/>
          <w:vertAlign w:val="superscript"/>
        </w:rPr>
        <w:t>751</w:t>
      </w:r>
      <w:r>
        <w:rPr>
          <w:color w:val="000000"/>
        </w:rPr>
        <w:t xml:space="preserve"> ради обезбеђења равноправног приступа здравственим услугама и побољшања здравља жена, посеб</w:t>
      </w:r>
      <w:r>
        <w:rPr>
          <w:color w:val="000000"/>
        </w:rPr>
        <w:t>но имајући у виду потребе и положај припадница рањивих група.</w:t>
      </w:r>
      <w:r>
        <w:rPr>
          <w:color w:val="000000"/>
          <w:vertAlign w:val="superscript"/>
        </w:rPr>
        <w:t>752</w:t>
      </w:r>
      <w:r>
        <w:rPr>
          <w:color w:val="000000"/>
        </w:rPr>
        <w:t xml:space="preserve"> Превентивним гинеколошким прегледима у 2019. години било је обухваћено око 9% жена старијих од 15 година које имају право на преглед једанпут годишње.</w:t>
      </w:r>
      <w:r>
        <w:rPr>
          <w:color w:val="000000"/>
          <w:vertAlign w:val="superscript"/>
        </w:rPr>
        <w:t>753</w:t>
      </w:r>
      <w:r>
        <w:rPr>
          <w:color w:val="000000"/>
        </w:rPr>
        <w:t xml:space="preserve"> Према доступним подацима, рак дојке ј</w:t>
      </w:r>
      <w:r>
        <w:rPr>
          <w:color w:val="000000"/>
        </w:rPr>
        <w:t>е најчешћи злоћудни тумор код жена у Србији од којег сваке године оболи 4.600, а умре 1.600 жена.</w:t>
      </w:r>
      <w:r>
        <w:rPr>
          <w:color w:val="000000"/>
          <w:vertAlign w:val="superscript"/>
        </w:rPr>
        <w:t>754</w:t>
      </w:r>
      <w:r>
        <w:rPr>
          <w:color w:val="000000"/>
        </w:rPr>
        <w:t xml:space="preserve"> Раним откривањем рака дојке кроз скрининг дијагностику (мамографију)</w:t>
      </w:r>
      <w:r>
        <w:rPr>
          <w:color w:val="000000"/>
          <w:vertAlign w:val="superscript"/>
        </w:rPr>
        <w:t>755</w:t>
      </w:r>
      <w:r>
        <w:rPr>
          <w:color w:val="000000"/>
        </w:rPr>
        <w:t xml:space="preserve"> обухваћено је око 2,7% жена старости 50–69 година.</w:t>
      </w:r>
      <w:r>
        <w:rPr>
          <w:color w:val="000000"/>
          <w:vertAlign w:val="superscript"/>
        </w:rPr>
        <w:t>756</w:t>
      </w:r>
      <w:r>
        <w:rPr>
          <w:color w:val="000000"/>
        </w:rPr>
        <w:t xml:space="preserve"> Доступни су подаци о одзиву ж</w:t>
      </w:r>
      <w:r>
        <w:rPr>
          <w:color w:val="000000"/>
        </w:rPr>
        <w:t>ена по окрузима, али нема података о одзиву жена из руралних и градских подручја. У оквиру раног откривања рака грлића материце</w:t>
      </w:r>
      <w:r>
        <w:rPr>
          <w:color w:val="000000"/>
          <w:vertAlign w:val="superscript"/>
        </w:rPr>
        <w:t>757</w:t>
      </w:r>
      <w:r>
        <w:rPr>
          <w:color w:val="000000"/>
        </w:rPr>
        <w:t xml:space="preserve"> кроз скрининг дијагностику обухваћено је око 9% жена старости од 25 до 64 година.</w:t>
      </w:r>
      <w:r>
        <w:rPr>
          <w:color w:val="000000"/>
          <w:vertAlign w:val="superscript"/>
        </w:rPr>
        <w:t>758</w:t>
      </w:r>
      <w:r>
        <w:rPr>
          <w:color w:val="000000"/>
        </w:rPr>
        <w:t xml:space="preserve"> Програм раног откривања рака грлића мате</w:t>
      </w:r>
      <w:r>
        <w:rPr>
          <w:color w:val="000000"/>
        </w:rPr>
        <w:t>рице, спроведен је у два циклуса између 2013. и 2018. године у 17 домова здравља</w:t>
      </w:r>
      <w:r>
        <w:rPr>
          <w:color w:val="000000"/>
          <w:vertAlign w:val="superscript"/>
        </w:rPr>
        <w:t>759</w:t>
      </w:r>
      <w:r>
        <w:rPr>
          <w:color w:val="000000"/>
        </w:rPr>
        <w:t xml:space="preserve"> а просечан одзив жена је око 60% позваних.</w:t>
      </w:r>
      <w:r>
        <w:rPr>
          <w:color w:val="000000"/>
          <w:vertAlign w:val="superscript"/>
        </w:rPr>
        <w:t>760</w:t>
      </w:r>
      <w:r>
        <w:rPr>
          <w:color w:val="000000"/>
        </w:rPr>
        <w:t xml:space="preserve"> Упркос томе, Србија је на четвртом месту у Европи по броју жена оболелих од карцинома грлића материце, док је ризик од умирања</w:t>
      </w:r>
      <w:r>
        <w:rPr>
          <w:color w:val="000000"/>
        </w:rPr>
        <w:t xml:space="preserve"> двоструко већи него у већини европских држава.</w:t>
      </w:r>
      <w:r>
        <w:rPr>
          <w:color w:val="000000"/>
          <w:vertAlign w:val="superscript"/>
        </w:rPr>
        <w:t>761</w:t>
      </w:r>
      <w:r>
        <w:rPr>
          <w:color w:val="000000"/>
        </w:rPr>
        <w:t xml:space="preserve"> Жене старије од 65 година искључене су из превентивних испитивања, што женске организације сматрају видом дискриминације</w:t>
      </w:r>
      <w:r>
        <w:rPr>
          <w:color w:val="000000"/>
          <w:vertAlign w:val="superscript"/>
        </w:rPr>
        <w:t>762</w:t>
      </w:r>
      <w:r>
        <w:rPr>
          <w:color w:val="000000"/>
        </w:rPr>
        <w:t>, без обзира на то што се национални програми раног откривања рака дојке и рака гр</w:t>
      </w:r>
      <w:r>
        <w:rPr>
          <w:color w:val="000000"/>
        </w:rPr>
        <w:t>лића материце ослањају на препоруке медицинске струке.</w:t>
      </w:r>
      <w:r>
        <w:rPr>
          <w:color w:val="000000"/>
          <w:vertAlign w:val="superscript"/>
        </w:rPr>
        <w:t>763</w:t>
      </w:r>
      <w:r>
        <w:rPr>
          <w:color w:val="000000"/>
        </w:rPr>
        <w:t xml:space="preserve"> Због малог обухвата и одзива на превентивне скрининге потребне су чешће и снажније јавноздравствене кампање институција уз веће учешће и подршку ОЦД и медија у ширењу свести о важности превентивних </w:t>
      </w:r>
      <w:r>
        <w:rPr>
          <w:color w:val="000000"/>
        </w:rPr>
        <w:t>прегледа за два најчешћа малигна тумора код жена, као и ХПВ вакцина која се у Србији само препоручује, али није на списку вакцина које се финансирају из обавезног здравственог осигурања.</w:t>
      </w:r>
      <w:r>
        <w:rPr>
          <w:color w:val="000000"/>
          <w:vertAlign w:val="superscript"/>
        </w:rPr>
        <w:t>764</w:t>
      </w:r>
      <w:r>
        <w:rPr>
          <w:color w:val="000000"/>
        </w:rPr>
        <w:t xml:space="preserve"> У Републици Србији се не спроводи скрининг рака простате, као ни P</w:t>
      </w:r>
      <w:r>
        <w:rPr>
          <w:color w:val="000000"/>
        </w:rPr>
        <w:t>SA превентивни прегледи</w:t>
      </w:r>
      <w:r>
        <w:rPr>
          <w:color w:val="000000"/>
          <w:vertAlign w:val="superscript"/>
        </w:rPr>
        <w:t>765</w:t>
      </w:r>
      <w:r>
        <w:rPr>
          <w:color w:val="000000"/>
        </w:rPr>
        <w:t>, иако је то једна од малигних болести, након рака плућа и дебелог црева, од које мушкарци највише оболевају и умиру.</w:t>
      </w:r>
      <w:r>
        <w:rPr>
          <w:color w:val="000000"/>
          <w:vertAlign w:val="superscript"/>
        </w:rPr>
        <w:t>766</w:t>
      </w:r>
      <w:r>
        <w:rPr>
          <w:color w:val="000000"/>
        </w:rPr>
        <w:t xml:space="preserve"> Не постоји ни посебан програм заштите репродуктивног здравља мушкараца</w:t>
      </w:r>
      <w:r>
        <w:rPr>
          <w:color w:val="000000"/>
          <w:vertAlign w:val="superscript"/>
        </w:rPr>
        <w:t>767</w:t>
      </w:r>
      <w:r>
        <w:rPr>
          <w:color w:val="000000"/>
        </w:rPr>
        <w:t xml:space="preserve"> а поједини видови заштите спроводе </w:t>
      </w:r>
      <w:r>
        <w:rPr>
          <w:color w:val="000000"/>
        </w:rPr>
        <w:t xml:space="preserve">се у оквиру постојеће организације здравствене заштите, као што су планирање породице, саветовалишта и лечење стерилитета. Превенцијом и лечењем болести репродуктивних органа мушкараца баве се специјалистичке службе на </w:t>
      </w:r>
      <w:r>
        <w:rPr>
          <w:color w:val="000000"/>
        </w:rPr>
        <w:lastRenderedPageBreak/>
        <w:t>секундарном и терцијарном нивоу.</w:t>
      </w:r>
      <w:r>
        <w:rPr>
          <w:color w:val="000000"/>
          <w:vertAlign w:val="superscript"/>
        </w:rPr>
        <w:t>768</w:t>
      </w:r>
      <w:r>
        <w:rPr>
          <w:color w:val="000000"/>
        </w:rPr>
        <w:t xml:space="preserve"> Т</w:t>
      </w:r>
      <w:r>
        <w:rPr>
          <w:color w:val="000000"/>
        </w:rPr>
        <w:t>о отежава превентивно деловање и требало би да буде део примарне здравствене заштите.</w:t>
      </w:r>
    </w:p>
    <w:p w:rsidR="00BC3CE6" w:rsidRDefault="009A2DE5">
      <w:pPr>
        <w:spacing w:after="150"/>
      </w:pPr>
      <w:r>
        <w:rPr>
          <w:color w:val="000000"/>
        </w:rPr>
        <w:t>Приступ висококвалитетним, приступачним услугама заштите и унапређења сексуалног и репродуктивног здравља и информацијама везаним за здравље су од суштинског значаја за о</w:t>
      </w:r>
      <w:r>
        <w:rPr>
          <w:color w:val="000000"/>
        </w:rPr>
        <w:t>стваривање права жена и мушкараца, а адекватна контрацепција омогућава заштиту од штетних здравствених и социоекономских последица које носе ненамерне трудноће, односно њихово прекидње и полно преносиве болести. Упркос штетних последица намерних прекида тр</w:t>
      </w:r>
      <w:r>
        <w:rPr>
          <w:color w:val="000000"/>
        </w:rPr>
        <w:t>удноће по здравље жена, њихово право да слободно одлучују о рађању не сме бити нарушено. Услуге заштите сексуалног и репродуктивног здравља, према оцени женских организација, нису довољно доступне</w:t>
      </w:r>
      <w:r>
        <w:rPr>
          <w:color w:val="000000"/>
          <w:vertAlign w:val="superscript"/>
        </w:rPr>
        <w:t>769</w:t>
      </w:r>
      <w:r>
        <w:rPr>
          <w:color w:val="000000"/>
        </w:rPr>
        <w:t xml:space="preserve"> а сви показатељи стања и права жена у Републици Србији с</w:t>
      </w:r>
      <w:r>
        <w:rPr>
          <w:color w:val="000000"/>
        </w:rPr>
        <w:t>у неповољни.</w:t>
      </w:r>
      <w:r>
        <w:rPr>
          <w:color w:val="000000"/>
          <w:vertAlign w:val="superscript"/>
        </w:rPr>
        <w:t>770</w:t>
      </w:r>
      <w:r>
        <w:rPr>
          <w:color w:val="000000"/>
        </w:rPr>
        <w:t xml:space="preserve"> Истраживање вишеструких показатеља (MICS 6/2019)</w:t>
      </w:r>
      <w:r>
        <w:rPr>
          <w:color w:val="000000"/>
          <w:vertAlign w:val="superscript"/>
        </w:rPr>
        <w:t>771</w:t>
      </w:r>
      <w:r>
        <w:rPr>
          <w:color w:val="000000"/>
        </w:rPr>
        <w:t xml:space="preserve"> говори да се ситуација у домену сексуалног и репродуктивног здравља није знатно променила у односу на 2014. годину. Исто истраживање показало је да више од петине жена (22%) које су удате </w:t>
      </w:r>
      <w:r>
        <w:rPr>
          <w:color w:val="000000"/>
        </w:rPr>
        <w:t>или живе у ванбрачној заједници није никада користило ниједан метод контрацепције, а као главни разлог су наводиле то што су желеле да затрудне (71%).</w:t>
      </w:r>
      <w:r>
        <w:rPr>
          <w:color w:val="000000"/>
          <w:vertAlign w:val="superscript"/>
        </w:rPr>
        <w:t>772</w:t>
      </w:r>
      <w:r>
        <w:rPr>
          <w:color w:val="000000"/>
        </w:rPr>
        <w:t xml:space="preserve"> У 2019. години било је пријављено 13.901 прекида трудноће. Најзаступљенији су медицински индуковани пр</w:t>
      </w:r>
      <w:r>
        <w:rPr>
          <w:color w:val="000000"/>
        </w:rPr>
        <w:t>екиди трудноће којих је било 9.843 (70,8%). Од свих жена које су имале медицински, односно легално индукован прекид трудноће, највише је оних у доби 25–34 године (45,1%), а жене млађе од 20 година чине 3,6% укупног броја легално индукованих прекида трудноћ</w:t>
      </w:r>
      <w:r>
        <w:rPr>
          <w:color w:val="000000"/>
        </w:rPr>
        <w:t>е.</w:t>
      </w:r>
      <w:r>
        <w:rPr>
          <w:color w:val="000000"/>
          <w:vertAlign w:val="superscript"/>
        </w:rPr>
        <w:t>773</w:t>
      </w:r>
      <w:r>
        <w:rPr>
          <w:color w:val="000000"/>
        </w:rPr>
        <w:t xml:space="preserve"> Искуство абортуса је распрострањеније код жена са основним образовањем (28%) и жена из најсиромашнијих домаћинстава (15%).</w:t>
      </w:r>
      <w:r>
        <w:rPr>
          <w:color w:val="000000"/>
          <w:vertAlign w:val="superscript"/>
        </w:rPr>
        <w:t>774</w:t>
      </w:r>
      <w:r>
        <w:rPr>
          <w:color w:val="000000"/>
        </w:rPr>
        <w:t xml:space="preserve"> Стопа адолесцентских трудноћа у Србији износи 19,3 (на 1000 трудноћа), што ове девојчице доводи у посебан ризик од напуштања</w:t>
      </w:r>
      <w:r>
        <w:rPr>
          <w:color w:val="000000"/>
        </w:rPr>
        <w:t xml:space="preserve"> школовања које за собом повлачи друге последице, између осталог, сиромаштво и насиље.</w:t>
      </w:r>
      <w:r>
        <w:rPr>
          <w:color w:val="000000"/>
          <w:vertAlign w:val="superscript"/>
        </w:rPr>
        <w:t>775</w:t>
      </w:r>
      <w:r>
        <w:rPr>
          <w:color w:val="000000"/>
        </w:rPr>
        <w:t xml:space="preserve"> Истовремено, стопа рађања адолесценткиња у ромским насељима износи 163 на хиљаду жена старости 15–19 година.</w:t>
      </w:r>
      <w:r>
        <w:rPr>
          <w:color w:val="000000"/>
          <w:vertAlign w:val="superscript"/>
        </w:rPr>
        <w:t>776</w:t>
      </w:r>
      <w:r>
        <w:rPr>
          <w:color w:val="000000"/>
        </w:rPr>
        <w:t xml:space="preserve"> Забрињава однос свих институција а посебно здравствени</w:t>
      </w:r>
      <w:r>
        <w:rPr>
          <w:color w:val="000000"/>
        </w:rPr>
        <w:t>х установа према малолетничким трудноћама, односно девојчицама које затрудне пре навршене 14 године.</w:t>
      </w:r>
      <w:r>
        <w:rPr>
          <w:color w:val="000000"/>
          <w:vertAlign w:val="superscript"/>
        </w:rPr>
        <w:t>777</w:t>
      </w:r>
      <w:r>
        <w:rPr>
          <w:color w:val="000000"/>
        </w:rPr>
        <w:t xml:space="preserve"> Здравствени радници у значајном броју овакве ситуације образлажу обичајима и традицијом, првенствено заступљеним у ромским породицама и не пријављују сл</w:t>
      </w:r>
      <w:r>
        <w:rPr>
          <w:color w:val="000000"/>
        </w:rPr>
        <w:t>учајеве полицији.</w:t>
      </w:r>
      <w:r>
        <w:rPr>
          <w:color w:val="000000"/>
          <w:vertAlign w:val="superscript"/>
        </w:rPr>
        <w:t>778</w:t>
      </w:r>
      <w:r>
        <w:rPr>
          <w:color w:val="000000"/>
        </w:rPr>
        <w:t xml:space="preserve"> У Националном програму очувања сексуалног и репродуктивног здравља грађана Републике Србије</w:t>
      </w:r>
      <w:r>
        <w:rPr>
          <w:color w:val="000000"/>
          <w:vertAlign w:val="superscript"/>
        </w:rPr>
        <w:t>779</w:t>
      </w:r>
      <w:r>
        <w:rPr>
          <w:color w:val="000000"/>
        </w:rPr>
        <w:t xml:space="preserve"> истакнути су проблеми, попут доминантно конзервативне контроле рађања, ризичног сексуалног понашања младих, као и незадовољавајућег обима ан</w:t>
      </w:r>
      <w:r>
        <w:rPr>
          <w:color w:val="000000"/>
        </w:rPr>
        <w:t>гажовања у очувању сексуалног и репродуктивног здравља целокупне популације, посебно депривираних и маргинализованих група. У анализи примене овог програма је истакнуто да: контрацептивна средства нису лако доступна; прекид трудноће из немедицинских разлог</w:t>
      </w:r>
      <w:r>
        <w:rPr>
          <w:color w:val="000000"/>
        </w:rPr>
        <w:t xml:space="preserve">а не спада у здравствену услугу која је покривена обавезним здравственим осигурањем, недостају системска решења у едукацији и информисању младих; није предвиђен посебан основ осигурања за жртве силовања осим општих </w:t>
      </w:r>
      <w:r>
        <w:rPr>
          <w:color w:val="000000"/>
        </w:rPr>
        <w:lastRenderedPageBreak/>
        <w:t>правила осигурања</w:t>
      </w:r>
      <w:r>
        <w:rPr>
          <w:color w:val="000000"/>
          <w:vertAlign w:val="superscript"/>
        </w:rPr>
        <w:t>780</w:t>
      </w:r>
      <w:r>
        <w:rPr>
          <w:color w:val="000000"/>
        </w:rPr>
        <w:t>, подаци о саветодавн</w:t>
      </w:r>
      <w:r>
        <w:rPr>
          <w:color w:val="000000"/>
        </w:rPr>
        <w:t>им активностима, питањима слободног и информисаног одлучивања и избора жена не постоје.</w:t>
      </w:r>
      <w:r>
        <w:rPr>
          <w:color w:val="000000"/>
          <w:vertAlign w:val="superscript"/>
        </w:rPr>
        <w:t>781</w:t>
      </w:r>
    </w:p>
    <w:p w:rsidR="00BC3CE6" w:rsidRDefault="009A2DE5">
      <w:pPr>
        <w:spacing w:after="150"/>
      </w:pPr>
      <w:r>
        <w:rPr>
          <w:color w:val="000000"/>
        </w:rPr>
        <w:t>Заштита здравља рањивих група. Ромкиње су група жена изложена вишеструкој дискриминацији, а њихова здравствена ситуација је лошија у поређењу са неромском популацијо</w:t>
      </w:r>
      <w:r>
        <w:rPr>
          <w:color w:val="000000"/>
        </w:rPr>
        <w:t>м. Оне живе у неадекватним животним условима, у сиромаштву, жртве су раних бракова, раних порођаја и вишеструких трудноћа са малим временским размаком. Суочавају се са препрекама у приступу здравственој заштити и здравственим услугама, укључујући и предрас</w:t>
      </w:r>
      <w:r>
        <w:rPr>
          <w:color w:val="000000"/>
        </w:rPr>
        <w:t>уде здравствених радника. Дискриминација је нарочито видљива у пружању здравствене заштите током и након порођаја.</w:t>
      </w:r>
      <w:r>
        <w:rPr>
          <w:color w:val="000000"/>
          <w:vertAlign w:val="superscript"/>
        </w:rPr>
        <w:t>782</w:t>
      </w:r>
      <w:r>
        <w:rPr>
          <w:color w:val="000000"/>
        </w:rPr>
        <w:t xml:space="preserve"> Дечији бракови имају веома штетне последице на девојчице ромске националности, укључујући погоршавање здравственог стања и репродуктивног </w:t>
      </w:r>
      <w:r>
        <w:rPr>
          <w:color w:val="000000"/>
        </w:rPr>
        <w:t>здравља, проузрокују ризична понашања, као што су малолетничке трудноће које угрожавају здравље детета и мајке. Међу женама које су малолетне родиле прво дете њих 14,3% није пратило трудноћу код гинеколога.</w:t>
      </w:r>
      <w:r>
        <w:rPr>
          <w:color w:val="000000"/>
          <w:vertAlign w:val="superscript"/>
        </w:rPr>
        <w:t>783</w:t>
      </w:r>
      <w:r>
        <w:rPr>
          <w:color w:val="000000"/>
        </w:rPr>
        <w:t xml:space="preserve"> Рад здравствених медијаторки значајно је допри</w:t>
      </w:r>
      <w:r>
        <w:rPr>
          <w:color w:val="000000"/>
        </w:rPr>
        <w:t>нео укључивању Ромкиња и деце ромске националности у систем здравственог осигурања, али им информације о репродуктивном здрављу нису још увек довољно доступне. Активности у вези са превенцијом репродуктивног здравља и образовања ромских жена не спроводе се</w:t>
      </w:r>
      <w:r>
        <w:rPr>
          <w:color w:val="000000"/>
        </w:rPr>
        <w:t xml:space="preserve"> систематски. Углавном их спроводе ОЦД, а положај здравствених медијаторки није регулисан на одржив и трајан начин, због чега је Заштитник грађана препоручио Министарству здравља да надомести недостајући број и трајно радно ангажује здравствене медијаторке</w:t>
      </w:r>
      <w:r>
        <w:rPr>
          <w:color w:val="000000"/>
        </w:rPr>
        <w:t xml:space="preserve"> у здравственом систему.</w:t>
      </w:r>
      <w:r>
        <w:rPr>
          <w:color w:val="000000"/>
          <w:vertAlign w:val="superscript"/>
        </w:rPr>
        <w:t>784</w:t>
      </w:r>
      <w:r>
        <w:rPr>
          <w:color w:val="000000"/>
        </w:rPr>
        <w:t xml:space="preserve"> Особе старије од 65 година су групација становништва изложена посебном ризику од оболевања, а старије жене имају слабије здравље у поређењу са старијим мушкарцима и већина оцењује да здравствени статус омета њихове свакодневне а</w:t>
      </w:r>
      <w:r>
        <w:rPr>
          <w:color w:val="000000"/>
        </w:rPr>
        <w:t>ктивности, те да им је потребна помоћ. Најчешће се ослањају на подршку породице, комшинице, пријатељице и рођаке. Немају све старије жене исте могућности и једнак приступ здравственим установама, најчешће због удаљености од здравствених центара, сиромаштва</w:t>
      </w:r>
      <w:r>
        <w:rPr>
          <w:color w:val="000000"/>
        </w:rPr>
        <w:t>, недоступности и неприступачности јавног превоза, здравствених установа и услуга.</w:t>
      </w:r>
      <w:r>
        <w:rPr>
          <w:color w:val="000000"/>
          <w:vertAlign w:val="superscript"/>
        </w:rPr>
        <w:t>785</w:t>
      </w:r>
      <w:r>
        <w:rPr>
          <w:color w:val="000000"/>
        </w:rPr>
        <w:t xml:space="preserve"> Такође, постоји пракса упућивања у приватне здравствене ординације на специјалистичке прегледе због дугачких листа чекања, чиме им се практично ускраћују специјалистичке здравствене услуге због недостатка финансијских средстава.</w:t>
      </w:r>
      <w:r>
        <w:rPr>
          <w:color w:val="000000"/>
          <w:vertAlign w:val="superscript"/>
        </w:rPr>
        <w:t>786</w:t>
      </w:r>
      <w:r>
        <w:rPr>
          <w:color w:val="000000"/>
        </w:rPr>
        <w:t xml:space="preserve"> Повереник за заштиту ра</w:t>
      </w:r>
      <w:r>
        <w:rPr>
          <w:color w:val="000000"/>
        </w:rPr>
        <w:t>вноправности упозорава да су старије жене у неравноправном положају због недоступности здравствене заштите, посебно у руралним подручјима, јер су здравствене станице и амбуланте затворене, ретко се формирају службе кућне неге, а нису довољно развијене инте</w:t>
      </w:r>
      <w:r>
        <w:rPr>
          <w:color w:val="000000"/>
        </w:rPr>
        <w:t>грисане услуге на локалном нивоу</w:t>
      </w:r>
      <w:r>
        <w:rPr>
          <w:color w:val="000000"/>
          <w:vertAlign w:val="superscript"/>
        </w:rPr>
        <w:t>787</w:t>
      </w:r>
      <w:r>
        <w:rPr>
          <w:color w:val="000000"/>
        </w:rPr>
        <w:t xml:space="preserve"> које укључују помоћ геронтодомаћица, палијативну негу и збрињавање оболелих у терминалним фазама болести. Жене са инвалидитетом се суочавају са проблемом приступачности и доступности услуга због непостојања капацитета и/</w:t>
      </w:r>
      <w:r>
        <w:rPr>
          <w:color w:val="000000"/>
        </w:rPr>
        <w:t xml:space="preserve">или прилагођености здравствених установа и радника за рад са особама са </w:t>
      </w:r>
      <w:r>
        <w:rPr>
          <w:color w:val="000000"/>
        </w:rPr>
        <w:lastRenderedPageBreak/>
        <w:t>инвалидитетом које се огледа у недостатку медицинског особља, чекању на специјалистичке прегледе и немогућности заказивања прегледа у два повезана термина, неприступачности зграда и пр</w:t>
      </w:r>
      <w:r>
        <w:rPr>
          <w:color w:val="000000"/>
        </w:rPr>
        <w:t>осторија, недостатка опреме, као што су хидраулични гинеколошки столови, а није регулисано прилагођавање услуга као што су асистенција приликом прегледа и тумачи знаковног језика.</w:t>
      </w:r>
      <w:r>
        <w:rPr>
          <w:color w:val="000000"/>
          <w:vertAlign w:val="superscript"/>
        </w:rPr>
        <w:t>788</w:t>
      </w:r>
      <w:r>
        <w:rPr>
          <w:color w:val="000000"/>
        </w:rPr>
        <w:t xml:space="preserve"> Жене и девојчице са инвалидитетом које живе у резиденцијалним установама </w:t>
      </w:r>
      <w:r>
        <w:rPr>
          <w:color w:val="000000"/>
        </w:rPr>
        <w:t>су у већем ризику јер су изложене присилној стерилизацији, присилним абортусима, давању контрацептивних средстава без информисаног пристанка, сексуалном узнемиравању и сексуалном насиљу. Жене са интелектуалним и психосоцијалним инвалидитетом су у повећаном</w:t>
      </w:r>
      <w:r>
        <w:rPr>
          <w:color w:val="000000"/>
        </w:rPr>
        <w:t xml:space="preserve"> ризику од лишења пословне способности, због чега не могу самостално да одлучују о лечењу, медицинским интервенцијама, трудноћи и слично. Пружаоци здравствених услуга нису осетљиви на питања која се односе на особе истополне сексуалне оријентације и недост</w:t>
      </w:r>
      <w:r>
        <w:rPr>
          <w:color w:val="000000"/>
        </w:rPr>
        <w:t>аје им адекватно знање да лезбејкама пруже комплетну медицинску негу, која се односи на физичке и психолошке проблеме са којима се могу суочити, а пошто их закон</w:t>
      </w:r>
      <w:r>
        <w:rPr>
          <w:color w:val="000000"/>
          <w:vertAlign w:val="superscript"/>
        </w:rPr>
        <w:t>789</w:t>
      </w:r>
      <w:r>
        <w:rPr>
          <w:color w:val="000000"/>
        </w:rPr>
        <w:t xml:space="preserve"> искључује, особе које не живе у хетеросексуалној заједници, вантелесну оплодњу саме финанси</w:t>
      </w:r>
      <w:r>
        <w:rPr>
          <w:color w:val="000000"/>
        </w:rPr>
        <w:t>рају и поступак се често обавља у иностранству.</w:t>
      </w:r>
      <w:r>
        <w:rPr>
          <w:color w:val="000000"/>
          <w:vertAlign w:val="superscript"/>
        </w:rPr>
        <w:t>790</w:t>
      </w:r>
      <w:r>
        <w:rPr>
          <w:color w:val="000000"/>
        </w:rPr>
        <w:t xml:space="preserve"> Према подацима ОЦД, више од 40% особа које живе са ХИВ-ом и АИДС-ом налазе се испод границе сиромаштва које је последица стигме и дискриминације. Не само да су им услуге социјалне заштите врло често недост</w:t>
      </w:r>
      <w:r>
        <w:rPr>
          <w:color w:val="000000"/>
        </w:rPr>
        <w:t xml:space="preserve">упне или неприлагођене, него често не могу остварити своја законом загарантована права на одређене видове здравствене заштите (избегавање лекара да их прегледају, оперишу, установе за стационарну рехабилитацију им нису доступне). Трансмисија ХИВ инфекције </w:t>
      </w:r>
      <w:r>
        <w:rPr>
          <w:color w:val="000000"/>
        </w:rPr>
        <w:t>са мајке на дете је заустављена захваљујући обавезном тестирању трудница на ХИВ. Пацијентима у Републици Србији са хроничном ХИВ инфекцијом доступни су практично сви антиретровирусни лекови са листе (водича) Европског клиничког друштва за АИДС (ЕАCS), а те</w:t>
      </w:r>
      <w:r>
        <w:rPr>
          <w:color w:val="000000"/>
        </w:rPr>
        <w:t>рапија је бесплатна. Нажалост, деци са хроничном ХИВ инфекцијом у Републици Србији нису доступни сви лекови који постоје.</w:t>
      </w:r>
      <w:r>
        <w:rPr>
          <w:color w:val="000000"/>
          <w:vertAlign w:val="superscript"/>
        </w:rPr>
        <w:t>791</w:t>
      </w:r>
    </w:p>
    <w:p w:rsidR="00BC3CE6" w:rsidRDefault="009A2DE5">
      <w:pPr>
        <w:spacing w:after="150"/>
        <w:jc w:val="both"/>
      </w:pPr>
      <w:r>
        <w:rPr>
          <w:i/>
          <w:color w:val="000000"/>
        </w:rPr>
        <w:t>––––––––</w:t>
      </w:r>
    </w:p>
    <w:p w:rsidR="00BC3CE6" w:rsidRDefault="009A2DE5">
      <w:pPr>
        <w:spacing w:after="150"/>
        <w:jc w:val="both"/>
      </w:pPr>
      <w:r>
        <w:rPr>
          <w:i/>
          <w:color w:val="000000"/>
        </w:rPr>
        <w:t>721</w:t>
      </w:r>
      <w:r>
        <w:rPr>
          <w:i/>
          <w:color w:val="000000"/>
        </w:rPr>
        <w:tab/>
        <w:t>Доступно на: http://www.izjzv.org.rs/app/soc.katedra/Zdravljeifakorikojinanjegauticu.pdf приступ: 6.6.2021.</w:t>
      </w:r>
    </w:p>
    <w:p w:rsidR="00BC3CE6" w:rsidRDefault="009A2DE5">
      <w:pPr>
        <w:spacing w:after="150"/>
        <w:jc w:val="both"/>
      </w:pPr>
      <w:r>
        <w:rPr>
          <w:i/>
          <w:color w:val="000000"/>
        </w:rPr>
        <w:t>722 Секуло</w:t>
      </w:r>
      <w:r>
        <w:rPr>
          <w:i/>
          <w:color w:val="000000"/>
        </w:rPr>
        <w:t>вић, И. и др. Припремљеност за спровођење Агенде 2030, Београдска отворена школа, Београдска отворена школа, 2020, страна 49, доступно на: http://www.centaronline.org/userfiles/files/publikacije/sdgs4all-srbija-2030-pripremljenost-za-sprovodenje-agende-203</w:t>
      </w:r>
      <w:r>
        <w:rPr>
          <w:i/>
          <w:color w:val="000000"/>
        </w:rPr>
        <w:t>0.pdf, приступ: 16.6.2021.</w:t>
      </w:r>
    </w:p>
    <w:p w:rsidR="00BC3CE6" w:rsidRDefault="009A2DE5">
      <w:pPr>
        <w:spacing w:after="150"/>
        <w:jc w:val="both"/>
      </w:pPr>
      <w:r>
        <w:rPr>
          <w:i/>
          <w:color w:val="000000"/>
        </w:rPr>
        <w:t>723 „Службени лист СФРЈ – Међународни уговори”, број 11/81</w:t>
      </w:r>
    </w:p>
    <w:p w:rsidR="00BC3CE6" w:rsidRDefault="009A2DE5">
      <w:pPr>
        <w:spacing w:after="150"/>
        <w:jc w:val="both"/>
      </w:pPr>
      <w:r>
        <w:rPr>
          <w:i/>
          <w:color w:val="000000"/>
        </w:rPr>
        <w:t xml:space="preserve">724 Игњатовић, Т. и др. Три године од усвајања Програма – без очекиваних резултата, Анализа примене Националног програма очувања и унапређења </w:t>
      </w:r>
      <w:r>
        <w:rPr>
          <w:i/>
          <w:color w:val="000000"/>
        </w:rPr>
        <w:lastRenderedPageBreak/>
        <w:t xml:space="preserve">сексуалног и репродуктивног </w:t>
      </w:r>
      <w:r>
        <w:rPr>
          <w:i/>
          <w:color w:val="000000"/>
        </w:rPr>
        <w:t>здравља грађана Републике Србије, Аутономни женски центар, Београд, 2021. страна 5, доступно на: https://www.womenngo.org.rs/images/publikacije-dp/2021/TRI_GODINE_OD_USVAJANJA_PROGRAMA_Analiza_primene_Nacionalnog_programa_ocuvanja_i_unapredjenja_seksualnog</w:t>
      </w:r>
      <w:r>
        <w:rPr>
          <w:i/>
          <w:color w:val="000000"/>
        </w:rPr>
        <w:t>_i_reproduktivnog_zdravlja_gradjana.pdf, приступ: 20.5.2021.</w:t>
      </w:r>
    </w:p>
    <w:p w:rsidR="00BC3CE6" w:rsidRDefault="009A2DE5">
      <w:pPr>
        <w:spacing w:after="150"/>
        <w:jc w:val="both"/>
      </w:pPr>
      <w:r>
        <w:rPr>
          <w:i/>
          <w:color w:val="000000"/>
        </w:rPr>
        <w:t>725 „Службени гласник РС”, број 104/09.</w:t>
      </w:r>
    </w:p>
    <w:p w:rsidR="00BC3CE6" w:rsidRDefault="009A2DE5">
      <w:pPr>
        <w:spacing w:after="150"/>
        <w:jc w:val="both"/>
      </w:pPr>
      <w:r>
        <w:rPr>
          <w:i/>
          <w:color w:val="000000"/>
        </w:rPr>
        <w:t>726 Здравствена заштита жена обухвата нарочито: 1) превенцију и рано откривање болести; 2) здравствену заштиту у вези са планирањем породице, у току трудно</w:t>
      </w:r>
      <w:r>
        <w:rPr>
          <w:i/>
          <w:color w:val="000000"/>
        </w:rPr>
        <w:t>ће, порођаја и материнства; 3) здравствену заштиту у случају болести и повреда, у складу са законом којим се уређује здравствена заштита. (члана 24.)</w:t>
      </w:r>
    </w:p>
    <w:p w:rsidR="00BC3CE6" w:rsidRDefault="009A2DE5">
      <w:pPr>
        <w:spacing w:after="150"/>
        <w:jc w:val="both"/>
      </w:pPr>
      <w:r>
        <w:rPr>
          <w:i/>
          <w:color w:val="000000"/>
        </w:rPr>
        <w:t> </w:t>
      </w:r>
    </w:p>
    <w:p w:rsidR="00BC3CE6" w:rsidRDefault="009A2DE5">
      <w:pPr>
        <w:spacing w:after="150"/>
        <w:jc w:val="both"/>
      </w:pPr>
      <w:r>
        <w:rPr>
          <w:i/>
          <w:color w:val="000000"/>
        </w:rPr>
        <w:t>727 „Службени гласник РС”, број 52/21, доступно на: http://www.parlament.gov.rs/upload/archive/files/lat</w:t>
      </w:r>
      <w:r>
        <w:rPr>
          <w:i/>
          <w:color w:val="000000"/>
        </w:rPr>
        <w:t>/pdf/zakoni/2021/741-21-lat..pdf, приступ: 27.5.2021.</w:t>
      </w:r>
    </w:p>
    <w:p w:rsidR="00BC3CE6" w:rsidRDefault="009A2DE5">
      <w:pPr>
        <w:spacing w:after="150"/>
        <w:jc w:val="both"/>
      </w:pPr>
      <w:r>
        <w:rPr>
          <w:i/>
          <w:color w:val="000000"/>
        </w:rPr>
        <w:t>728 Према члану 36 органи јавне власти дужни су да обезбеде једнаке могућности у пружању социјалне и здравствене заштите за све кориснике услуга и права без обзира на пол, односно род; свим женама и муш</w:t>
      </w:r>
      <w:r>
        <w:rPr>
          <w:i/>
          <w:color w:val="000000"/>
        </w:rPr>
        <w:t>карцима, девојчицама и дечацима под једнаким условима приступ лако доступним информацијама, образовању и услугама, у складу са старосном доби, које се односе на сексуалност, контрацепцију, планирање рађања, брачни и породични живот, посебно узимајући у обз</w:t>
      </w:r>
      <w:r>
        <w:rPr>
          <w:i/>
          <w:color w:val="000000"/>
        </w:rPr>
        <w:t>ир положај лица из осетљивих група. Дискриминацијом се не сматрају опште и посебне мере којима се подстиче рађење, равноправност родитеља у вршењу родитељског права и дужности и обезбеђује сексуално и репродуктивно здравље жена и мушкараца. Ови органи су н</w:t>
      </w:r>
      <w:r>
        <w:rPr>
          <w:i/>
          <w:color w:val="000000"/>
        </w:rPr>
        <w:t>арочито дужни да обезбеде: примену посебних мера за праћење, подршку и унапређење сексуалног и репродуктивног здравља; организовање у спровођење програма за спречавање и превазилажење проблема ране трудноће и заснивање партнерских заједница међу и са лицим</w:t>
      </w:r>
      <w:r>
        <w:rPr>
          <w:i/>
          <w:color w:val="000000"/>
        </w:rPr>
        <w:t>а млађим од 18 година; примену посебних мера за рано откивање болести.</w:t>
      </w:r>
    </w:p>
    <w:p w:rsidR="00BC3CE6" w:rsidRDefault="009A2DE5">
      <w:pPr>
        <w:spacing w:after="150"/>
        <w:jc w:val="both"/>
      </w:pPr>
      <w:r>
        <w:rPr>
          <w:i/>
          <w:color w:val="000000"/>
        </w:rPr>
        <w:t xml:space="preserve">729 Група аутора: Извештај о напретку – други извештај о напретку по областима за период 2016–2020. сачињен на основу оквира за мониторинг и евалуацију, ЖПРС, 2020. страна 56, доступно </w:t>
      </w:r>
      <w:r>
        <w:rPr>
          <w:i/>
          <w:color w:val="000000"/>
        </w:rPr>
        <w:t>на: https://media.genderhub.org.rs/2021/04/DRUGI-IZVESTAJ-O-NAPRETKU.pdf, приступ: 31.5.2021.</w:t>
      </w:r>
    </w:p>
    <w:p w:rsidR="00BC3CE6" w:rsidRDefault="009A2DE5">
      <w:pPr>
        <w:spacing w:after="150"/>
        <w:jc w:val="both"/>
      </w:pPr>
      <w:r>
        <w:rPr>
          <w:i/>
          <w:color w:val="000000"/>
        </w:rPr>
        <w:t>730 Жене и мушкарци у Републици Србији, Београд, 2020. година, страна 29, доступно на www.stat.gov.rs/sr-Latin/oblasti/stanovnistvo/statistika-polova, приступ 7.6</w:t>
      </w:r>
      <w:r>
        <w:rPr>
          <w:i/>
          <w:color w:val="000000"/>
        </w:rPr>
        <w:t>.2021.</w:t>
      </w:r>
    </w:p>
    <w:p w:rsidR="00BC3CE6" w:rsidRDefault="009A2DE5">
      <w:pPr>
        <w:spacing w:after="150"/>
        <w:jc w:val="both"/>
      </w:pPr>
      <w:r>
        <w:rPr>
          <w:i/>
          <w:color w:val="000000"/>
        </w:rPr>
        <w:lastRenderedPageBreak/>
        <w:t>731 Стојиљковић Гњатовић, Ј. и др. Употреба података из SILC анкете за израчунавање здравих година живота, страна 6, доступно на: http://socijalnoukljucivanje.gov.rs/wp-content/uploads/2016/09/SILC_004_Jelena-Stojilkovic-Gnjatovic-Dragana-Paunovic-R</w:t>
      </w:r>
      <w:r>
        <w:rPr>
          <w:i/>
          <w:color w:val="000000"/>
        </w:rPr>
        <w:t>adulovic-Natalija-Miric_Upotreba-potadaka-iz-SILC-ankete-za-izracunavanje-zdravih-godna-zivota.pdf, приступ: 15.6.2021.</w:t>
      </w:r>
    </w:p>
    <w:p w:rsidR="00BC3CE6" w:rsidRDefault="009A2DE5">
      <w:pPr>
        <w:spacing w:after="150"/>
        <w:jc w:val="both"/>
      </w:pPr>
      <w:r>
        <w:rPr>
          <w:i/>
          <w:color w:val="000000"/>
        </w:rPr>
        <w:t>732 Жене и мушкарци, 2020, страна 29</w:t>
      </w:r>
    </w:p>
    <w:p w:rsidR="00BC3CE6" w:rsidRDefault="009A2DE5">
      <w:pPr>
        <w:spacing w:after="150"/>
        <w:jc w:val="both"/>
      </w:pPr>
      <w:r>
        <w:rPr>
          <w:i/>
          <w:color w:val="000000"/>
        </w:rPr>
        <w:t>733 Родна равноправност у саобраћају, SeCons, 2019. година, страна 59, доступо на: https://www.seco</w:t>
      </w:r>
      <w:r>
        <w:rPr>
          <w:i/>
          <w:color w:val="000000"/>
        </w:rPr>
        <w:t>ns.net/publications.php?p=109, приступ: 12.9.2021.</w:t>
      </w:r>
    </w:p>
    <w:p w:rsidR="00BC3CE6" w:rsidRDefault="009A2DE5">
      <w:pPr>
        <w:spacing w:after="150"/>
        <w:jc w:val="both"/>
      </w:pPr>
      <w:r>
        <w:rPr>
          <w:i/>
          <w:color w:val="000000"/>
        </w:rPr>
        <w:t xml:space="preserve">734 Спортом и рекреативним активностима једном недељно у Србији се бави 19% грађана/ки, док је просек за ЕУ земље – 42%. Извор: Eurofound (2019), Life and society in the EU candidate countries, страна 39, </w:t>
      </w:r>
      <w:r>
        <w:rPr>
          <w:i/>
          <w:color w:val="000000"/>
        </w:rPr>
        <w:t>доступно на: https://www.eurofound.europa.eu/publications/report/2019/life-and-society-in-the-eu-candidate-countries, приступ: 16.9.2021.</w:t>
      </w:r>
    </w:p>
    <w:p w:rsidR="00BC3CE6" w:rsidRDefault="009A2DE5">
      <w:pPr>
        <w:spacing w:after="150"/>
        <w:jc w:val="both"/>
      </w:pPr>
      <w:r>
        <w:rPr>
          <w:i/>
          <w:color w:val="000000"/>
        </w:rPr>
        <w:t xml:space="preserve">735 Бекер, К. и др. Извештај о правима жена и родној равноправности у Србији за 2019. годину, FemPlatz, 2020. година, </w:t>
      </w:r>
      <w:r>
        <w:rPr>
          <w:i/>
          <w:color w:val="000000"/>
        </w:rPr>
        <w:t>страна 55, доступно на: https://www.femplatz.org/library/reports/2020-08-10_PreneraZena.pdf, приступ: 11.5.2021.</w:t>
      </w:r>
    </w:p>
    <w:p w:rsidR="00BC3CE6" w:rsidRDefault="009A2DE5">
      <w:pPr>
        <w:spacing w:after="150"/>
        <w:jc w:val="both"/>
      </w:pPr>
      <w:r>
        <w:rPr>
          <w:i/>
          <w:color w:val="000000"/>
        </w:rPr>
        <w:t>736 Спортом и рекреативним активностима једном недељно у Србији се бави 19% грађана/ки, док је просек за ЕУ земље – 42%. Извор: Eurofound (2019</w:t>
      </w:r>
      <w:r>
        <w:rPr>
          <w:i/>
          <w:color w:val="000000"/>
        </w:rPr>
        <w:t>), Life and society in the EU candidate countries, страна 39, доступно на: https://www.eurofound.europa.eu/publications/report/2019/life-and-society-in-the-eu-candidate-countries, приступ: 16.9.2021.</w:t>
      </w:r>
    </w:p>
    <w:p w:rsidR="00BC3CE6" w:rsidRDefault="009A2DE5">
      <w:pPr>
        <w:spacing w:after="150"/>
        <w:jc w:val="both"/>
      </w:pPr>
      <w:r>
        <w:rPr>
          <w:i/>
          <w:color w:val="000000"/>
        </w:rPr>
        <w:t>737 Овај индекс састоји се од три поддомена: здравствено</w:t>
      </w:r>
      <w:r>
        <w:rPr>
          <w:i/>
          <w:color w:val="000000"/>
        </w:rPr>
        <w:t xml:space="preserve"> стање, понашање повезано са ризицима по здравље и приступ здравственој заштити.</w:t>
      </w:r>
    </w:p>
    <w:p w:rsidR="00BC3CE6" w:rsidRDefault="009A2DE5">
      <w:pPr>
        <w:spacing w:after="150"/>
        <w:jc w:val="both"/>
      </w:pPr>
      <w:r>
        <w:rPr>
          <w:i/>
          <w:color w:val="000000"/>
        </w:rPr>
        <w:t>738 Бабовић, М. Индекс родне равноправности у Републици Србији, 2016. страна 10. Доступно на: http://socijalnoukljucivanje.gov.rs/wp-content/uploads/2018/12/Indeks_rodne_ravno</w:t>
      </w:r>
      <w:r>
        <w:rPr>
          <w:i/>
          <w:color w:val="000000"/>
        </w:rPr>
        <w:t>pravnosti_u_Republici_Srbiji_2018.pdf приступ: 2.6.2021.</w:t>
      </w:r>
    </w:p>
    <w:p w:rsidR="00BC3CE6" w:rsidRDefault="009A2DE5">
      <w:pPr>
        <w:spacing w:after="150"/>
        <w:jc w:val="both"/>
      </w:pPr>
      <w:r>
        <w:rPr>
          <w:i/>
          <w:color w:val="000000"/>
        </w:rPr>
        <w:t> </w:t>
      </w:r>
    </w:p>
    <w:p w:rsidR="00BC3CE6" w:rsidRDefault="009A2DE5">
      <w:pPr>
        <w:spacing w:after="150"/>
        <w:jc w:val="both"/>
      </w:pPr>
      <w:r>
        <w:rPr>
          <w:i/>
          <w:color w:val="000000"/>
        </w:rPr>
        <w:t>739 Четврти периодични извештај о примени Конвенције о елиминисању свих облика дискркиминације жена, Члан 12, Здравствена заштита жена, Препорука из става 33. Закључних запажања Комитета, стр. 45–4</w:t>
      </w:r>
      <w:r>
        <w:rPr>
          <w:i/>
          <w:color w:val="000000"/>
        </w:rPr>
        <w:t>7, доступно на: http://socijalnoukljucivanje.gov.rs/rs/zakljucna-zapazanja-cedaw-u-vezi-sa-cetvrtim-periodicnim-izvestajem-o-primeni-konvencije-o-eliminisanju-svih-oblika-diskriminacije-zena/, приступ: 6.6.2021.</w:t>
      </w:r>
    </w:p>
    <w:p w:rsidR="00BC3CE6" w:rsidRDefault="009A2DE5">
      <w:pPr>
        <w:spacing w:after="150"/>
        <w:jc w:val="both"/>
      </w:pPr>
      <w:r>
        <w:rPr>
          <w:i/>
          <w:color w:val="000000"/>
        </w:rPr>
        <w:t xml:space="preserve">740 „Службени гласник РС”, број 25/19, члан </w:t>
      </w:r>
      <w:r>
        <w:rPr>
          <w:i/>
          <w:color w:val="000000"/>
        </w:rPr>
        <w:t>12, доступно на: https://www.paragraf.rs/propisi/zakon_o_zdravstvenoj_zastiti.html, приступ: 31.5.2021.</w:t>
      </w:r>
    </w:p>
    <w:p w:rsidR="00BC3CE6" w:rsidRDefault="009A2DE5">
      <w:pPr>
        <w:spacing w:after="150"/>
        <w:jc w:val="both"/>
      </w:pPr>
      <w:r>
        <w:rPr>
          <w:i/>
          <w:color w:val="000000"/>
        </w:rPr>
        <w:lastRenderedPageBreak/>
        <w:t>741 „Службени гласник РС”, број 25/19, доступно на: https://www.paragraf.rs/propisi/zakon_o_zdravstvenom_osiguranju.html, приступ: 31.5.2021.</w:t>
      </w:r>
    </w:p>
    <w:p w:rsidR="00BC3CE6" w:rsidRDefault="009A2DE5">
      <w:pPr>
        <w:spacing w:after="150"/>
        <w:jc w:val="both"/>
      </w:pPr>
      <w:r>
        <w:rPr>
          <w:i/>
          <w:color w:val="000000"/>
        </w:rPr>
        <w:t>742 Мере п</w:t>
      </w:r>
      <w:r>
        <w:rPr>
          <w:i/>
          <w:color w:val="000000"/>
        </w:rPr>
        <w:t>ревенције обухватају здравствено васпитање у вези са планирањем породице, превенцијом трудноће, тестирањем и лечењем полно преносивих болести и ХИВ инфекције; хигијенско-епидемиолошке и друге законом предвиђене мере и поступке у вези са спречавањем, открив</w:t>
      </w:r>
      <w:r>
        <w:rPr>
          <w:i/>
          <w:color w:val="000000"/>
        </w:rPr>
        <w:t>ањем и лечењем ХИВ инфекције и других заразних болести и спречавањем њиховог ширења. Право на здравствену заштиту обухвата прегледе и лечење у вези са планирањем породице, трудноћом, порођајем и постпорођајним периодом: 1) дијагностика и лечење стерилитета</w:t>
      </w:r>
      <w:r>
        <w:rPr>
          <w:i/>
          <w:color w:val="000000"/>
        </w:rPr>
        <w:t>; 2) прегледи и лечење који се односе на трудноћу (укључујући пренатални период, порођај и постпорођајни период), стања која могу да изазову компликацију трудноће, као и прекид трудноће из медицинских разлога; 3) стационарно лечење када је медицински неопх</w:t>
      </w:r>
      <w:r>
        <w:rPr>
          <w:i/>
          <w:color w:val="000000"/>
        </w:rPr>
        <w:t>одно и порођај у здравственој установи; 4) патронажне посете и помоћ породиљи и рутинска нега новорођенчета од стране патронажне сестре.</w:t>
      </w:r>
    </w:p>
    <w:p w:rsidR="00BC3CE6" w:rsidRDefault="009A2DE5">
      <w:pPr>
        <w:spacing w:after="150"/>
        <w:jc w:val="both"/>
      </w:pPr>
      <w:r>
        <w:rPr>
          <w:i/>
          <w:color w:val="000000"/>
        </w:rPr>
        <w:t>743 „Службени гласник РС”, бр. 40/17 и 113/17 – др. закон, доступно на: https://www.paragraf.rs/propisi/zakon_o_biomedi</w:t>
      </w:r>
      <w:r>
        <w:rPr>
          <w:i/>
          <w:color w:val="000000"/>
        </w:rPr>
        <w:t>cinski_potpomognutoj_oplodnji.html, приступ 6.6.2021.</w:t>
      </w:r>
    </w:p>
    <w:p w:rsidR="00BC3CE6" w:rsidRDefault="009A2DE5">
      <w:pPr>
        <w:spacing w:after="150"/>
        <w:jc w:val="both"/>
      </w:pPr>
      <w:r>
        <w:rPr>
          <w:i/>
          <w:color w:val="000000"/>
        </w:rPr>
        <w:t>744 Изузетно, право на поступке БМПО има и пунолетна и пословно способна жена која живи сама и која је способна да врши родитељску дужност и у таквом је психосоцијалном стању на основу кога се оправдано</w:t>
      </w:r>
      <w:r>
        <w:rPr>
          <w:i/>
          <w:color w:val="000000"/>
        </w:rPr>
        <w:t xml:space="preserve"> може очекивати да ће бити способна да обавља родитељске дужности у складу са законом, у интересу детета. Члан 25. став 2. Закона о БМПО</w:t>
      </w:r>
    </w:p>
    <w:p w:rsidR="00BC3CE6" w:rsidRDefault="009A2DE5">
      <w:pPr>
        <w:spacing w:after="150"/>
        <w:jc w:val="both"/>
      </w:pPr>
      <w:r>
        <w:rPr>
          <w:i/>
          <w:color w:val="000000"/>
        </w:rPr>
        <w:t>745 Мршевић, З. Анализа услова и начина остваривања биопотпомогнуте оплодње у Србији, Лабрис, 2021. страна 12, доступно</w:t>
      </w:r>
      <w:r>
        <w:rPr>
          <w:i/>
          <w:color w:val="000000"/>
        </w:rPr>
        <w:t xml:space="preserve"> на: http://labris.org.rs/sites/default/files/Pravna%20Analiza%20BMPO.pdf, приступ: 6.6.2021.</w:t>
      </w:r>
    </w:p>
    <w:p w:rsidR="00BC3CE6" w:rsidRDefault="009A2DE5">
      <w:pPr>
        <w:spacing w:after="150"/>
        <w:jc w:val="both"/>
      </w:pPr>
      <w:r>
        <w:rPr>
          <w:i/>
          <w:color w:val="000000"/>
        </w:rPr>
        <w:t>746</w:t>
      </w:r>
      <w:r>
        <w:rPr>
          <w:i/>
          <w:color w:val="000000"/>
        </w:rPr>
        <w:tab/>
        <w:t>„Службени гласник РС”, број 61/18, доступно на: http://www.pravno-informacioni-sistem.rs/SlGlasnikPortal/eli/rep/sgrs/vlada/strategija/2018/61/1/reg, приступ:</w:t>
      </w:r>
      <w:r>
        <w:rPr>
          <w:i/>
          <w:color w:val="000000"/>
        </w:rPr>
        <w:t xml:space="preserve"> 8.6.2021.</w:t>
      </w:r>
    </w:p>
    <w:p w:rsidR="00BC3CE6" w:rsidRDefault="009A2DE5">
      <w:pPr>
        <w:spacing w:after="150"/>
        <w:jc w:val="both"/>
      </w:pPr>
      <w:r>
        <w:rPr>
          <w:i/>
          <w:color w:val="000000"/>
        </w:rPr>
        <w:t>747 „Службени гласник РС”, број 120/17.</w:t>
      </w:r>
    </w:p>
    <w:p w:rsidR="00BC3CE6" w:rsidRDefault="009A2DE5">
      <w:pPr>
        <w:spacing w:after="150"/>
      </w:pPr>
      <w:r>
        <w:rPr>
          <w:color w:val="000000"/>
        </w:rPr>
        <w:t> </w:t>
      </w:r>
    </w:p>
    <w:p w:rsidR="00BC3CE6" w:rsidRDefault="009A2DE5">
      <w:pPr>
        <w:spacing w:after="150"/>
        <w:jc w:val="both"/>
      </w:pPr>
      <w:r>
        <w:rPr>
          <w:i/>
          <w:color w:val="000000"/>
        </w:rPr>
        <w:t>748 Стратегије за подстицања рађања, Национални програм здравствене заштите жена, деце и омладине, Стратегија развоја здравља младих у РС и Национална стратегија за младе за период од 2015. до 2025. годи</w:t>
      </w:r>
      <w:r>
        <w:rPr>
          <w:i/>
          <w:color w:val="000000"/>
        </w:rPr>
        <w:t>не.</w:t>
      </w:r>
    </w:p>
    <w:p w:rsidR="00BC3CE6" w:rsidRDefault="009A2DE5">
      <w:pPr>
        <w:spacing w:after="150"/>
        <w:jc w:val="both"/>
      </w:pPr>
      <w:r>
        <w:rPr>
          <w:i/>
          <w:color w:val="000000"/>
        </w:rPr>
        <w:t>749</w:t>
      </w:r>
      <w:r>
        <w:rPr>
          <w:i/>
          <w:color w:val="000000"/>
        </w:rPr>
        <w:tab/>
        <w:t>Циљ 2.7. Доступно: https://www.mgsi.gov.rs/lat/dokumenti/nacionalna-strategija-za-rodnu-ravnopravnost-za-period-od-2016-do-2020-godine-sa-akcionim, приступ: 5.6.2021.</w:t>
      </w:r>
    </w:p>
    <w:p w:rsidR="00BC3CE6" w:rsidRDefault="009A2DE5">
      <w:pPr>
        <w:spacing w:after="150"/>
        <w:jc w:val="both"/>
      </w:pPr>
      <w:r>
        <w:rPr>
          <w:i/>
          <w:color w:val="000000"/>
        </w:rPr>
        <w:lastRenderedPageBreak/>
        <w:t>750 Финални извештај евалуације Акционог плана за спровођење Нaционалне стратегиј</w:t>
      </w:r>
      <w:r>
        <w:rPr>
          <w:i/>
          <w:color w:val="000000"/>
        </w:rPr>
        <w:t>е за родну равноправност (2016–2018), SeCons, стр. 71–72, доступно на: https://www.secons.net/files/publications/99-publication.pdf, приступ: 8.5.2021.</w:t>
      </w:r>
    </w:p>
    <w:p w:rsidR="00BC3CE6" w:rsidRDefault="009A2DE5">
      <w:pPr>
        <w:spacing w:after="150"/>
        <w:jc w:val="both"/>
      </w:pPr>
      <w:r>
        <w:rPr>
          <w:i/>
          <w:color w:val="000000"/>
        </w:rPr>
        <w:t>751 Пара 38 Закључна запажања Комитета за елиминисање дискриминације жена у вези са Четвртим периодичним</w:t>
      </w:r>
      <w:r>
        <w:rPr>
          <w:i/>
          <w:color w:val="000000"/>
        </w:rPr>
        <w:t xml:space="preserve"> извештајем о примени Конвенције о елиминисању свих облика дискриминације жена, доступно на: https://ljudskaprava.gov.rs/sr/node/156, приступ: 8.5.2021.</w:t>
      </w:r>
    </w:p>
    <w:p w:rsidR="00BC3CE6" w:rsidRDefault="009A2DE5">
      <w:pPr>
        <w:spacing w:after="150"/>
        <w:jc w:val="both"/>
      </w:pPr>
      <w:r>
        <w:rPr>
          <w:i/>
          <w:color w:val="000000"/>
        </w:rPr>
        <w:t xml:space="preserve">752 Препоруке: 1) подизање свести о савременим облицима контрацепције и некоришћења абортуса као метод </w:t>
      </w:r>
      <w:r>
        <w:rPr>
          <w:i/>
          <w:color w:val="000000"/>
        </w:rPr>
        <w:t>контрацепције, укључујући едукације и медијске кампање према младима и адолесцентима/адолесценткињама, посебно међу ромском популацијом и старијим женама; побољшан приступ контрацепцији, укључујући обезбеђивање универзалног покривања повезаних трошкова у о</w:t>
      </w:r>
      <w:r>
        <w:rPr>
          <w:i/>
          <w:color w:val="000000"/>
        </w:rPr>
        <w:t xml:space="preserve">квиру државног здравственог осигурања. 2) Прикупљање статистичких података о адолесцентским трудноћама разврстаних по старости, пореклу и географски, као и обезбеђење да здравствени радници пријављују адолесцентске трудноће социјалним службама и полицији. </w:t>
      </w:r>
      <w:r>
        <w:rPr>
          <w:i/>
          <w:color w:val="000000"/>
        </w:rPr>
        <w:t>3) Неометан приступ здравственој заштити, укључујући програме ране превенције сексуалног и репродуктивног здравља, раног рака дојке и рака грлића материце и бесплатног анти-ретровиралног лечења, свим женама и девојкама, укључујући и Ромкиње, жене са инвали</w:t>
      </w:r>
      <w:r>
        <w:rPr>
          <w:i/>
          <w:color w:val="000000"/>
        </w:rPr>
        <w:t>дитетом, укључујући и оне у институцијама, и подизање свести жена о предности ране превенције, гарантујући информисаност и слободан пристанак жене. 4) Побољшање приступа услугама за планирање породице и вештачке оплодње за жене ЛГБТ.</w:t>
      </w:r>
    </w:p>
    <w:p w:rsidR="00BC3CE6" w:rsidRDefault="009A2DE5">
      <w:pPr>
        <w:spacing w:after="150"/>
        <w:jc w:val="both"/>
      </w:pPr>
      <w:r>
        <w:rPr>
          <w:i/>
          <w:color w:val="000000"/>
        </w:rPr>
        <w:t>753 Анализа планираног</w:t>
      </w:r>
      <w:r>
        <w:rPr>
          <w:i/>
          <w:color w:val="000000"/>
        </w:rPr>
        <w:t xml:space="preserve"> и оствареног обима и садржаја права осигураних лица на примарну здравствену заштиту у 2019. години, Институт за јавно здравље „Милан Јовановић Батут”, 2020. страна 28, доступно на: http://www.batut.org.rs/index.php?content=1787, приступ: 14.6.2021.</w:t>
      </w:r>
    </w:p>
    <w:p w:rsidR="00BC3CE6" w:rsidRDefault="009A2DE5">
      <w:pPr>
        <w:spacing w:after="150"/>
        <w:jc w:val="both"/>
      </w:pPr>
      <w:r>
        <w:rPr>
          <w:i/>
          <w:color w:val="000000"/>
        </w:rPr>
        <w:t>754 Бе</w:t>
      </w:r>
      <w:r>
        <w:rPr>
          <w:i/>
          <w:color w:val="000000"/>
        </w:rPr>
        <w:t>кер, К. 2020, страна 54.</w:t>
      </w:r>
    </w:p>
    <w:p w:rsidR="00BC3CE6" w:rsidRDefault="009A2DE5">
      <w:pPr>
        <w:spacing w:after="150"/>
        <w:jc w:val="both"/>
      </w:pPr>
      <w:r>
        <w:rPr>
          <w:i/>
          <w:color w:val="000000"/>
        </w:rPr>
        <w:t>755 Уредба о националном програму раног откривања карцинома дојке („Службени гласник РС”, број 73/13) доступно на: https://pravni-skener.org/pdf/sr/baza_propisa/33.pdf, приступ: 14.6.2021.</w:t>
      </w:r>
    </w:p>
    <w:p w:rsidR="00BC3CE6" w:rsidRDefault="009A2DE5">
      <w:pPr>
        <w:spacing w:after="150"/>
        <w:jc w:val="both"/>
      </w:pPr>
      <w:r>
        <w:rPr>
          <w:i/>
          <w:color w:val="000000"/>
        </w:rPr>
        <w:t xml:space="preserve">756 Анализа планираног и оствареног обима </w:t>
      </w:r>
      <w:r>
        <w:rPr>
          <w:i/>
          <w:color w:val="000000"/>
        </w:rPr>
        <w:t>и садржаја права осигураних лица на примарну здравствену заштиту у 2019. години, Институт за јавно здравље „Милан Јовановић Батут”, 2020. страна 28, доступно на: http://www.batut.org.rs/index.php?content=1787, приступ: 14.6.2021.</w:t>
      </w:r>
    </w:p>
    <w:p w:rsidR="00BC3CE6" w:rsidRDefault="009A2DE5">
      <w:pPr>
        <w:spacing w:after="150"/>
        <w:jc w:val="both"/>
      </w:pPr>
      <w:r>
        <w:rPr>
          <w:i/>
          <w:color w:val="000000"/>
        </w:rPr>
        <w:t>757 Уредба о националном п</w:t>
      </w:r>
      <w:r>
        <w:rPr>
          <w:i/>
          <w:color w:val="000000"/>
        </w:rPr>
        <w:t>рограму раног откривања карцинома грлића материце („Службени гласник РС”, бр. 73/13 и 83/13), доступно на: https://www.skriningsrbija.rs/files/File/Nacionalni_program_ranog_otkrivanja_karcinoma_grlica_materice.pdf, приступ: 14.6.2021.</w:t>
      </w:r>
    </w:p>
    <w:p w:rsidR="00BC3CE6" w:rsidRDefault="009A2DE5">
      <w:pPr>
        <w:spacing w:after="150"/>
        <w:jc w:val="both"/>
      </w:pPr>
      <w:r>
        <w:rPr>
          <w:i/>
          <w:color w:val="000000"/>
        </w:rPr>
        <w:lastRenderedPageBreak/>
        <w:t>758 Анализом планиран</w:t>
      </w:r>
      <w:r>
        <w:rPr>
          <w:i/>
          <w:color w:val="000000"/>
        </w:rPr>
        <w:t>ог и оствареног обима и садржаја права осигураних лица на примарну здравствену заштиту нису обухваћене мамографије организоване у рендген службама болница или у оквиру покретних мамографа. Извор: Анализа планираног и оствареног обима и садржаја права осигу</w:t>
      </w:r>
      <w:r>
        <w:rPr>
          <w:i/>
          <w:color w:val="000000"/>
        </w:rPr>
        <w:t>раних лица на примарну здравствену заштиту у 2019. години, Институт за јавно здравље „Милан Јовановић Батут”, 2020. страна 28, доступно на: http://www.batut.org.rs/index.php?content=1787, приступ: 14.6.2021.</w:t>
      </w:r>
    </w:p>
    <w:p w:rsidR="00BC3CE6" w:rsidRDefault="009A2DE5">
      <w:pPr>
        <w:spacing w:after="150"/>
        <w:jc w:val="both"/>
      </w:pPr>
      <w:r>
        <w:rPr>
          <w:i/>
          <w:color w:val="000000"/>
        </w:rPr>
        <w:t>759 У Србији функционише 141 дом здравља (уврште</w:t>
      </w:r>
      <w:r>
        <w:rPr>
          <w:i/>
          <w:color w:val="000000"/>
        </w:rPr>
        <w:t>но је и неколико здравствених центара) и 16 домова здравља у Граду Београду. Доступно на: https://www.zdravlje.gov.rs/tekst/333549/zdravstvene-ustanove.php, приступ: 14.6.2021.</w:t>
      </w:r>
    </w:p>
    <w:p w:rsidR="00BC3CE6" w:rsidRDefault="009A2DE5">
      <w:pPr>
        <w:spacing w:after="150"/>
        <w:jc w:val="both"/>
      </w:pPr>
      <w:r>
        <w:rPr>
          <w:i/>
          <w:color w:val="000000"/>
        </w:rPr>
        <w:t>760 Група аутора 2020, страна 59.</w:t>
      </w:r>
    </w:p>
    <w:p w:rsidR="00BC3CE6" w:rsidRDefault="009A2DE5">
      <w:pPr>
        <w:spacing w:after="150"/>
        <w:jc w:val="both"/>
      </w:pPr>
      <w:r>
        <w:rPr>
          <w:i/>
          <w:color w:val="000000"/>
        </w:rPr>
        <w:t>761 Игњатовић, Т. 2021, страна 5.</w:t>
      </w:r>
    </w:p>
    <w:p w:rsidR="00BC3CE6" w:rsidRDefault="009A2DE5">
      <w:pPr>
        <w:spacing w:after="150"/>
        <w:jc w:val="both"/>
      </w:pPr>
      <w:r>
        <w:rPr>
          <w:i/>
          <w:color w:val="000000"/>
        </w:rPr>
        <w:t> </w:t>
      </w:r>
    </w:p>
    <w:p w:rsidR="00BC3CE6" w:rsidRDefault="009A2DE5">
      <w:pPr>
        <w:spacing w:after="150"/>
        <w:jc w:val="both"/>
      </w:pPr>
      <w:r>
        <w:rPr>
          <w:i/>
          <w:color w:val="000000"/>
        </w:rPr>
        <w:t>762 Приор</w:t>
      </w:r>
      <w:r>
        <w:rPr>
          <w:i/>
          <w:color w:val="000000"/>
        </w:rPr>
        <w:t>итети и препоруке за елиминисање дискриминације над женама у Србији: Извештај у сенци CEDAW комитету, 2018, страна 32, доступно на: http://sosvojvodina.org/wp-content/uploads/2019/02/Anex-Cedaw-izvestaj-SOSMV-srpski-2018..pdf, приступ 7.6.2021.</w:t>
      </w:r>
    </w:p>
    <w:p w:rsidR="00BC3CE6" w:rsidRDefault="009A2DE5">
      <w:pPr>
        <w:spacing w:after="150"/>
        <w:jc w:val="both"/>
      </w:pPr>
      <w:r>
        <w:rPr>
          <w:i/>
          <w:color w:val="000000"/>
        </w:rPr>
        <w:t>763 У Нацио</w:t>
      </w:r>
      <w:r>
        <w:rPr>
          <w:i/>
          <w:color w:val="000000"/>
        </w:rPr>
        <w:t>налном програму раног откривања рака грлића материце наведeно је да су старосне групе одабране на основу препорука европских водича да скрининг треба започети између 20–30 година живота и да траје до 60–65 година.</w:t>
      </w:r>
    </w:p>
    <w:p w:rsidR="00BC3CE6" w:rsidRDefault="009A2DE5">
      <w:pPr>
        <w:spacing w:after="150"/>
        <w:jc w:val="both"/>
      </w:pPr>
      <w:r>
        <w:rPr>
          <w:i/>
          <w:color w:val="000000"/>
        </w:rPr>
        <w:t>764 Група аутора, 2020. страна 59</w:t>
      </w:r>
    </w:p>
    <w:p w:rsidR="00BC3CE6" w:rsidRDefault="009A2DE5">
      <w:pPr>
        <w:spacing w:after="150"/>
        <w:jc w:val="both"/>
      </w:pPr>
      <w:r>
        <w:rPr>
          <w:i/>
          <w:color w:val="000000"/>
        </w:rPr>
        <w:t xml:space="preserve">765 Ови </w:t>
      </w:r>
      <w:r>
        <w:rPr>
          <w:i/>
          <w:color w:val="000000"/>
        </w:rPr>
        <w:t>прегледи (туморски маркери простате) су били омогућени током акције бесплатних превентивних прегледа Министарства здравља током 2019. године. Видети на: http://www.kcs.ac.rs/index.php/vesti/3464-veliki-broj-gradana-obavio-preventivne-preglede-u-klinickom-c</w:t>
      </w:r>
      <w:r>
        <w:rPr>
          <w:i/>
          <w:color w:val="000000"/>
        </w:rPr>
        <w:t>entru-srbije, приступ: 20.6.2021.</w:t>
      </w:r>
    </w:p>
    <w:p w:rsidR="00BC3CE6" w:rsidRDefault="009A2DE5">
      <w:pPr>
        <w:spacing w:after="150"/>
        <w:jc w:val="both"/>
      </w:pPr>
      <w:r>
        <w:rPr>
          <w:i/>
          <w:color w:val="000000"/>
        </w:rPr>
        <w:t>766 Рак простате је трећа најчешћа локализација рака код мушкараца у РС а процењена стопа оболевања (35,4/100.000), двоструко нижа у односу на мушкарце у земљама Западне Европе (75,8/100,000). Видети: Програм унапређења ко</w:t>
      </w:r>
      <w:r>
        <w:rPr>
          <w:i/>
          <w:color w:val="000000"/>
        </w:rPr>
        <w:t>нтроле рака у Републици Србији за период 2020–2022., „Службени гласник РС”, број 105/20, доступно на: http://www.pravno-informacioni-sistem.rs/SlGlasnikPortal/eli/rep/sgrs/vlada/drugiakt/2020/105/1, приступ: 20.6.2021.</w:t>
      </w:r>
    </w:p>
    <w:p w:rsidR="00BC3CE6" w:rsidRDefault="009A2DE5">
      <w:pPr>
        <w:spacing w:after="150"/>
        <w:jc w:val="both"/>
      </w:pPr>
      <w:r>
        <w:rPr>
          <w:i/>
          <w:color w:val="000000"/>
        </w:rPr>
        <w:t>767 Најчешће регистроване болести реп</w:t>
      </w:r>
      <w:r>
        <w:rPr>
          <w:i/>
          <w:color w:val="000000"/>
        </w:rPr>
        <w:t>родуктивних органа код мушкараца су хиперплазија (увећање) простате, болести мушких полних органа и болести претежно пренете полним путем.</w:t>
      </w:r>
    </w:p>
    <w:p w:rsidR="00BC3CE6" w:rsidRDefault="009A2DE5">
      <w:pPr>
        <w:spacing w:after="150"/>
        <w:jc w:val="both"/>
      </w:pPr>
      <w:r>
        <w:rPr>
          <w:i/>
          <w:color w:val="000000"/>
        </w:rPr>
        <w:lastRenderedPageBreak/>
        <w:t>768 Извештај Покрајинског зашттиника грађана – омбудсмана, 2014, страна 120</w:t>
      </w:r>
      <w:r>
        <w:br/>
      </w:r>
      <w:r>
        <w:rPr>
          <w:i/>
          <w:color w:val="000000"/>
        </w:rPr>
        <w:t>Доступно на: https://www.ombudsmanapv.org</w:t>
      </w:r>
      <w:r>
        <w:rPr>
          <w:i/>
          <w:color w:val="000000"/>
        </w:rPr>
        <w:t>/riv/attachments/article/1552/Godisnji_izvestaj_PZG_2014.pdf,</w:t>
      </w:r>
    </w:p>
    <w:p w:rsidR="00BC3CE6" w:rsidRDefault="009A2DE5">
      <w:pPr>
        <w:spacing w:after="150"/>
        <w:jc w:val="both"/>
      </w:pPr>
      <w:r>
        <w:rPr>
          <w:i/>
          <w:color w:val="000000"/>
        </w:rPr>
        <w:t>Приступ: 20.6.2021.</w:t>
      </w:r>
    </w:p>
    <w:p w:rsidR="00BC3CE6" w:rsidRDefault="009A2DE5">
      <w:pPr>
        <w:spacing w:after="150"/>
        <w:jc w:val="both"/>
      </w:pPr>
      <w:r>
        <w:rPr>
          <w:i/>
          <w:color w:val="000000"/>
        </w:rPr>
        <w:t>769 Исто, 59</w:t>
      </w:r>
    </w:p>
    <w:p w:rsidR="00BC3CE6" w:rsidRDefault="009A2DE5">
      <w:pPr>
        <w:spacing w:after="150"/>
        <w:jc w:val="both"/>
      </w:pPr>
      <w:r>
        <w:rPr>
          <w:i/>
          <w:color w:val="000000"/>
        </w:rPr>
        <w:t>770 Игњатовић, Т. 2021, страна 5.</w:t>
      </w:r>
    </w:p>
    <w:p w:rsidR="00BC3CE6" w:rsidRDefault="009A2DE5">
      <w:pPr>
        <w:spacing w:after="150"/>
        <w:jc w:val="both"/>
      </w:pPr>
      <w:r>
        <w:rPr>
          <w:i/>
          <w:color w:val="000000"/>
        </w:rPr>
        <w:t>771</w:t>
      </w:r>
      <w:r>
        <w:rPr>
          <w:i/>
          <w:color w:val="000000"/>
        </w:rPr>
        <w:tab/>
        <w:t>Србија – Истраживање вишеструких показатеља 2019. и Србија – ромска насеља – истраживање вишеструких показатеља положаја же</w:t>
      </w:r>
      <w:r>
        <w:rPr>
          <w:i/>
          <w:color w:val="000000"/>
        </w:rPr>
        <w:t>не и деце, 2019, (Multiple Indicator Cluster Survey – MICS), УНИЦЕФ, 2020. Доступно на: https://www.unicef.org/serbia/media/16056/file/MICS%206%20Istra%C5%BEivanje%20vi%C5%A1estrukih%20pokazatelja%20za%202019.%20godinu.pdf, приступ: 7.6.2021.</w:t>
      </w:r>
    </w:p>
    <w:p w:rsidR="00BC3CE6" w:rsidRDefault="009A2DE5">
      <w:pPr>
        <w:spacing w:after="150"/>
        <w:jc w:val="both"/>
      </w:pPr>
      <w:r>
        <w:rPr>
          <w:i/>
          <w:color w:val="000000"/>
        </w:rPr>
        <w:t>772 Исто, стр</w:t>
      </w:r>
      <w:r>
        <w:rPr>
          <w:i/>
          <w:color w:val="000000"/>
        </w:rPr>
        <w:t>ана 20</w:t>
      </w:r>
    </w:p>
    <w:p w:rsidR="00BC3CE6" w:rsidRDefault="009A2DE5">
      <w:pPr>
        <w:spacing w:after="150"/>
      </w:pPr>
      <w:r>
        <w:rPr>
          <w:i/>
          <w:color w:val="000000"/>
        </w:rPr>
        <w:t>773 Здравствено-статистички годишњак РС 2019, страна 442 доступно на: http://www.batut.org.rs/download/publikacije/pub2019a.pdf, приступ: 7.6.2021.</w:t>
      </w:r>
    </w:p>
    <w:p w:rsidR="00BC3CE6" w:rsidRDefault="009A2DE5">
      <w:pPr>
        <w:spacing w:after="150"/>
        <w:jc w:val="both"/>
      </w:pPr>
      <w:r>
        <w:rPr>
          <w:i/>
          <w:color w:val="000000"/>
        </w:rPr>
        <w:t>774 Према истраживању MICS, у Србији је 11 одсто жена старости 15–49 година имало барем један индуков</w:t>
      </w:r>
      <w:r>
        <w:rPr>
          <w:i/>
          <w:color w:val="000000"/>
        </w:rPr>
        <w:t>ани абортус а проценат расте са годинама и највиши је код жена старости 45–49 година (24%). Истовремено, 28 одсто жена старости 15–49 година из ромских насеља имало је барем један индуковани абортус. страна 21.</w:t>
      </w:r>
    </w:p>
    <w:p w:rsidR="00BC3CE6" w:rsidRDefault="009A2DE5">
      <w:pPr>
        <w:spacing w:after="150"/>
        <w:jc w:val="both"/>
      </w:pPr>
      <w:r>
        <w:rPr>
          <w:i/>
          <w:color w:val="000000"/>
        </w:rPr>
        <w:t>775 Бекер, К. 2020. страна 54.</w:t>
      </w:r>
    </w:p>
    <w:p w:rsidR="00BC3CE6" w:rsidRDefault="009A2DE5">
      <w:pPr>
        <w:spacing w:after="150"/>
        <w:jc w:val="both"/>
      </w:pPr>
      <w:r>
        <w:rPr>
          <w:i/>
          <w:color w:val="000000"/>
        </w:rPr>
        <w:t>776 Србија – И</w:t>
      </w:r>
      <w:r>
        <w:rPr>
          <w:i/>
          <w:color w:val="000000"/>
        </w:rPr>
        <w:t>страживање, 2020, страна 19.</w:t>
      </w:r>
    </w:p>
    <w:p w:rsidR="00BC3CE6" w:rsidRDefault="009A2DE5">
      <w:pPr>
        <w:spacing w:after="150"/>
        <w:jc w:val="both"/>
      </w:pPr>
      <w:r>
        <w:rPr>
          <w:i/>
          <w:color w:val="000000"/>
        </w:rPr>
        <w:t>777 Ове девојчице су најчешће жртве кривичног дела обљуба са дететом, а остале малолетне труднице могу бити и најчешће јесу, жртве кривичног дела ванбрачна заједница са малолетником. СОС Вој стр. 32.</w:t>
      </w:r>
    </w:p>
    <w:p w:rsidR="00BC3CE6" w:rsidRDefault="009A2DE5">
      <w:pPr>
        <w:spacing w:after="150"/>
        <w:jc w:val="both"/>
      </w:pPr>
      <w:r>
        <w:rPr>
          <w:i/>
          <w:color w:val="000000"/>
        </w:rPr>
        <w:t>778 Приоритети и препоруке,</w:t>
      </w:r>
      <w:r>
        <w:rPr>
          <w:i/>
          <w:color w:val="000000"/>
        </w:rPr>
        <w:t xml:space="preserve"> 2018, страна 32.</w:t>
      </w:r>
    </w:p>
    <w:p w:rsidR="00BC3CE6" w:rsidRDefault="009A2DE5">
      <w:pPr>
        <w:spacing w:after="150"/>
        <w:jc w:val="both"/>
      </w:pPr>
      <w:r>
        <w:rPr>
          <w:i/>
          <w:color w:val="000000"/>
        </w:rPr>
        <w:t>779 „Службени гласник РС”, број 120/17.</w:t>
      </w:r>
    </w:p>
    <w:p w:rsidR="00BC3CE6" w:rsidRDefault="009A2DE5">
      <w:pPr>
        <w:spacing w:after="150"/>
        <w:jc w:val="both"/>
      </w:pPr>
      <w:r>
        <w:rPr>
          <w:i/>
          <w:color w:val="000000"/>
        </w:rPr>
        <w:t>780 Игњатовић, Т. 2021, страна 5.</w:t>
      </w:r>
    </w:p>
    <w:p w:rsidR="00BC3CE6" w:rsidRDefault="009A2DE5">
      <w:pPr>
        <w:spacing w:after="150"/>
        <w:jc w:val="both"/>
      </w:pPr>
      <w:r>
        <w:rPr>
          <w:i/>
          <w:color w:val="000000"/>
        </w:rPr>
        <w:t>781 Игњатовић, Т. 2021, оп. цит. страна 6.</w:t>
      </w:r>
    </w:p>
    <w:p w:rsidR="00BC3CE6" w:rsidRDefault="009A2DE5">
      <w:pPr>
        <w:spacing w:after="150"/>
        <w:jc w:val="both"/>
      </w:pPr>
      <w:r>
        <w:rPr>
          <w:i/>
          <w:color w:val="000000"/>
        </w:rPr>
        <w:t>782 Бекер К. 2020, страна 56</w:t>
      </w:r>
    </w:p>
    <w:p w:rsidR="00BC3CE6" w:rsidRDefault="009A2DE5">
      <w:pPr>
        <w:spacing w:after="150"/>
        <w:jc w:val="both"/>
      </w:pPr>
      <w:r>
        <w:rPr>
          <w:i/>
          <w:color w:val="000000"/>
        </w:rPr>
        <w:t>783 Исто, страна 56</w:t>
      </w:r>
    </w:p>
    <w:p w:rsidR="00BC3CE6" w:rsidRDefault="009A2DE5">
      <w:pPr>
        <w:spacing w:after="150"/>
        <w:jc w:val="both"/>
      </w:pPr>
      <w:r>
        <w:rPr>
          <w:i/>
          <w:color w:val="000000"/>
        </w:rPr>
        <w:t>784 Посебан извештај Заштитника грађана о репродуктивном здрављу Ромкиња</w:t>
      </w:r>
      <w:r>
        <w:rPr>
          <w:i/>
          <w:color w:val="000000"/>
        </w:rPr>
        <w:t xml:space="preserve"> са препорукама 2017. страна 3, доступно на: </w:t>
      </w:r>
      <w:r>
        <w:rPr>
          <w:i/>
          <w:color w:val="000000"/>
        </w:rPr>
        <w:lastRenderedPageBreak/>
        <w:t>https://www.rodnaravnopravnost.rs/attachments/article/276/Poseban%20izvestaj%20ZG%20Rep%20zdravlje%20Romkinja%2011.pdf, приступ: 6.2.2021.</w:t>
      </w:r>
    </w:p>
    <w:p w:rsidR="00BC3CE6" w:rsidRDefault="009A2DE5">
      <w:pPr>
        <w:spacing w:after="150"/>
        <w:jc w:val="both"/>
      </w:pPr>
      <w:r>
        <w:rPr>
          <w:i/>
          <w:color w:val="000000"/>
        </w:rPr>
        <w:t>785 Приступачност услуга здравствене и социјалне заштите старијим грађан</w:t>
      </w:r>
      <w:r>
        <w:rPr>
          <w:i/>
          <w:color w:val="000000"/>
        </w:rPr>
        <w:t>има током епидемије COVID-19, Amity, 2021. страна 3 Доступно на: http://www.amity-yu.org/wp-content/uploads/2021/05/03-Istra%C5%BEivanje-o-pristupa%C4%8Dnosti-usluga-zdravstvene-i-socijalne-za%C5%A1tite-starijima-tokom-pandemije.pdf, приступ: 14.6.2021.</w:t>
      </w:r>
    </w:p>
    <w:p w:rsidR="00BC3CE6" w:rsidRDefault="009A2DE5">
      <w:pPr>
        <w:spacing w:after="150"/>
        <w:jc w:val="both"/>
      </w:pPr>
      <w:r>
        <w:rPr>
          <w:i/>
          <w:color w:val="000000"/>
        </w:rPr>
        <w:t>78</w:t>
      </w:r>
      <w:r>
        <w:rPr>
          <w:i/>
          <w:color w:val="000000"/>
        </w:rPr>
        <w:t>6 Бекер, К. 2020, страна 57.</w:t>
      </w:r>
    </w:p>
    <w:p w:rsidR="00BC3CE6" w:rsidRDefault="009A2DE5">
      <w:pPr>
        <w:spacing w:after="150"/>
        <w:jc w:val="both"/>
      </w:pPr>
      <w:r>
        <w:rPr>
          <w:i/>
          <w:color w:val="000000"/>
        </w:rPr>
        <w:t>787 Посебан извештај о дискриминацији старијих грађана, Повереник за заштиту равноправности, 2021. страна 70 доступно на: http://ravnopravnost.gov.rs/rs/izvestaji/, приступ: 15.6.2021.</w:t>
      </w:r>
    </w:p>
    <w:p w:rsidR="00BC3CE6" w:rsidRDefault="009A2DE5">
      <w:pPr>
        <w:spacing w:after="150"/>
        <w:jc w:val="both"/>
      </w:pPr>
      <w:r>
        <w:rPr>
          <w:i/>
          <w:color w:val="000000"/>
        </w:rPr>
        <w:t>788 Бекер, К. и Баћановић, В. Репродуктивн</w:t>
      </w:r>
      <w:r>
        <w:rPr>
          <w:i/>
          <w:color w:val="000000"/>
        </w:rPr>
        <w:t>о здравље жена са инвалидитетом у АП Војводини, Покрајински заштитник грађана – омбудсман и ОЕБС, 2018. страна 27, Доступно на: https://www.ombudsmanapv.org/riv/index.php/istrazivanja/2125-istrazivanje-reproduktivno-zdravlje-zena-sa-invaliditetom.html, при</w:t>
      </w:r>
      <w:r>
        <w:rPr>
          <w:i/>
          <w:color w:val="000000"/>
        </w:rPr>
        <w:t>ступ: 21.1.2021.</w:t>
      </w:r>
    </w:p>
    <w:p w:rsidR="00BC3CE6" w:rsidRDefault="009A2DE5">
      <w:pPr>
        <w:spacing w:after="150"/>
        <w:jc w:val="both"/>
      </w:pPr>
      <w:r>
        <w:rPr>
          <w:i/>
          <w:color w:val="000000"/>
        </w:rPr>
        <w:t>789 Закон о биомедицински потпомогнутој оплодњи, „Службени гласник РС”, бр. 40/17 и 113/17 – др. закон, доступно на: https://www.paragraf.rs/propisi/zakon_o_biomedicinski_potpomognutoj_oplodnji.html, приступ: 6.6.2021.</w:t>
      </w:r>
    </w:p>
    <w:p w:rsidR="00BC3CE6" w:rsidRDefault="009A2DE5">
      <w:pPr>
        <w:spacing w:after="150"/>
        <w:jc w:val="both"/>
      </w:pPr>
      <w:r>
        <w:rPr>
          <w:i/>
          <w:color w:val="000000"/>
        </w:rPr>
        <w:t xml:space="preserve">790 Бекер, К. 2020, </w:t>
      </w:r>
      <w:r>
        <w:rPr>
          <w:i/>
          <w:color w:val="000000"/>
        </w:rPr>
        <w:t>страна 57.</w:t>
      </w:r>
    </w:p>
    <w:p w:rsidR="00BC3CE6" w:rsidRDefault="009A2DE5">
      <w:pPr>
        <w:spacing w:after="150"/>
        <w:jc w:val="both"/>
      </w:pPr>
      <w:r>
        <w:rPr>
          <w:i/>
          <w:color w:val="000000"/>
        </w:rPr>
        <w:t>791 Група аутора, 2020, страна 61.</w:t>
      </w:r>
    </w:p>
    <w:p w:rsidR="00BC3CE6" w:rsidRDefault="009A2DE5">
      <w:pPr>
        <w:spacing w:after="150"/>
      </w:pPr>
      <w:r>
        <w:rPr>
          <w:color w:val="000000"/>
        </w:rPr>
        <w:t> </w:t>
      </w:r>
    </w:p>
    <w:p w:rsidR="00BC3CE6" w:rsidRDefault="009A2DE5">
      <w:pPr>
        <w:spacing w:after="120"/>
        <w:jc w:val="center"/>
      </w:pPr>
      <w:r>
        <w:rPr>
          <w:i/>
          <w:color w:val="000000"/>
        </w:rPr>
        <w:t>5.3.2. Социјална заштита</w:t>
      </w:r>
    </w:p>
    <w:p w:rsidR="00BC3CE6" w:rsidRDefault="009A2DE5">
      <w:pPr>
        <w:spacing w:after="150"/>
      </w:pPr>
      <w:r>
        <w:rPr>
          <w:color w:val="000000"/>
        </w:rPr>
        <w:t xml:space="preserve">Окончање сиромаштвa свуда и у свим облицима први је циљ Агенде 2030. Овај циљ промовише, између осталог, смањење сиромаштва, подршку најугроженијим људима, приступ ресурсима и </w:t>
      </w:r>
      <w:r>
        <w:rPr>
          <w:color w:val="000000"/>
        </w:rPr>
        <w:t>услугама.</w:t>
      </w:r>
      <w:r>
        <w:rPr>
          <w:color w:val="000000"/>
          <w:vertAlign w:val="superscript"/>
        </w:rPr>
        <w:t>792</w:t>
      </w:r>
      <w:r>
        <w:rPr>
          <w:color w:val="000000"/>
        </w:rPr>
        <w:t xml:space="preserve"> Један од потциљева (1.б) позива на креирање јасних оквира политика на националном нивоу заснованих на стратегијама које промовишу борбу против сиромаштва и родну осетљивост како би се подржало убрзано улагање у акције искорењивања сиромаштва. </w:t>
      </w:r>
      <w:r>
        <w:rPr>
          <w:color w:val="000000"/>
        </w:rPr>
        <w:t>До краја 2030. године (потциљ 1.4) треба осигурати да сви мушкарци и жене, а посебно сиромашни рањиви имају једнака права на економске ресурсе, приступ основним услугама и др. Република Србија још није отворила Преговарачко поглавље 19 – Социјална политика</w:t>
      </w:r>
      <w:r>
        <w:rPr>
          <w:color w:val="000000"/>
        </w:rPr>
        <w:t xml:space="preserve"> и запошљавање, али је припремљен Нацрт акционог плана за постепено транспоновање правних тековина у законодавство Републике Србије и креирање неопходних капацитета за њихову примену у областима које су обухваћене овим поглављем, као што су социјална инклу</w:t>
      </w:r>
      <w:r>
        <w:rPr>
          <w:color w:val="000000"/>
        </w:rPr>
        <w:t xml:space="preserve">зија, социјална заштита, забрана дискриминације и </w:t>
      </w:r>
      <w:r>
        <w:rPr>
          <w:color w:val="000000"/>
        </w:rPr>
        <w:lastRenderedPageBreak/>
        <w:t>једнаке могућности.</w:t>
      </w:r>
      <w:r>
        <w:rPr>
          <w:color w:val="000000"/>
          <w:vertAlign w:val="superscript"/>
        </w:rPr>
        <w:t>793</w:t>
      </w:r>
      <w:r>
        <w:rPr>
          <w:color w:val="000000"/>
        </w:rPr>
        <w:t xml:space="preserve"> Европским стубом социјалних права утврђено је 20 начела и права за подршку тржишту рада и системима социјалне заштите.</w:t>
      </w:r>
    </w:p>
    <w:p w:rsidR="00BC3CE6" w:rsidRDefault="009A2DE5">
      <w:pPr>
        <w:spacing w:after="150"/>
      </w:pPr>
      <w:r>
        <w:rPr>
          <w:color w:val="000000"/>
        </w:rPr>
        <w:t>Смањење ризика од сиромаштва. Према Закону о социјалној заштити</w:t>
      </w:r>
      <w:r>
        <w:rPr>
          <w:color w:val="000000"/>
          <w:vertAlign w:val="superscript"/>
        </w:rPr>
        <w:t>7</w:t>
      </w:r>
      <w:r>
        <w:rPr>
          <w:color w:val="000000"/>
          <w:vertAlign w:val="superscript"/>
        </w:rPr>
        <w:t>94</w:t>
      </w:r>
      <w:r>
        <w:rPr>
          <w:color w:val="000000"/>
        </w:rPr>
        <w:t xml:space="preserve">, сваки/a појединац/ка и породица којима је неопходна помоћ и подршка ради савладавања социјалних и животних тешкоћа и стварање услова за задовољење основних животних потреба, имају право на социјалну заштиту која се обезбеђује пружањем услуга социјалне </w:t>
      </w:r>
      <w:r>
        <w:rPr>
          <w:color w:val="000000"/>
        </w:rPr>
        <w:t>заштите</w:t>
      </w:r>
      <w:r>
        <w:rPr>
          <w:color w:val="000000"/>
          <w:vertAlign w:val="superscript"/>
        </w:rPr>
        <w:t>795</w:t>
      </w:r>
      <w:r>
        <w:rPr>
          <w:color w:val="000000"/>
        </w:rPr>
        <w:t xml:space="preserve"> и материјалном подршком.</w:t>
      </w:r>
      <w:r>
        <w:rPr>
          <w:color w:val="000000"/>
          <w:vertAlign w:val="superscript"/>
        </w:rPr>
        <w:t>796</w:t>
      </w:r>
      <w:r>
        <w:rPr>
          <w:color w:val="000000"/>
        </w:rPr>
        <w:t xml:space="preserve"> Сви грађани и грађанке остварују сва права и услуге социјалне заштите под истим условима, без дискриминације корисника/ца по било којем личном својству.</w:t>
      </w:r>
      <w:r>
        <w:rPr>
          <w:color w:val="000000"/>
          <w:vertAlign w:val="superscript"/>
        </w:rPr>
        <w:t>797</w:t>
      </w:r>
      <w:r>
        <w:rPr>
          <w:color w:val="000000"/>
        </w:rPr>
        <w:t xml:space="preserve"> Развијање интегралне социјалне заштите кроз развој услуга</w:t>
      </w:r>
      <w:r>
        <w:rPr>
          <w:color w:val="000000"/>
          <w:vertAlign w:val="superscript"/>
        </w:rPr>
        <w:t>798</w:t>
      </w:r>
      <w:r>
        <w:rPr>
          <w:color w:val="000000"/>
        </w:rPr>
        <w:t>,</w:t>
      </w:r>
      <w:r>
        <w:rPr>
          <w:color w:val="000000"/>
        </w:rPr>
        <w:t xml:space="preserve"> плурализам пружалаца и унапређење квалитета услуга и стручног рада, јачање одговорности и унапређење улоге локалних власти, али и повећање значаја и утицаја различитих социјалних актера из јавног, цивилног и приватног сектора у великој мери зависи од екон</w:t>
      </w:r>
      <w:r>
        <w:rPr>
          <w:color w:val="000000"/>
        </w:rPr>
        <w:t>омске политике и буџетских могућности.</w:t>
      </w:r>
      <w:r>
        <w:rPr>
          <w:color w:val="000000"/>
          <w:vertAlign w:val="superscript"/>
        </w:rPr>
        <w:t>799</w:t>
      </w:r>
      <w:r>
        <w:rPr>
          <w:color w:val="000000"/>
        </w:rPr>
        <w:t xml:space="preserve"> Нацртом Стратегије за социјалну заштиту</w:t>
      </w:r>
      <w:r>
        <w:rPr>
          <w:color w:val="000000"/>
          <w:vertAlign w:val="superscript"/>
        </w:rPr>
        <w:t>800</w:t>
      </w:r>
      <w:r>
        <w:rPr>
          <w:color w:val="000000"/>
        </w:rPr>
        <w:t xml:space="preserve"> предвиђено је да до краја 2025. године за 25% буде смањен број мушкараца, жена и деце који живе у сиромаштву.</w:t>
      </w:r>
      <w:r>
        <w:rPr>
          <w:color w:val="000000"/>
          <w:vertAlign w:val="superscript"/>
        </w:rPr>
        <w:t>801</w:t>
      </w:r>
      <w:r>
        <w:rPr>
          <w:color w:val="000000"/>
        </w:rPr>
        <w:t xml:space="preserve"> Истовремено, предвиђено је повећање јавних расхода за 25% </w:t>
      </w:r>
      <w:r>
        <w:rPr>
          <w:color w:val="000000"/>
        </w:rPr>
        <w:t>за услуге социјалне заштите који су у надлежности ЈЛС у циљу смањивања социјалне искључености и унапређење активног учешћа грађана/ки у друштву са акцентом на пружање подршке (природној) породици у ризику и унапређивање родне и међугенерацијске солидарност</w:t>
      </w:r>
      <w:r>
        <w:rPr>
          <w:color w:val="000000"/>
        </w:rPr>
        <w:t>и.</w:t>
      </w:r>
      <w:r>
        <w:rPr>
          <w:color w:val="000000"/>
          <w:vertAlign w:val="superscript"/>
        </w:rPr>
        <w:t>802</w:t>
      </w:r>
    </w:p>
    <w:p w:rsidR="00BC3CE6" w:rsidRDefault="009A2DE5">
      <w:pPr>
        <w:spacing w:after="150"/>
      </w:pPr>
      <w:r>
        <w:rPr>
          <w:color w:val="000000"/>
        </w:rPr>
        <w:t>Право на социјалну заштиту и приступ социјалним услугама. На развој политика социјалне заштите утичу многобројни спољашњи фактори, пре свега, неповољна демографска ситуација</w:t>
      </w:r>
      <w:r>
        <w:rPr>
          <w:color w:val="000000"/>
          <w:vertAlign w:val="superscript"/>
        </w:rPr>
        <w:t>803</w:t>
      </w:r>
      <w:r>
        <w:rPr>
          <w:color w:val="000000"/>
        </w:rPr>
        <w:t>, која производи дугорочни притисак на расходе у области социјалне заштите</w:t>
      </w:r>
      <w:r>
        <w:rPr>
          <w:color w:val="000000"/>
        </w:rPr>
        <w:t xml:space="preserve"> кроз повећану тражњу за услугама неге или задовољење потреба у вези са усклађивањем рада и родитељства и др.</w:t>
      </w:r>
      <w:r>
        <w:rPr>
          <w:color w:val="000000"/>
          <w:vertAlign w:val="superscript"/>
        </w:rPr>
        <w:t>804</w:t>
      </w:r>
      <w:r>
        <w:rPr>
          <w:color w:val="000000"/>
        </w:rPr>
        <w:t xml:space="preserve"> Подаци говоре да само 3,7% становника Републике Србије добија социјалну помоћ, иако у апсолутном сиромаштву живи чак 7% становништва,</w:t>
      </w:r>
      <w:r>
        <w:rPr>
          <w:color w:val="000000"/>
          <w:vertAlign w:val="superscript"/>
        </w:rPr>
        <w:t>805</w:t>
      </w:r>
      <w:r>
        <w:rPr>
          <w:color w:val="000000"/>
        </w:rPr>
        <w:t xml:space="preserve"> односн</w:t>
      </w:r>
      <w:r>
        <w:rPr>
          <w:color w:val="000000"/>
        </w:rPr>
        <w:t>о, око пола милиона људи није у стању да задовољи основне животне потребе.</w:t>
      </w:r>
      <w:r>
        <w:rPr>
          <w:color w:val="000000"/>
          <w:vertAlign w:val="superscript"/>
        </w:rPr>
        <w:t>806</w:t>
      </w:r>
      <w:r>
        <w:rPr>
          <w:color w:val="000000"/>
        </w:rPr>
        <w:t xml:space="preserve"> Удео лица у ризику од сиромаштва или социјалне искључености у 2019. години износио је 31,7%, а стопа ризика од сиромаштва била је 23,2</w:t>
      </w:r>
      <w:r>
        <w:rPr>
          <w:color w:val="000000"/>
          <w:vertAlign w:val="superscript"/>
        </w:rPr>
        <w:t>807</w:t>
      </w:r>
      <w:r>
        <w:rPr>
          <w:color w:val="000000"/>
        </w:rPr>
        <w:t>, док су расходи за социјалну заштиту и с</w:t>
      </w:r>
      <w:r>
        <w:rPr>
          <w:color w:val="000000"/>
        </w:rPr>
        <w:t>оцијалну сигурност у 2018. години износили 19,4% БДП</w:t>
      </w:r>
      <w:r>
        <w:rPr>
          <w:color w:val="000000"/>
          <w:vertAlign w:val="superscript"/>
        </w:rPr>
        <w:t>808</w:t>
      </w:r>
      <w:r>
        <w:rPr>
          <w:color w:val="000000"/>
        </w:rPr>
        <w:t xml:space="preserve"> (2016. године расходи су износили 23,4% БДП, ниже од просека у земљама ЕУ</w:t>
      </w:r>
      <w:r>
        <w:rPr>
          <w:color w:val="000000"/>
          <w:vertAlign w:val="superscript"/>
        </w:rPr>
        <w:t>809</w:t>
      </w:r>
      <w:r>
        <w:rPr>
          <w:color w:val="000000"/>
        </w:rPr>
        <w:t>). Расходи за социјалну заштиту и социјалну сигурност су један од најважнијих показатеља обима интервенције која омогућава г</w:t>
      </w:r>
      <w:r>
        <w:rPr>
          <w:color w:val="000000"/>
        </w:rPr>
        <w:t>рађанима и грађанкама заштиту и сигурност уз помоћ различитих давања и услуга.</w:t>
      </w:r>
      <w:r>
        <w:rPr>
          <w:color w:val="000000"/>
          <w:vertAlign w:val="superscript"/>
        </w:rPr>
        <w:t>810</w:t>
      </w:r>
      <w:r>
        <w:rPr>
          <w:color w:val="000000"/>
        </w:rPr>
        <w:t xml:space="preserve"> Ови показатељи су значајни за праћење реализације циља смањења броја мушкараца, жена и деце који живе у било ком облику сиромаштва.</w:t>
      </w:r>
      <w:r>
        <w:rPr>
          <w:color w:val="000000"/>
          <w:vertAlign w:val="superscript"/>
        </w:rPr>
        <w:t>811</w:t>
      </w:r>
      <w:r>
        <w:rPr>
          <w:color w:val="000000"/>
        </w:rPr>
        <w:t xml:space="preserve"> Поједине групе становништва су посебно </w:t>
      </w:r>
      <w:r>
        <w:rPr>
          <w:color w:val="000000"/>
        </w:rPr>
        <w:t>угрожене: Роми/киње, поготово у неформалним насељима, интерно расељена лица, особе са инвалидитетом, стара лица без пензије и други.</w:t>
      </w:r>
      <w:r>
        <w:rPr>
          <w:color w:val="000000"/>
          <w:vertAlign w:val="superscript"/>
        </w:rPr>
        <w:t>812</w:t>
      </w:r>
      <w:r>
        <w:rPr>
          <w:color w:val="000000"/>
        </w:rPr>
        <w:t xml:space="preserve"> Ризику од сиромаштва највише су изложени деца, млади до 24 година старости и старији од 75 година, </w:t>
      </w:r>
      <w:r>
        <w:rPr>
          <w:color w:val="000000"/>
        </w:rPr>
        <w:lastRenderedPageBreak/>
        <w:t>изразитије они који ж</w:t>
      </w:r>
      <w:r>
        <w:rPr>
          <w:color w:val="000000"/>
        </w:rPr>
        <w:t>иве сами, изван градских подручја.</w:t>
      </w:r>
      <w:r>
        <w:rPr>
          <w:color w:val="000000"/>
          <w:vertAlign w:val="superscript"/>
        </w:rPr>
        <w:t>813</w:t>
      </w:r>
      <w:r>
        <w:rPr>
          <w:color w:val="000000"/>
        </w:rPr>
        <w:t xml:space="preserve"> У незнатно већем ризику од мушкараца су жене свих старосних група, осим оне између 55 и 64 године које су мање угрожене од мушкараца. Стопа ризика од сиромаштва за жене са 65 година и старије износи 23,2%, а за мушкарц</w:t>
      </w:r>
      <w:r>
        <w:rPr>
          <w:color w:val="000000"/>
        </w:rPr>
        <w:t>е у истој групи 18,3%.</w:t>
      </w:r>
      <w:r>
        <w:rPr>
          <w:color w:val="000000"/>
          <w:vertAlign w:val="superscript"/>
        </w:rPr>
        <w:t>814</w:t>
      </w:r>
      <w:r>
        <w:rPr>
          <w:color w:val="000000"/>
        </w:rPr>
        <w:t xml:space="preserve"> Домаћинство типа самохрани родитељ с једним дететом или више издржаване деце имало је 2019. године стопу ризика од сиромаштва од 41,6%.</w:t>
      </w:r>
      <w:r>
        <w:rPr>
          <w:color w:val="000000"/>
          <w:vertAlign w:val="superscript"/>
        </w:rPr>
        <w:t>815</w:t>
      </w:r>
      <w:r>
        <w:rPr>
          <w:color w:val="000000"/>
        </w:rPr>
        <w:t xml:space="preserve"> Број корисника/ца система социјалне заштите расте, а око трећине свих корисника су деца. На</w:t>
      </w:r>
      <w:r>
        <w:rPr>
          <w:color w:val="000000"/>
        </w:rPr>
        <w:t>јзначајнија новчана давања усмерена на сиромашне и дечију заштиту су новчана социјална помоћ и дечији додатак, које карактерише низак обухват и ниски износи помоћи који су недовољни за задовољење основних потреба.</w:t>
      </w:r>
      <w:r>
        <w:rPr>
          <w:color w:val="000000"/>
          <w:vertAlign w:val="superscript"/>
        </w:rPr>
        <w:t>816</w:t>
      </w:r>
      <w:r>
        <w:rPr>
          <w:color w:val="000000"/>
        </w:rPr>
        <w:t xml:space="preserve"> Број корисника/ца дечијег додатка износ</w:t>
      </w:r>
      <w:r>
        <w:rPr>
          <w:color w:val="000000"/>
        </w:rPr>
        <w:t>ио је у 2020. години 196.224 (за 48% мање него у 2012. години), а број корисника/ца новчане социјалне помоћи износио је 218.166 (за 13% мање)</w:t>
      </w:r>
      <w:r>
        <w:rPr>
          <w:color w:val="000000"/>
          <w:vertAlign w:val="superscript"/>
        </w:rPr>
        <w:t>817</w:t>
      </w:r>
      <w:r>
        <w:rPr>
          <w:color w:val="000000"/>
        </w:rPr>
        <w:t>. У Нацрту стратегије социјалне заштите наводи се да породице којима је новчана социјална помоћ једини извор при</w:t>
      </w:r>
      <w:r>
        <w:rPr>
          <w:color w:val="000000"/>
        </w:rPr>
        <w:t>хода добијају за 40% средстава мање од оних која би им била потребна да достигну праг ризика од сиромаштва, као и да је низак и ниво коришћења права старих на новчану социјалну помоћ.</w:t>
      </w:r>
      <w:r>
        <w:rPr>
          <w:color w:val="000000"/>
          <w:vertAlign w:val="superscript"/>
        </w:rPr>
        <w:t>818</w:t>
      </w:r>
      <w:r>
        <w:rPr>
          <w:color w:val="000000"/>
        </w:rPr>
        <w:t xml:space="preserve"> Само око 10% старијих користи новчану социјалну помоћ, иако око 12% с</w:t>
      </w:r>
      <w:r>
        <w:rPr>
          <w:color w:val="000000"/>
        </w:rPr>
        <w:t>таријих од 65 година не остварује право на пензију.</w:t>
      </w:r>
      <w:r>
        <w:rPr>
          <w:color w:val="000000"/>
          <w:vertAlign w:val="superscript"/>
        </w:rPr>
        <w:t>819</w:t>
      </w:r>
      <w:r>
        <w:rPr>
          <w:color w:val="000000"/>
        </w:rPr>
        <w:t xml:space="preserve"> Одредбе Закона о финансијској подршци породици са децом</w:t>
      </w:r>
      <w:r>
        <w:rPr>
          <w:color w:val="000000"/>
          <w:vertAlign w:val="superscript"/>
        </w:rPr>
        <w:t>820</w:t>
      </w:r>
      <w:r>
        <w:rPr>
          <w:color w:val="000000"/>
        </w:rPr>
        <w:t xml:space="preserve"> треба да допринесу побољшању услова за задовољавање основних потреба деце, дају посебан подстицај за рађање деце и пружају подршку материјално</w:t>
      </w:r>
      <w:r>
        <w:rPr>
          <w:color w:val="000000"/>
        </w:rPr>
        <w:t xml:space="preserve"> угроженим породицама, породицама са децом са сметњама у развоју и децом са инвалидитетом, као и деци без родитељског старања.</w:t>
      </w:r>
      <w:r>
        <w:rPr>
          <w:color w:val="000000"/>
          <w:vertAlign w:val="superscript"/>
        </w:rPr>
        <w:t>821</w:t>
      </w:r>
      <w:r>
        <w:rPr>
          <w:color w:val="000000"/>
        </w:rPr>
        <w:t xml:space="preserve"> Дечији додатак се, због провере материјалног стања родитеља пре доделе, сматра мером смањења сиромаштва, док је родитељски дод</w:t>
      </w:r>
      <w:r>
        <w:rPr>
          <w:color w:val="000000"/>
        </w:rPr>
        <w:t>атак вид популационе политике. Изменама и допунама Закона о финансијској подршци породици са децом</w:t>
      </w:r>
      <w:r>
        <w:rPr>
          <w:color w:val="000000"/>
          <w:vertAlign w:val="superscript"/>
        </w:rPr>
        <w:t>822</w:t>
      </w:r>
      <w:r>
        <w:rPr>
          <w:color w:val="000000"/>
        </w:rPr>
        <w:t xml:space="preserve"> отклоњено је неколико дискриминаторних одредби, као што је различита дужина радног стажа за стицање права на накнаду зараде током породиљског одсуства. Же</w:t>
      </w:r>
      <w:r>
        <w:rPr>
          <w:color w:val="000000"/>
        </w:rPr>
        <w:t>нама са различитим радним статусом за остваривање овог права је потребно 18 месеци непрекидног запослења, што важи и за пољопривреднице које су раније могле да остваре ово право уколико су 24 месеци плаћале доприносе за обавезно пензијско и инвалидско осиг</w:t>
      </w:r>
      <w:r>
        <w:rPr>
          <w:color w:val="000000"/>
        </w:rPr>
        <w:t>урање. Породиље не могу примати накнаду мању од минималне зараде, утврђену на дан почетка породиљског одсуства, до трећег месеца живота детета. Изменама овог закона омогућено је да родитељи који имају болесно дете не морају више да бирају између накнаде за</w:t>
      </w:r>
      <w:r>
        <w:rPr>
          <w:color w:val="000000"/>
        </w:rPr>
        <w:t>раде за време одсуства са рада ради посебне неге детета и додатка за помоћ и негу које дете има по основу инвалидитета. Међутим, предузетнице нису изједначене са запосленим женама/родитељима у остваривању права на накнаду за време породиљског одсуства и од</w:t>
      </w:r>
      <w:r>
        <w:rPr>
          <w:color w:val="000000"/>
        </w:rPr>
        <w:t>суства ради неге детета. За време важења претходног закона, положај предузетница био је донекле изједначен са запосленим трудницама и мајкама пошто су могле да користе право на накнаду за време одсуства на исти начин, а сада су сврстане у категорију остале</w:t>
      </w:r>
      <w:r>
        <w:rPr>
          <w:color w:val="000000"/>
        </w:rPr>
        <w:t xml:space="preserve"> накнаде по основу рођења и неге детета и посебне неге </w:t>
      </w:r>
      <w:r>
        <w:rPr>
          <w:color w:val="000000"/>
        </w:rPr>
        <w:lastRenderedPageBreak/>
        <w:t>детета, дакле као све жене које су стаж стекле ван радног односа. На овај начин је њихов положај погоршан у погледу трајања, услова за остваривање, односно висине накнаде коју примају, а лишене су и пр</w:t>
      </w:r>
      <w:r>
        <w:rPr>
          <w:color w:val="000000"/>
        </w:rPr>
        <w:t>ава која су раније имале, на накнаду за треће и свако наредно дете у трајању од две године. Овакве законске одредбе утичу на професионалне изборе предузетница, смањују њихове предузетничке шансе и присиљавају их да буду запослене, а не послодавци. Поставља</w:t>
      </w:r>
      <w:r>
        <w:rPr>
          <w:color w:val="000000"/>
        </w:rPr>
        <w:t xml:space="preserve"> се и питање права очева предузетника да користе одсуство ради неге детета и других животних ситуација које због законских препрека не могу да се решавају, те се захтева промена система права за регистроване предузетнике/це.</w:t>
      </w:r>
      <w:r>
        <w:rPr>
          <w:color w:val="000000"/>
          <w:vertAlign w:val="superscript"/>
        </w:rPr>
        <w:t>823</w:t>
      </w:r>
      <w:r>
        <w:rPr>
          <w:color w:val="000000"/>
        </w:rPr>
        <w:t xml:space="preserve"> На локалном нивоу, најчешће </w:t>
      </w:r>
      <w:r>
        <w:rPr>
          <w:color w:val="000000"/>
        </w:rPr>
        <w:t>мере подршке родитељству су: једнократне новчане помоћи трудницама, породиљама, пакети опреме за новорођенче, као и ауто седишта, али ефекти мера још нису познати.</w:t>
      </w:r>
      <w:r>
        <w:rPr>
          <w:color w:val="000000"/>
          <w:vertAlign w:val="superscript"/>
        </w:rPr>
        <w:t>824</w:t>
      </w:r>
      <w:r>
        <w:rPr>
          <w:color w:val="000000"/>
        </w:rPr>
        <w:t xml:space="preserve"> Иако нормативно, сви/е грађани/ке имају право на услуге социјалне заштите, упитна је њихо</w:t>
      </w:r>
      <w:r>
        <w:rPr>
          <w:color w:val="000000"/>
        </w:rPr>
        <w:t>ва географска, физичка и финансијска доступност. ЦСР постоје у скоро свим општинама/градовима, али дневне услуге социјалне заштите нису развијене у свим општинама, посебно не у сеоским срединама, не пружају се континуирано током целе године, а обухват кори</w:t>
      </w:r>
      <w:r>
        <w:rPr>
          <w:color w:val="000000"/>
        </w:rPr>
        <w:t>сника/ца не одговара њиховим потребама.</w:t>
      </w:r>
      <w:r>
        <w:rPr>
          <w:color w:val="000000"/>
          <w:vertAlign w:val="superscript"/>
        </w:rPr>
        <w:t>825</w:t>
      </w:r>
      <w:r>
        <w:rPr>
          <w:color w:val="000000"/>
        </w:rPr>
        <w:t xml:space="preserve"> Потенцијални/е корисници/е услуга због болести, теже покретљивости и недостатка укључили/е у постојеће услуге.</w:t>
      </w:r>
      <w:r>
        <w:rPr>
          <w:color w:val="000000"/>
          <w:vertAlign w:val="superscript"/>
        </w:rPr>
        <w:t>826</w:t>
      </w:r>
      <w:r>
        <w:rPr>
          <w:color w:val="000000"/>
        </w:rPr>
        <w:t xml:space="preserve"> Социјалне услуге у заједнициматеријалних средстава нису у стању да одлазе у град да би се годишње к</w:t>
      </w:r>
      <w:r>
        <w:rPr>
          <w:color w:val="000000"/>
        </w:rPr>
        <w:t>ористи око 50 хиљада особа. У установама за смештај одраслих и старијих у 2018. години било је 23.415 корисника, што је за 22% више него у 2016. години</w:t>
      </w:r>
      <w:r>
        <w:rPr>
          <w:color w:val="000000"/>
          <w:vertAlign w:val="superscript"/>
        </w:rPr>
        <w:t>827</w:t>
      </w:r>
      <w:r>
        <w:rPr>
          <w:color w:val="000000"/>
        </w:rPr>
        <w:t>, док је дневне услуге у локалној заједници користило око 22 хиљаде корисника/корисница, већина из гра</w:t>
      </w:r>
      <w:r>
        <w:rPr>
          <w:color w:val="000000"/>
        </w:rPr>
        <w:t>дских средина. Жене чине више од половине корисника услуга помоћ у кући, дневни боравак за одрасле и старије и услуге свратиште.</w:t>
      </w:r>
      <w:r>
        <w:rPr>
          <w:color w:val="000000"/>
          <w:vertAlign w:val="superscript"/>
        </w:rPr>
        <w:t>828</w:t>
      </w:r>
      <w:r>
        <w:rPr>
          <w:color w:val="000000"/>
        </w:rPr>
        <w:t xml:space="preserve"> Изразито је мали број услуга социјалне заштите усмерен директно на жене које преживљавају насиље. Одлуке о правима и услугам</w:t>
      </w:r>
      <w:r>
        <w:rPr>
          <w:color w:val="000000"/>
        </w:rPr>
        <w:t>а у социјалној заштити које доносе ЈЛС у складу са Законом о социјалној заштити представљају само основу за њихово остваривање у пракси, али не одговарају на питање колики број жена је имао потребу и користио је неку од услуга, нити говоре о развоју услуга</w:t>
      </w:r>
      <w:r>
        <w:rPr>
          <w:color w:val="000000"/>
        </w:rPr>
        <w:t>, плуралитету пружалаца, квалитету услуга и стручног рада, о чему би требало да постоје јавно доступни подаци.</w:t>
      </w:r>
      <w:r>
        <w:rPr>
          <w:color w:val="000000"/>
          <w:vertAlign w:val="superscript"/>
        </w:rPr>
        <w:t>829</w:t>
      </w:r>
      <w:r>
        <w:rPr>
          <w:color w:val="000000"/>
        </w:rPr>
        <w:t xml:space="preserve"> Тек Закон о родној равноправности</w:t>
      </w:r>
      <w:r>
        <w:rPr>
          <w:color w:val="000000"/>
          <w:vertAlign w:val="superscript"/>
        </w:rPr>
        <w:t>830</w:t>
      </w:r>
      <w:r>
        <w:rPr>
          <w:color w:val="000000"/>
        </w:rPr>
        <w:t xml:space="preserve"> направио је разлику између општих и специјализованих услуга подршке за жртве родно заснованог насиља</w:t>
      </w:r>
      <w:r>
        <w:rPr>
          <w:color w:val="000000"/>
          <w:vertAlign w:val="superscript"/>
        </w:rPr>
        <w:t>831</w:t>
      </w:r>
      <w:r>
        <w:rPr>
          <w:color w:val="000000"/>
        </w:rPr>
        <w:t xml:space="preserve">, </w:t>
      </w:r>
      <w:r>
        <w:rPr>
          <w:color w:val="000000"/>
        </w:rPr>
        <w:t>али не и други закони и стратешки документи. Проблеми постоје и у погледу одрживости услуга, док су женске организације које пружају лиценциране услуге у неповољнијем положају од пружалаца услуга у јавном сектору.</w:t>
      </w:r>
      <w:r>
        <w:rPr>
          <w:color w:val="000000"/>
          <w:vertAlign w:val="superscript"/>
        </w:rPr>
        <w:t>832</w:t>
      </w:r>
      <w:r>
        <w:rPr>
          <w:color w:val="000000"/>
        </w:rPr>
        <w:t xml:space="preserve"> Све општине у Републици Србији имају оп</w:t>
      </w:r>
      <w:r>
        <w:rPr>
          <w:color w:val="000000"/>
        </w:rPr>
        <w:t>ште услуге за жене жртве насиља које пружају ЦСР и то: саветодавну подршку и друге услуге породично–правне заштите, материјалну подршку, смештај у прихватилишта и сигурне куће (15 сигурних кућа). ЦСР у друге установе у заједници, уколико постоје.</w:t>
      </w:r>
      <w:r>
        <w:rPr>
          <w:color w:val="000000"/>
          <w:vertAlign w:val="superscript"/>
        </w:rPr>
        <w:t>833</w:t>
      </w:r>
    </w:p>
    <w:p w:rsidR="00BC3CE6" w:rsidRDefault="009A2DE5">
      <w:pPr>
        <w:spacing w:after="150"/>
      </w:pPr>
      <w:r>
        <w:rPr>
          <w:color w:val="000000"/>
        </w:rPr>
        <w:t>Соција</w:t>
      </w:r>
      <w:r>
        <w:rPr>
          <w:color w:val="000000"/>
        </w:rPr>
        <w:t xml:space="preserve">лна политика и економија старања. Евалуација Националног АП за родну равноправност за период од 2016. до 2018. године показала је да су </w:t>
      </w:r>
      <w:r>
        <w:rPr>
          <w:color w:val="000000"/>
        </w:rPr>
        <w:lastRenderedPageBreak/>
        <w:t>мере за уродњавање јавне политике у области социјалне политике и економије старања дале ограничене резултате јер се осла</w:t>
      </w:r>
      <w:r>
        <w:rPr>
          <w:color w:val="000000"/>
        </w:rPr>
        <w:t>њају на кампање за подизање свести а не на законске интервенције.</w:t>
      </w:r>
      <w:r>
        <w:rPr>
          <w:color w:val="000000"/>
          <w:vertAlign w:val="superscript"/>
        </w:rPr>
        <w:t>834</w:t>
      </w:r>
      <w:r>
        <w:rPr>
          <w:color w:val="000000"/>
        </w:rPr>
        <w:t xml:space="preserve"> Извештај о индексу родне равноправности показује да је учешће жена и мушкараца у родитељству и економији старања област знатне родне неравноправности, јер свакодневно чак 67,9% жена кува и/или обавља рад у кући и само 11,5% мушкараца, док послове бриге о </w:t>
      </w:r>
      <w:r>
        <w:rPr>
          <w:color w:val="000000"/>
        </w:rPr>
        <w:t>старијима, деци и члановима породице са инвалидитетом обавља 41,2% жена и 29,5% мушкараца.</w:t>
      </w:r>
      <w:r>
        <w:rPr>
          <w:color w:val="000000"/>
          <w:vertAlign w:val="superscript"/>
        </w:rPr>
        <w:t>835</w:t>
      </w:r>
      <w:r>
        <w:rPr>
          <w:color w:val="000000"/>
        </w:rPr>
        <w:t xml:space="preserve"> Жене троше око 20% свог времена на неплаћене послове, а брига о деци и другима у породици је разлог што раде краће од пуног радног времена и нису активне</w:t>
      </w:r>
      <w:r>
        <w:rPr>
          <w:color w:val="000000"/>
          <w:vertAlign w:val="superscript"/>
        </w:rPr>
        <w:t>836</w:t>
      </w:r>
      <w:r>
        <w:rPr>
          <w:color w:val="000000"/>
        </w:rPr>
        <w:t xml:space="preserve"> на тр</w:t>
      </w:r>
      <w:r>
        <w:rPr>
          <w:color w:val="000000"/>
        </w:rPr>
        <w:t>жишту рада.</w:t>
      </w:r>
      <w:r>
        <w:rPr>
          <w:color w:val="000000"/>
          <w:vertAlign w:val="superscript"/>
        </w:rPr>
        <w:t>837</w:t>
      </w:r>
      <w:r>
        <w:rPr>
          <w:color w:val="000000"/>
        </w:rPr>
        <w:t xml:space="preserve"> Терет бриге за децу и породицу утиче на могућности жена да се запошљавају, али и благостање запослених жена које због неравнотеже у одговорностима подносе двоструки терет плаћеног и неплаћеног рада.</w:t>
      </w:r>
      <w:r>
        <w:rPr>
          <w:color w:val="000000"/>
          <w:vertAlign w:val="superscript"/>
        </w:rPr>
        <w:t>838</w:t>
      </w:r>
      <w:r>
        <w:rPr>
          <w:color w:val="000000"/>
        </w:rPr>
        <w:t xml:space="preserve"> Трансформација родних односа у родитељс</w:t>
      </w:r>
      <w:r>
        <w:rPr>
          <w:color w:val="000000"/>
        </w:rPr>
        <w:t>тву и економији старања високо су релевантни имајући у виду да је ово област у којој родне неравноправности веома упорно опстају.</w:t>
      </w:r>
      <w:r>
        <w:rPr>
          <w:color w:val="000000"/>
          <w:vertAlign w:val="superscript"/>
        </w:rPr>
        <w:t>839</w:t>
      </w:r>
      <w:r>
        <w:rPr>
          <w:color w:val="000000"/>
        </w:rPr>
        <w:t xml:space="preserve"> На овом пољу нису остварени резултати јер мере за остварење циља нису биле довољно одређене, а оне које се односе на креира</w:t>
      </w:r>
      <w:r>
        <w:rPr>
          <w:color w:val="000000"/>
        </w:rPr>
        <w:t>ње нових услуга за бригу о деци, старијима и зависним особама углавном су усмерене на смањивање терета које носе жене, а не на прерасподелу одговорности између жена и мушкараца.</w:t>
      </w:r>
      <w:r>
        <w:rPr>
          <w:color w:val="000000"/>
          <w:vertAlign w:val="superscript"/>
        </w:rPr>
        <w:t>840</w:t>
      </w:r>
      <w:r>
        <w:rPr>
          <w:color w:val="000000"/>
        </w:rPr>
        <w:t xml:space="preserve"> У циљу унапређења стања у овој области CEDAW комитет позива државу да уведе</w:t>
      </w:r>
      <w:r>
        <w:rPr>
          <w:color w:val="000000"/>
        </w:rPr>
        <w:t xml:space="preserve"> флексибилне радне аранжмане и за жене и за мушкарце, прошири обезбеђење услуга установа за децу и за негу особа које зависе од тих услуга, промовише једнаку расподелу породичних одговорности и одговорности у домаћинству, као и одговорно очинство, укључују</w:t>
      </w:r>
      <w:r>
        <w:rPr>
          <w:color w:val="000000"/>
        </w:rPr>
        <w:t>ћи увођење плаћеног очинског одсуства.</w:t>
      </w:r>
      <w:r>
        <w:rPr>
          <w:color w:val="000000"/>
          <w:vertAlign w:val="superscript"/>
        </w:rPr>
        <w:t>841</w:t>
      </w:r>
      <w:r>
        <w:rPr>
          <w:color w:val="000000"/>
        </w:rPr>
        <w:t xml:space="preserve"> Мере за усклађивање рада и родитељства треба да допринесу отклањању родног јаза.</w:t>
      </w:r>
      <w:r>
        <w:rPr>
          <w:color w:val="000000"/>
          <w:vertAlign w:val="superscript"/>
        </w:rPr>
        <w:t>842</w:t>
      </w:r>
    </w:p>
    <w:p w:rsidR="00BC3CE6" w:rsidRDefault="009A2DE5">
      <w:pPr>
        <w:spacing w:after="150"/>
      </w:pPr>
      <w:r>
        <w:rPr>
          <w:color w:val="000000"/>
        </w:rPr>
        <w:t>У извештајима Европске комисије (2018. и 2019. годину) у оквиру преговора о Поглављу – 19 констатује се „умерена припремљеност”, о</w:t>
      </w:r>
      <w:r>
        <w:rPr>
          <w:color w:val="000000"/>
        </w:rPr>
        <w:t>дносно, дају препоруке, пре свега, у вези са повећањем финансијских и институционалних ресурса за запошљавање и социјалну политику, њихово систематско усмерење на младе, жене и друга незапослена лица, побољшање адекватности система социјалних давања и знат</w:t>
      </w:r>
      <w:r>
        <w:rPr>
          <w:color w:val="000000"/>
        </w:rPr>
        <w:t>но јачање социјалног дијалога на свим нивоима, побољшање квалитета услуга, појачан надзор и регулаторне механизме, праћење и евалуацију.</w:t>
      </w:r>
      <w:r>
        <w:rPr>
          <w:color w:val="000000"/>
          <w:vertAlign w:val="superscript"/>
        </w:rPr>
        <w:t>843</w:t>
      </w:r>
      <w:r>
        <w:rPr>
          <w:color w:val="000000"/>
        </w:rPr>
        <w:t xml:space="preserve"> У Извештају о напретку ЖПРС који се односи на социјалну политику и економију старања наводи се да не постоје подаци </w:t>
      </w:r>
      <w:r>
        <w:rPr>
          <w:color w:val="000000"/>
        </w:rPr>
        <w:t>о проценту жена и мушкараца без личних прихода, по годинама и образовању. Више од 144 хиљаде жена старијих од 65 година (14,37%) и више од 25 хиљада мушкараца (4,25%) немају пензију. Старосне пензије код жена су на 84% висине старосних пензија мушкараца.</w:t>
      </w:r>
      <w:r>
        <w:rPr>
          <w:color w:val="000000"/>
          <w:vertAlign w:val="superscript"/>
        </w:rPr>
        <w:t>84</w:t>
      </w:r>
      <w:r>
        <w:rPr>
          <w:color w:val="000000"/>
          <w:vertAlign w:val="superscript"/>
        </w:rPr>
        <w:t>4</w:t>
      </w:r>
    </w:p>
    <w:p w:rsidR="00BC3CE6" w:rsidRDefault="009A2DE5">
      <w:pPr>
        <w:spacing w:after="150"/>
      </w:pPr>
      <w:r>
        <w:rPr>
          <w:color w:val="000000"/>
        </w:rPr>
        <w:t>Није познат проценат становништва без приступа социјалним услугама на локалном нивоу, по полу и врсти услуга које недостају</w:t>
      </w:r>
      <w:r>
        <w:rPr>
          <w:color w:val="000000"/>
          <w:vertAlign w:val="superscript"/>
        </w:rPr>
        <w:t>845</w:t>
      </w:r>
      <w:r>
        <w:rPr>
          <w:color w:val="000000"/>
        </w:rPr>
        <w:t xml:space="preserve">, као ни подаци о броју становника/ца који/е имају потребу за услугама социјалне заштите </w:t>
      </w:r>
      <w:r>
        <w:rPr>
          <w:color w:val="000000"/>
        </w:rPr>
        <w:lastRenderedPageBreak/>
        <w:t>(нпр. домски смештај за старије, подршк</w:t>
      </w:r>
      <w:r>
        <w:rPr>
          <w:color w:val="000000"/>
        </w:rPr>
        <w:t>а за самостални живот особама са инвалидитетом, становање уз подршку за ОСИ, специјализовано хранитељство, помоћ у кући за децу са сметњама у развоју).</w:t>
      </w:r>
      <w:r>
        <w:rPr>
          <w:color w:val="000000"/>
          <w:vertAlign w:val="superscript"/>
        </w:rPr>
        <w:t>846</w:t>
      </w:r>
      <w:r>
        <w:rPr>
          <w:color w:val="000000"/>
        </w:rPr>
        <w:t xml:space="preserve"> Од октобра 2016. до јуна 2020. године било је 345 јавних конкурса за набавку социјалних услуга, најви</w:t>
      </w:r>
      <w:r>
        <w:rPr>
          <w:color w:val="000000"/>
        </w:rPr>
        <w:t>ше за: помоћ у кући, лични пратилац детета, персонални асистент, дневни боравак за децу и младе са сметњама у развоју. Међутим, повећање броја јавних конкурса не значи да је повећан број корисника/ца услуга нити број општина/градова у којима се оне пружају</w:t>
      </w:r>
      <w:r>
        <w:rPr>
          <w:color w:val="000000"/>
        </w:rPr>
        <w:t>. Учињен је напредак у обезбеђењу плурализма пружалаца услуга: лиценце је у 2021. години, према подацима МРЗБСП добило 662 пружалаца услуга у заједници.</w:t>
      </w:r>
      <w:r>
        <w:rPr>
          <w:color w:val="000000"/>
          <w:vertAlign w:val="superscript"/>
        </w:rPr>
        <w:t>847</w:t>
      </w:r>
      <w:r>
        <w:rPr>
          <w:color w:val="000000"/>
        </w:rPr>
        <w:t xml:space="preserve"> Према подацима ЖПРС 136 пружлаца су из цивилног сектора, али је проблем што лиценциране ОЦД немају у</w:t>
      </w:r>
      <w:r>
        <w:rPr>
          <w:color w:val="000000"/>
        </w:rPr>
        <w:t>век шансу да добију средства од локалне самоуправе за пружање ових услуга.</w:t>
      </w:r>
      <w:r>
        <w:rPr>
          <w:color w:val="000000"/>
          <w:vertAlign w:val="superscript"/>
        </w:rPr>
        <w:t>848</w:t>
      </w:r>
      <w:r>
        <w:rPr>
          <w:color w:val="000000"/>
        </w:rPr>
        <w:t xml:space="preserve"> Према подацима МРЗБСП услугу сос телефона за жртве насиља у 90% а услугу прихватилишта за жртве насиља у 40% случајева пружају ОЦД.</w:t>
      </w:r>
      <w:r>
        <w:rPr>
          <w:color w:val="000000"/>
          <w:vertAlign w:val="superscript"/>
        </w:rPr>
        <w:t>849</w:t>
      </w:r>
      <w:r>
        <w:rPr>
          <w:color w:val="000000"/>
        </w:rPr>
        <w:t xml:space="preserve"> Кад је реч о броју иновативних социјалних у</w:t>
      </w:r>
      <w:r>
        <w:rPr>
          <w:color w:val="000000"/>
        </w:rPr>
        <w:t>слуга које се финансирају из буџета, ЖПРС је указала на значај отварања (почетком 2019. године) прихватилишта за жртве трговине људима, намењеног женама и девојкама старијим од 16 година, као првог таквог прихватилишта у систему социјалне заштите.</w:t>
      </w:r>
    </w:p>
    <w:p w:rsidR="00BC3CE6" w:rsidRDefault="009A2DE5">
      <w:pPr>
        <w:spacing w:after="150"/>
      </w:pPr>
      <w:r>
        <w:rPr>
          <w:color w:val="000000"/>
        </w:rPr>
        <w:t xml:space="preserve">Смањење </w:t>
      </w:r>
      <w:r>
        <w:rPr>
          <w:color w:val="000000"/>
        </w:rPr>
        <w:t>сиромаштва и социјална заштита рањивих група. Жене са инвалидитетом су једна од најугроженијих група становништва када је реч о стопи и ризику од сиромаштва, а најважнији фактори су: радни статус, образовање, број чланова домаћинства, пребивалиште и број д</w:t>
      </w:r>
      <w:r>
        <w:rPr>
          <w:color w:val="000000"/>
        </w:rPr>
        <w:t>еце. Жене са инвалидитетом су веома угрожене због дискриминације и препрека у остваривању својих права. Дискриминација је посебно изражена у здравственој заштити, образовању, запошљавању, у приступу социјалној заштити и др.</w:t>
      </w:r>
      <w:r>
        <w:rPr>
          <w:color w:val="000000"/>
          <w:vertAlign w:val="superscript"/>
        </w:rPr>
        <w:t>850</w:t>
      </w:r>
      <w:r>
        <w:rPr>
          <w:color w:val="000000"/>
        </w:rPr>
        <w:t xml:space="preserve"> Многе, посебно старије жене с</w:t>
      </w:r>
      <w:r>
        <w:rPr>
          <w:color w:val="000000"/>
        </w:rPr>
        <w:t>а инвалидитетом воде изолован живот–не могу да изађу из својих домова или су и у њима скучене због разних препрека.</w:t>
      </w:r>
      <w:r>
        <w:rPr>
          <w:color w:val="000000"/>
          <w:vertAlign w:val="superscript"/>
        </w:rPr>
        <w:t>851</w:t>
      </w:r>
      <w:r>
        <w:rPr>
          <w:color w:val="000000"/>
        </w:rPr>
        <w:t xml:space="preserve"> Жене са инвалидитетом се суочавају са проблемом приступачности и доступности услуга због непостојања капацитета и/или прилагођености.</w:t>
      </w:r>
      <w:r>
        <w:rPr>
          <w:color w:val="000000"/>
          <w:vertAlign w:val="superscript"/>
        </w:rPr>
        <w:t>852</w:t>
      </w:r>
      <w:r>
        <w:rPr>
          <w:color w:val="000000"/>
        </w:rPr>
        <w:t xml:space="preserve"> </w:t>
      </w:r>
      <w:r>
        <w:rPr>
          <w:color w:val="000000"/>
        </w:rPr>
        <w:t>Недостатак одговарајућих услуга и служби подршке и адекватног образовања резултује ниским економским статусом и зависности од породице или онога ко пружа негу.</w:t>
      </w:r>
      <w:r>
        <w:rPr>
          <w:color w:val="000000"/>
          <w:vertAlign w:val="superscript"/>
        </w:rPr>
        <w:t>853</w:t>
      </w:r>
      <w:r>
        <w:rPr>
          <w:color w:val="000000"/>
        </w:rPr>
        <w:t xml:space="preserve"> Велика препрека је недовољна услуга персоналне асистенције. Према расположивим подацима, само</w:t>
      </w:r>
      <w:r>
        <w:rPr>
          <w:color w:val="000000"/>
        </w:rPr>
        <w:t xml:space="preserve"> око 200 персоналних асистената пружа услуге за 200 корисника/ца које се финансирају из буџета 12 локалних самоуправа.</w:t>
      </w:r>
      <w:r>
        <w:rPr>
          <w:color w:val="000000"/>
          <w:vertAlign w:val="superscript"/>
        </w:rPr>
        <w:t>854</w:t>
      </w:r>
      <w:r>
        <w:rPr>
          <w:color w:val="000000"/>
        </w:rPr>
        <w:t xml:space="preserve"> Када је реч о физичкој доступности просторијама ЦСР, последњи подаци су из 2014. године када је само 32% ових установа имало рампу за </w:t>
      </w:r>
      <w:r>
        <w:rPr>
          <w:color w:val="000000"/>
        </w:rPr>
        <w:t>прилаз објекту, 39% приступачан тоалет, 62% приступачно приземље и 2% је имало лифт.</w:t>
      </w:r>
      <w:r>
        <w:rPr>
          <w:color w:val="000000"/>
          <w:vertAlign w:val="superscript"/>
        </w:rPr>
        <w:t>855</w:t>
      </w:r>
      <w:r>
        <w:rPr>
          <w:color w:val="000000"/>
        </w:rPr>
        <w:t xml:space="preserve"> Не постоје званични подаци о географској доступности услуга, а ни поузданих података у којој су мери женама са инвалидитетом доступне информације о правима на заштиту и</w:t>
      </w:r>
      <w:r>
        <w:rPr>
          <w:color w:val="000000"/>
        </w:rPr>
        <w:t xml:space="preserve"> подршку, односно услугама, јер установе социјалне заштите најчешће о томе информишу преко својих сајтова.</w:t>
      </w:r>
      <w:r>
        <w:rPr>
          <w:color w:val="000000"/>
          <w:vertAlign w:val="superscript"/>
        </w:rPr>
        <w:t>856</w:t>
      </w:r>
      <w:r>
        <w:rPr>
          <w:color w:val="000000"/>
        </w:rPr>
        <w:t xml:space="preserve"> Реформа система социјалне заштите није допринела пoбoљшaњу пoлoжaja oсoбa сa интeлeктуaлним и психoсoциjaлним инвaлидитeтoм, jeр и дaљe нeмa </w:t>
      </w:r>
      <w:r>
        <w:rPr>
          <w:color w:val="000000"/>
        </w:rPr>
        <w:lastRenderedPageBreak/>
        <w:t>aдeкв</w:t>
      </w:r>
      <w:r>
        <w:rPr>
          <w:color w:val="000000"/>
        </w:rPr>
        <w:t>aтних услугa у зajeдници, а систeм пoдршкe прaктичнo ниje рeфoрмисaн.</w:t>
      </w:r>
      <w:r>
        <w:rPr>
          <w:color w:val="000000"/>
          <w:vertAlign w:val="superscript"/>
        </w:rPr>
        <w:t>857</w:t>
      </w:r>
      <w:r>
        <w:rPr>
          <w:color w:val="000000"/>
        </w:rPr>
        <w:t xml:space="preserve"> Подаци о социјалном и економском положају Рома/Ромкиња су непотпуни и несистематизовани а званична статистика о сиромаштву не садржи податке о националној припадности сиромашних, због</w:t>
      </w:r>
      <w:r>
        <w:rPr>
          <w:color w:val="000000"/>
        </w:rPr>
        <w:t xml:space="preserve"> чега је Комитет УН за економска и социјална права тражио да се ови подаци прикупљају редовно.</w:t>
      </w:r>
      <w:r>
        <w:rPr>
          <w:color w:val="000000"/>
          <w:vertAlign w:val="superscript"/>
        </w:rPr>
        <w:t>858</w:t>
      </w:r>
      <w:r>
        <w:rPr>
          <w:color w:val="000000"/>
        </w:rPr>
        <w:t xml:space="preserve"> Ромкиње су у неповољнијем положају због лошег образовног статуса, изложености дечијим браковима и раног рађања, незпослености, лоших услова живота, економске </w:t>
      </w:r>
      <w:r>
        <w:rPr>
          <w:color w:val="000000"/>
        </w:rPr>
        <w:t>зависности и др.</w:t>
      </w:r>
      <w:r>
        <w:rPr>
          <w:color w:val="000000"/>
          <w:vertAlign w:val="superscript"/>
        </w:rPr>
        <w:t>859</w:t>
      </w:r>
      <w:r>
        <w:rPr>
          <w:color w:val="000000"/>
        </w:rPr>
        <w:t xml:space="preserve"> Дечији бракови су последица родно засноване дискриминације, сиромаштва, недостатка образовања и неадекватног одговора институција. Девојчице су приморане да одустану од школовања чиме им се смањују изгледи за запошљавање, повећава рањив</w:t>
      </w:r>
      <w:r>
        <w:rPr>
          <w:color w:val="000000"/>
        </w:rPr>
        <w:t>ост на насиље у породици и партнерским односима и ране трудноће што доводи до погоршања здравственог стања и остајања у кругу сиромаштва.</w:t>
      </w:r>
      <w:r>
        <w:rPr>
          <w:color w:val="000000"/>
          <w:vertAlign w:val="superscript"/>
        </w:rPr>
        <w:t>860</w:t>
      </w:r>
      <w:r>
        <w:rPr>
          <w:color w:val="000000"/>
        </w:rPr>
        <w:t xml:space="preserve"> Један од позитивних примера су здравствене медијаторке, које, осим подршке у здравственим установама, помажу лакшем</w:t>
      </w:r>
      <w:r>
        <w:rPr>
          <w:color w:val="000000"/>
        </w:rPr>
        <w:t xml:space="preserve"> приступу личним документима, правима из социјалне заштите, здравственом осигурању, тржишту рада, образовању итд.</w:t>
      </w:r>
      <w:r>
        <w:rPr>
          <w:color w:val="000000"/>
          <w:vertAlign w:val="superscript"/>
        </w:rPr>
        <w:t>861</w:t>
      </w:r>
      <w:r>
        <w:rPr>
          <w:color w:val="000000"/>
        </w:rPr>
        <w:t xml:space="preserve"> Жене које просечно живе дуже него мушкарци, дуже користе пензије и у неповољнијем су положају, што узрокује већу и дужу потребу за различит</w:t>
      </w:r>
      <w:r>
        <w:rPr>
          <w:color w:val="000000"/>
        </w:rPr>
        <w:t>им услугама помоћи и подршке ради обезбеђења њихових основних животних потреба.</w:t>
      </w:r>
      <w:r>
        <w:rPr>
          <w:color w:val="000000"/>
          <w:vertAlign w:val="superscript"/>
        </w:rPr>
        <w:t>862</w:t>
      </w:r>
      <w:r>
        <w:rPr>
          <w:color w:val="000000"/>
        </w:rPr>
        <w:t xml:space="preserve"> Жене старије од 65 година имају и већи ризик од сиромаштва у односу на мушкарце, а стопа ризика старијих особа које живе у једночланим домаћинствима је изнад просека укупне </w:t>
      </w:r>
      <w:r>
        <w:rPr>
          <w:color w:val="000000"/>
        </w:rPr>
        <w:t>популације (27,2%).</w:t>
      </w:r>
      <w:r>
        <w:rPr>
          <w:color w:val="000000"/>
          <w:vertAlign w:val="superscript"/>
        </w:rPr>
        <w:t>863</w:t>
      </w:r>
      <w:r>
        <w:rPr>
          <w:color w:val="000000"/>
        </w:rPr>
        <w:t xml:space="preserve"> Услуга смештаја је најзаступљенија услуга социјалне заштите, а стално се повећава број корисника/ца међу којима преовлађују старији. У 2019. години преовлађивали су корисници/це преко 80 година, а међу њима 65% су биле жене, које чин</w:t>
      </w:r>
      <w:r>
        <w:rPr>
          <w:color w:val="000000"/>
        </w:rPr>
        <w:t>е више од половине укупног броја корисника услуга помоћ у кући за одрасле и старије и дневних боравака за одрасле и старије, али је ова услуга недовољна у сеоским подручјима.</w:t>
      </w:r>
      <w:r>
        <w:rPr>
          <w:color w:val="000000"/>
          <w:vertAlign w:val="superscript"/>
        </w:rPr>
        <w:t>864</w:t>
      </w:r>
      <w:r>
        <w:rPr>
          <w:color w:val="000000"/>
        </w:rPr>
        <w:t xml:space="preserve"> Повереник за заштиту равноправности је у истраживању положаја старијих жена ко</w:t>
      </w:r>
      <w:r>
        <w:rPr>
          <w:color w:val="000000"/>
        </w:rPr>
        <w:t>нстатовао да чак 88% испитаница има умањену способност да обављају свакодневне активности у периоду дужем од шест месеци и да се најчешће ослањају на ужу породицу, конкретно на децу и унуке (54,5%) и супруга (15,7%), а у мањој мери на комшије и пријатеље (</w:t>
      </w:r>
      <w:r>
        <w:rPr>
          <w:color w:val="000000"/>
        </w:rPr>
        <w:t xml:space="preserve">9,6%) и друге рођаке (5,7%). Испитанице веома ретко користе услуге социјалне заштите, тек 4% њих. Коришћење услуга социјалне заштите повезано је са самосталношћу, па услуге најчешће користе старије жене које изјављују да им је знатно ограничена способност </w:t>
      </w:r>
      <w:r>
        <w:rPr>
          <w:color w:val="000000"/>
        </w:rPr>
        <w:t>за обављање свакодневних активности (8,8%).</w:t>
      </w:r>
      <w:r>
        <w:rPr>
          <w:color w:val="000000"/>
          <w:vertAlign w:val="superscript"/>
        </w:rPr>
        <w:t>865</w:t>
      </w:r>
      <w:r>
        <w:rPr>
          <w:color w:val="000000"/>
        </w:rPr>
        <w:t xml:space="preserve"> У циљу отклањања уочених проблема CEDAW комитет</w:t>
      </w:r>
      <w:r>
        <w:rPr>
          <w:color w:val="000000"/>
          <w:vertAlign w:val="superscript"/>
        </w:rPr>
        <w:t>866</w:t>
      </w:r>
      <w:r>
        <w:rPr>
          <w:color w:val="000000"/>
        </w:rPr>
        <w:t xml:space="preserve"> позива државу да енергично настави са напорима да елиминише вишеструке и међусобно повезане облике дискриминације групе жена у неповољном положају, истовремен</w:t>
      </w:r>
      <w:r>
        <w:rPr>
          <w:color w:val="000000"/>
        </w:rPr>
        <w:t>о осигуравајући њихово економско оснаживање. Комитет охрабрује државу уговорницу да спроведе свеобухватну анализу за процену ситуације, посебних потреба и аспирација угрожених група жена, како би прикупила податке за унапређење законодавног оквира и развој</w:t>
      </w:r>
      <w:r>
        <w:rPr>
          <w:color w:val="000000"/>
        </w:rPr>
        <w:t xml:space="preserve"> политика</w:t>
      </w:r>
      <w:r>
        <w:rPr>
          <w:color w:val="000000"/>
          <w:vertAlign w:val="superscript"/>
        </w:rPr>
        <w:t>867</w:t>
      </w:r>
      <w:r>
        <w:rPr>
          <w:color w:val="000000"/>
        </w:rPr>
        <w:t xml:space="preserve"> </w:t>
      </w:r>
      <w:r>
        <w:rPr>
          <w:color w:val="000000"/>
        </w:rPr>
        <w:lastRenderedPageBreak/>
        <w:t>и да хитно сагледа ситуацију депривираних породица са једним родитељем, посебно оних које води мајка и обезбеди благовремену наплату алиментације за издржавање деце, укључујући и увођење механизма извршења у случају неизвршења.</w:t>
      </w:r>
      <w:r>
        <w:rPr>
          <w:color w:val="000000"/>
          <w:vertAlign w:val="superscript"/>
        </w:rPr>
        <w:t>868</w:t>
      </w:r>
    </w:p>
    <w:p w:rsidR="00BC3CE6" w:rsidRDefault="009A2DE5">
      <w:pPr>
        <w:spacing w:after="150"/>
        <w:jc w:val="both"/>
      </w:pPr>
      <w:r>
        <w:rPr>
          <w:i/>
          <w:color w:val="000000"/>
        </w:rPr>
        <w:t>––––––––</w:t>
      </w:r>
    </w:p>
    <w:p w:rsidR="00BC3CE6" w:rsidRDefault="009A2DE5">
      <w:pPr>
        <w:spacing w:after="150"/>
        <w:jc w:val="both"/>
      </w:pPr>
      <w:r>
        <w:rPr>
          <w:i/>
          <w:color w:val="000000"/>
        </w:rPr>
        <w:t>792</w:t>
      </w:r>
      <w:r>
        <w:rPr>
          <w:i/>
          <w:color w:val="000000"/>
        </w:rPr>
        <w:t xml:space="preserve"> Србија и Агенда 2030, мапирање националног стратешког оквира у односу на циљеве одрживог развоја, Влада РС Секретаријат за јавне политике, 2020, страна 20, доступно на: https://rsjp.gov.rs/wp-content/uploads/Srbija-i-Agenda-2030-novembar-2020.-lat.pdf, пр</w:t>
      </w:r>
      <w:r>
        <w:rPr>
          <w:i/>
          <w:color w:val="000000"/>
        </w:rPr>
        <w:t>иступ: 16.6.2021.</w:t>
      </w:r>
    </w:p>
    <w:p w:rsidR="00BC3CE6" w:rsidRDefault="009A2DE5">
      <w:pPr>
        <w:spacing w:after="150"/>
        <w:jc w:val="both"/>
      </w:pPr>
      <w:r>
        <w:rPr>
          <w:i/>
          <w:color w:val="000000"/>
        </w:rPr>
        <w:t>793 Игњатовић, Т. Социјална политика у Србији: да ли су поступци транспоновања правних тековина Европске уније и спровођења обавеза прихваћених међународних уговора у најбољем интересу корисника – сагледано из родне перспективе жена са ис</w:t>
      </w:r>
      <w:r>
        <w:rPr>
          <w:i/>
          <w:color w:val="000000"/>
        </w:rPr>
        <w:t>куством родно заснованог насиља?, 2020. страна 5. Доступно на: https://www.womenngo.org.rs/vesti/1599-socijalna-politika-u-srbiji-iz-rodne-i-perspektive-zena-sa-iskustvom-rodno-zasnovanog-nasilja, приступ: 9.5.2021.</w:t>
      </w:r>
    </w:p>
    <w:p w:rsidR="00BC3CE6" w:rsidRDefault="009A2DE5">
      <w:pPr>
        <w:spacing w:after="150"/>
        <w:jc w:val="both"/>
      </w:pPr>
      <w:r>
        <w:rPr>
          <w:i/>
          <w:color w:val="000000"/>
        </w:rPr>
        <w:t>794 „Службени гласник РС”, број 24/11.</w:t>
      </w:r>
    </w:p>
    <w:p w:rsidR="00BC3CE6" w:rsidRDefault="009A2DE5">
      <w:pPr>
        <w:spacing w:after="150"/>
        <w:jc w:val="both"/>
      </w:pPr>
      <w:r>
        <w:rPr>
          <w:i/>
          <w:color w:val="000000"/>
        </w:rPr>
        <w:t>7</w:t>
      </w:r>
      <w:r>
        <w:rPr>
          <w:i/>
          <w:color w:val="000000"/>
        </w:rPr>
        <w:t xml:space="preserve">95 Социјална заштита је организована друштвена делатност од јавног интереса чији је циљ пружање помоћи и оснаживање за самосталан и продуктиван живот у друштву појединаца и породица, као и спречавање настајања и отклањања последица социјалне искључености. </w:t>
      </w:r>
      <w:r>
        <w:rPr>
          <w:i/>
          <w:color w:val="000000"/>
        </w:rPr>
        <w:t>(члан 2. Закона о социјалној заштити)</w:t>
      </w:r>
    </w:p>
    <w:p w:rsidR="00BC3CE6" w:rsidRDefault="009A2DE5">
      <w:pPr>
        <w:spacing w:after="150"/>
        <w:jc w:val="both"/>
      </w:pPr>
      <w:r>
        <w:rPr>
          <w:i/>
          <w:color w:val="000000"/>
        </w:rPr>
        <w:t>796 Члан 4. Закона о социјалној заштити.</w:t>
      </w:r>
    </w:p>
    <w:p w:rsidR="00BC3CE6" w:rsidRDefault="009A2DE5">
      <w:pPr>
        <w:spacing w:after="150"/>
        <w:jc w:val="both"/>
      </w:pPr>
      <w:r>
        <w:rPr>
          <w:i/>
          <w:color w:val="000000"/>
        </w:rPr>
        <w:t xml:space="preserve">797 Циљеви социјалне заштите су: достизање, односно одржавање минималне материјалне сигурности и независности појединаца/ки и породице у задовољавању животних потреба, </w:t>
      </w:r>
      <w:r>
        <w:rPr>
          <w:i/>
          <w:color w:val="000000"/>
        </w:rPr>
        <w:t>обезбеђивање доступности услуга и остваривање права у социјалној заштити, стварање једнаких могућности и подстицање за самосталан живот, подстицање социјалне укључености, унапређење породичних односа, као и породичне, родне и међугенерацијске солидарности,</w:t>
      </w:r>
      <w:r>
        <w:rPr>
          <w:i/>
          <w:color w:val="000000"/>
        </w:rPr>
        <w:t xml:space="preserve"> предупређење злостављања, занемаривања и експлоатације, односно отклањање њихових последица. (члан 3. Закона о социјалној заштити)</w:t>
      </w:r>
    </w:p>
    <w:p w:rsidR="00BC3CE6" w:rsidRDefault="009A2DE5">
      <w:pPr>
        <w:spacing w:after="150"/>
        <w:jc w:val="both"/>
      </w:pPr>
      <w:r>
        <w:rPr>
          <w:i/>
          <w:color w:val="000000"/>
        </w:rPr>
        <w:t xml:space="preserve">798 У Нацрту стратегије социјалне заштите општи циљ је развијање интегративне и одрживе социјалне заштите која развија </w:t>
      </w:r>
      <w:r>
        <w:rPr>
          <w:i/>
          <w:color w:val="000000"/>
        </w:rPr>
        <w:t>услуге за очување и побољшање квалитета живота и благостања рањивих и маргинализованих група и појединаца.</w:t>
      </w:r>
    </w:p>
    <w:p w:rsidR="00BC3CE6" w:rsidRDefault="009A2DE5">
      <w:pPr>
        <w:spacing w:after="150"/>
        <w:jc w:val="both"/>
      </w:pPr>
      <w:r>
        <w:rPr>
          <w:i/>
          <w:color w:val="000000"/>
        </w:rPr>
        <w:t>799 Игњатовић, Т. Оп. цит. страна 14.</w:t>
      </w:r>
    </w:p>
    <w:p w:rsidR="00BC3CE6" w:rsidRDefault="009A2DE5">
      <w:pPr>
        <w:spacing w:after="150"/>
        <w:jc w:val="both"/>
      </w:pPr>
      <w:r>
        <w:rPr>
          <w:i/>
          <w:color w:val="000000"/>
        </w:rPr>
        <w:t>800</w:t>
      </w:r>
      <w:r>
        <w:rPr>
          <w:i/>
          <w:color w:val="000000"/>
        </w:rPr>
        <w:tab/>
        <w:t>Доступно на: http://www.zavodsz.gov.rs/sr/aktuelnosti/strategija-socijalne-za%C5%A1tite-2019-2025-konsultac</w:t>
      </w:r>
      <w:r>
        <w:rPr>
          <w:i/>
          <w:color w:val="000000"/>
        </w:rPr>
        <w:t>ije/, приступ: 10.6.2021.</w:t>
      </w:r>
    </w:p>
    <w:p w:rsidR="00BC3CE6" w:rsidRDefault="009A2DE5">
      <w:pPr>
        <w:spacing w:after="150"/>
        <w:jc w:val="both"/>
      </w:pPr>
      <w:r>
        <w:rPr>
          <w:i/>
          <w:color w:val="000000"/>
        </w:rPr>
        <w:lastRenderedPageBreak/>
        <w:t>801 Нацрт Стратегије социјалне заштите у Републици Србији од 2019-2025. године, страна 52, доступно на: http://www.zavodsz.gov.rs/sr/aktuelnosti/strategija-socijalne-za%C5%A1tite-2019-2025-konsultacije/, приступ: 10.6.2021.</w:t>
      </w:r>
    </w:p>
    <w:p w:rsidR="00BC3CE6" w:rsidRDefault="009A2DE5">
      <w:pPr>
        <w:spacing w:after="150"/>
        <w:jc w:val="both"/>
      </w:pPr>
      <w:r>
        <w:rPr>
          <w:i/>
          <w:color w:val="000000"/>
        </w:rPr>
        <w:t>802 Ис</w:t>
      </w:r>
      <w:r>
        <w:rPr>
          <w:i/>
          <w:color w:val="000000"/>
        </w:rPr>
        <w:t>то, страна 53.</w:t>
      </w:r>
    </w:p>
    <w:p w:rsidR="00BC3CE6" w:rsidRDefault="009A2DE5">
      <w:pPr>
        <w:spacing w:after="150"/>
        <w:jc w:val="both"/>
      </w:pPr>
      <w:r>
        <w:rPr>
          <w:i/>
          <w:color w:val="000000"/>
        </w:rPr>
        <w:t>803 Демографски фактори су: исељавање млађег и радно способног становништва, смањење броја стновника и старење популације које утиче на смањење радно способних становника, затим, промене у структури породице, повећање старачких и то једночла</w:t>
      </w:r>
      <w:r>
        <w:rPr>
          <w:i/>
          <w:color w:val="000000"/>
        </w:rPr>
        <w:t>них домаћинстава, нижи БДП по становнику у односу на стандарде ЕУ и др. Видети: Нацрт стратегије социјалне заштите у Републици Србији за период од 2019. до 2025. године, стр. 10–12.</w:t>
      </w:r>
    </w:p>
    <w:p w:rsidR="00BC3CE6" w:rsidRDefault="009A2DE5">
      <w:pPr>
        <w:spacing w:after="150"/>
        <w:jc w:val="both"/>
      </w:pPr>
      <w:r>
        <w:rPr>
          <w:i/>
          <w:color w:val="000000"/>
        </w:rPr>
        <w:t>804 Видети: Нацрт стратегије социјалне заштите, стр. 10–11.</w:t>
      </w:r>
    </w:p>
    <w:p w:rsidR="00BC3CE6" w:rsidRDefault="009A2DE5">
      <w:pPr>
        <w:spacing w:after="150"/>
        <w:jc w:val="both"/>
      </w:pPr>
      <w:r>
        <w:rPr>
          <w:i/>
          <w:color w:val="000000"/>
        </w:rPr>
        <w:t>805 Према посл</w:t>
      </w:r>
      <w:r>
        <w:rPr>
          <w:i/>
          <w:color w:val="000000"/>
        </w:rPr>
        <w:t>едњим доступним подацима, стопа апсолутног сиромаштва је у 2019. години износила је 7% (око 480.000 лица). Извор: СИПРУ (2020), Оцена кретања сиромаштва, животног стандарда и одговор на последице Covid-19 пандемије, доступно на: http://socijalnoukljucivanj</w:t>
      </w:r>
      <w:r>
        <w:rPr>
          <w:i/>
          <w:color w:val="000000"/>
        </w:rPr>
        <w:t>e.gov.rs/wp-content/uploads/2020/10/Ocena_kretanja_siromastva_CIR.pdf, као и у табели доступној на линку: http://socijalnoukljucivanje.gov.rs/wp-content/uploads/2020/10/APD_Apsolutno_siromastvo_2006-2019_lat.xlsx, приступ: 15.9.2021.</w:t>
      </w:r>
    </w:p>
    <w:p w:rsidR="00BC3CE6" w:rsidRDefault="009A2DE5">
      <w:pPr>
        <w:spacing w:after="150"/>
        <w:jc w:val="both"/>
      </w:pPr>
      <w:r>
        <w:rPr>
          <w:i/>
          <w:color w:val="000000"/>
        </w:rPr>
        <w:t xml:space="preserve">806 Игњатовић, Т. Оп. </w:t>
      </w:r>
      <w:r>
        <w:rPr>
          <w:i/>
          <w:color w:val="000000"/>
        </w:rPr>
        <w:t>цит. страна 17.</w:t>
      </w:r>
    </w:p>
    <w:p w:rsidR="00BC3CE6" w:rsidRDefault="009A2DE5">
      <w:pPr>
        <w:spacing w:after="150"/>
        <w:jc w:val="both"/>
      </w:pPr>
      <w:r>
        <w:rPr>
          <w:i/>
          <w:color w:val="000000"/>
        </w:rPr>
        <w:t>807 Извор: Анкета о приходимa и условима живота (SILC), РЗС, страна1, доступно на: www.stat.gov.rs/sr-latn/oblasti/potrošnja-prihodi-i-uslovi-zivota, приступ: 12.6.2021.</w:t>
      </w:r>
    </w:p>
    <w:p w:rsidR="00BC3CE6" w:rsidRDefault="009A2DE5">
      <w:pPr>
        <w:spacing w:after="150"/>
        <w:jc w:val="both"/>
      </w:pPr>
      <w:r>
        <w:rPr>
          <w:i/>
          <w:color w:val="000000"/>
        </w:rPr>
        <w:t>808</w:t>
      </w:r>
      <w:r>
        <w:rPr>
          <w:i/>
          <w:color w:val="000000"/>
        </w:rPr>
        <w:tab/>
        <w:t>Видети: https://ec.europa.eu/eurostat/databrowser/view/SPR_EXP_SUM</w:t>
      </w:r>
      <w:r>
        <w:rPr>
          <w:i/>
          <w:color w:val="000000"/>
        </w:rPr>
        <w:t>__custom_1194727/default/table?lang=en, приступ: 15.9.2021.</w:t>
      </w:r>
    </w:p>
    <w:p w:rsidR="00BC3CE6" w:rsidRDefault="009A2DE5">
      <w:pPr>
        <w:spacing w:after="150"/>
        <w:jc w:val="both"/>
      </w:pPr>
      <w:r>
        <w:rPr>
          <w:i/>
          <w:color w:val="000000"/>
        </w:rPr>
        <w:t>809 Нацрт Стратегије, страна 17.</w:t>
      </w:r>
    </w:p>
    <w:p w:rsidR="00BC3CE6" w:rsidRDefault="009A2DE5">
      <w:pPr>
        <w:spacing w:after="150"/>
        <w:jc w:val="both"/>
      </w:pPr>
      <w:r>
        <w:rPr>
          <w:i/>
          <w:color w:val="000000"/>
        </w:rPr>
        <w:t>810 Матковић, Г. Праћење социјалне укључености у Републици Србији – Индикатори социјалне заштите и социјалне сигурности, Тим за социјално укључивање и смањење сиро</w:t>
      </w:r>
      <w:r>
        <w:rPr>
          <w:i/>
          <w:color w:val="000000"/>
        </w:rPr>
        <w:t>маштва, страна 3, доступно на: http://socijalnoukljucivanje.gov.rs/wp-content/uploads/2017/10/Pracenje_socijalne_ukljucenosti_u_Republici_Srbiji_trece_dopunjeno_izdanje_Indikatori_socijalne_zastite_i_socijalne_sigurnosti.pdf, приступ: 18.6.2021.</w:t>
      </w:r>
    </w:p>
    <w:p w:rsidR="00BC3CE6" w:rsidRDefault="009A2DE5">
      <w:pPr>
        <w:spacing w:after="150"/>
        <w:jc w:val="both"/>
      </w:pPr>
      <w:r>
        <w:rPr>
          <w:i/>
          <w:color w:val="000000"/>
        </w:rPr>
        <w:t>811 Србија</w:t>
      </w:r>
      <w:r>
        <w:rPr>
          <w:i/>
          <w:color w:val="000000"/>
        </w:rPr>
        <w:t xml:space="preserve"> и Агенда 2030, страна 20.</w:t>
      </w:r>
    </w:p>
    <w:p w:rsidR="00BC3CE6" w:rsidRDefault="009A2DE5">
      <w:pPr>
        <w:spacing w:after="150"/>
        <w:jc w:val="both"/>
      </w:pPr>
      <w:r>
        <w:rPr>
          <w:i/>
          <w:color w:val="000000"/>
        </w:rPr>
        <w:t>812 Србија и Агенда 2030, стр. 20–21.</w:t>
      </w:r>
    </w:p>
    <w:p w:rsidR="00BC3CE6" w:rsidRDefault="009A2DE5">
      <w:pPr>
        <w:spacing w:after="150"/>
        <w:jc w:val="both"/>
      </w:pPr>
      <w:r>
        <w:rPr>
          <w:i/>
          <w:color w:val="000000"/>
        </w:rPr>
        <w:t>813 Нацрт Стратегије страна 18.</w:t>
      </w:r>
    </w:p>
    <w:p w:rsidR="00BC3CE6" w:rsidRDefault="009A2DE5">
      <w:pPr>
        <w:spacing w:after="150"/>
        <w:jc w:val="both"/>
      </w:pPr>
      <w:r>
        <w:rPr>
          <w:i/>
          <w:color w:val="000000"/>
        </w:rPr>
        <w:lastRenderedPageBreak/>
        <w:t>814 Анкета о приходима, 2020, страна 6.</w:t>
      </w:r>
    </w:p>
    <w:p w:rsidR="00BC3CE6" w:rsidRDefault="009A2DE5">
      <w:pPr>
        <w:spacing w:after="150"/>
        <w:jc w:val="both"/>
      </w:pPr>
      <w:r>
        <w:rPr>
          <w:i/>
          <w:color w:val="000000"/>
        </w:rPr>
        <w:t>815 Исто, страна 3.</w:t>
      </w:r>
    </w:p>
    <w:p w:rsidR="00BC3CE6" w:rsidRDefault="009A2DE5">
      <w:pPr>
        <w:spacing w:after="150"/>
        <w:jc w:val="both"/>
      </w:pPr>
      <w:r>
        <w:rPr>
          <w:i/>
          <w:color w:val="000000"/>
        </w:rPr>
        <w:t>816 Нацрт стратегије, страна 20.</w:t>
      </w:r>
    </w:p>
    <w:p w:rsidR="00BC3CE6" w:rsidRDefault="009A2DE5">
      <w:pPr>
        <w:spacing w:after="150"/>
        <w:jc w:val="both"/>
      </w:pPr>
      <w:r>
        <w:rPr>
          <w:i/>
          <w:color w:val="000000"/>
        </w:rPr>
        <w:t>817 Видети: http://devinfo.stat.gov.rs/Opstine/libraries/aspx/data</w:t>
      </w:r>
      <w:r>
        <w:rPr>
          <w:i/>
          <w:color w:val="000000"/>
        </w:rPr>
        <w:t>view.aspx, приступ: 15.9.2021.</w:t>
      </w:r>
    </w:p>
    <w:p w:rsidR="00BC3CE6" w:rsidRDefault="009A2DE5">
      <w:pPr>
        <w:spacing w:after="150"/>
        <w:jc w:val="both"/>
      </w:pPr>
      <w:r>
        <w:rPr>
          <w:i/>
          <w:color w:val="000000"/>
        </w:rPr>
        <w:t>818 Исто, страна 21.</w:t>
      </w:r>
    </w:p>
    <w:p w:rsidR="00BC3CE6" w:rsidRDefault="009A2DE5">
      <w:pPr>
        <w:spacing w:after="150"/>
        <w:jc w:val="both"/>
      </w:pPr>
      <w:r>
        <w:rPr>
          <w:i/>
          <w:color w:val="000000"/>
        </w:rPr>
        <w:t>819 Исто, страна 22.</w:t>
      </w:r>
    </w:p>
    <w:p w:rsidR="00BC3CE6" w:rsidRDefault="009A2DE5">
      <w:pPr>
        <w:spacing w:after="150"/>
        <w:jc w:val="both"/>
      </w:pPr>
      <w:r>
        <w:rPr>
          <w:i/>
          <w:color w:val="000000"/>
        </w:rPr>
        <w:t>820 „Службени гласник РС”, бр. 113/17, 50/18, 46/21 – УС, 51/21 – УС и 53/21 – УС, доступно на: https://www.paragraf.rs/propisi/zakon-o-finansijskoj-podrsci-porodici-sa-decom.html, пр</w:t>
      </w:r>
      <w:r>
        <w:rPr>
          <w:i/>
          <w:color w:val="000000"/>
        </w:rPr>
        <w:t>иступ 14.6.2021.</w:t>
      </w:r>
    </w:p>
    <w:p w:rsidR="00BC3CE6" w:rsidRDefault="009A2DE5">
      <w:pPr>
        <w:spacing w:after="150"/>
        <w:jc w:val="both"/>
      </w:pPr>
      <w:r>
        <w:rPr>
          <w:i/>
          <w:color w:val="000000"/>
        </w:rPr>
        <w:t>821 Законом (члан 11) је дефинисано осам мера, које се обезбеђују и спроводе са националног нивоа: 1) накнада зараде, односно накнада плате за време породиљског одсуства, одсуства са рада ради неге детета и одсуства са рада ради посебне не</w:t>
      </w:r>
      <w:r>
        <w:rPr>
          <w:i/>
          <w:color w:val="000000"/>
        </w:rPr>
        <w:t>ге детета; 2) остале накнаде по основу рођења и неге детета и посебне неге детета; 3) родитељски додатак; 4) дечији додатак; 5) накнада трошкова боравка у предшколској установи за децу без родитељског старања; 6) накнада трошкова боравка у предшколској уст</w:t>
      </w:r>
      <w:r>
        <w:rPr>
          <w:i/>
          <w:color w:val="000000"/>
        </w:rPr>
        <w:t>анови за децу са сметњама у развоју и децу са инвалидитетом; 7) накнада трошкова боравка у предшколској установи за децу корисника новчане социјалне помоћи; 8) регресирање трошкова боравка у предшколској установи деце из мтеријално угрожених породица.</w:t>
      </w:r>
    </w:p>
    <w:p w:rsidR="00BC3CE6" w:rsidRDefault="009A2DE5">
      <w:pPr>
        <w:spacing w:after="150"/>
        <w:jc w:val="both"/>
      </w:pPr>
      <w:r>
        <w:rPr>
          <w:i/>
          <w:color w:val="000000"/>
        </w:rPr>
        <w:t xml:space="preserve">822 </w:t>
      </w:r>
      <w:r>
        <w:rPr>
          <w:i/>
          <w:color w:val="000000"/>
        </w:rPr>
        <w:t>„Службени гласник РС”, број 66/21, доступно на: https://www.paragraf.rs/izmene_i_dopune/300621-zakon-o-izmenama-i-dopunama-zakona-o-finansijskoj-podrsci-porodici-sa-decom.html, приступ:16.9.2021.</w:t>
      </w:r>
    </w:p>
    <w:p w:rsidR="00BC3CE6" w:rsidRDefault="009A2DE5">
      <w:pPr>
        <w:spacing w:after="150"/>
        <w:jc w:val="both"/>
      </w:pPr>
      <w:r>
        <w:rPr>
          <w:i/>
          <w:color w:val="000000"/>
        </w:rPr>
        <w:t xml:space="preserve">823 Инцијатива „Маме су закон” је дефинисала три препоруке: </w:t>
      </w:r>
      <w:r>
        <w:rPr>
          <w:i/>
          <w:color w:val="000000"/>
        </w:rPr>
        <w:t>Предузетнице које за време трудничког одсуства привремено не одјаве обављање делатности имају право на пун износ накнаде зараде; Правичан обрачун накнаде зараде за предузетнице како би у току породиљског и одсуства са рада ради неге детета имале уплаћене д</w:t>
      </w:r>
      <w:r>
        <w:rPr>
          <w:i/>
          <w:color w:val="000000"/>
        </w:rPr>
        <w:t>опиносе за обавезно социјално осигурање; Право на одсуство са рада ради неге детета у трајању од две године за рођење трећег и сваког наредног детета, као и право преноса одсуства са рада ради неге детета на партнера. Доступно на: https://mamesuzakon.org/i</w:t>
      </w:r>
      <w:r>
        <w:rPr>
          <w:i/>
          <w:color w:val="000000"/>
        </w:rPr>
        <w:t>preduzetnicesumame, приступ: 17 92021.</w:t>
      </w:r>
    </w:p>
    <w:p w:rsidR="00BC3CE6" w:rsidRDefault="009A2DE5">
      <w:pPr>
        <w:spacing w:after="150"/>
        <w:jc w:val="both"/>
      </w:pPr>
      <w:r>
        <w:rPr>
          <w:i/>
          <w:color w:val="000000"/>
        </w:rPr>
        <w:t>824 Група аутора: Извештај о напретку – други извештај о напретку по областима за период 2016–2020. сачињен на основу оквира за мониторинг и евалуацију, ЖПРС, 2020. страна 44, доступно на: https://media.genderhub.org.</w:t>
      </w:r>
      <w:r>
        <w:rPr>
          <w:i/>
          <w:color w:val="000000"/>
        </w:rPr>
        <w:t>rs/2021/04/DRUGI-IZVESTAJ-O-NAPRETKU.pdf, приступ: 31.5.2021.</w:t>
      </w:r>
    </w:p>
    <w:p w:rsidR="00BC3CE6" w:rsidRDefault="009A2DE5">
      <w:pPr>
        <w:spacing w:after="150"/>
        <w:jc w:val="both"/>
      </w:pPr>
      <w:r>
        <w:rPr>
          <w:i/>
          <w:color w:val="000000"/>
        </w:rPr>
        <w:lastRenderedPageBreak/>
        <w:t>825 У 2018. години је 137 од 145 ЈЛС пружало услуге социјалне заштите, од којих су најзаступљеније услуге дневног боравка – кућна нега за одрасле и старије и лични пратилац детета, дневна нега д</w:t>
      </w:r>
      <w:r>
        <w:rPr>
          <w:i/>
          <w:color w:val="000000"/>
        </w:rPr>
        <w:t>еце са инвалидитетом. Видети: Мапирање услуга социјане заштите и материјалне подршке у надлежности ЈЛС у Републици Србији у 2018. години, Доступно на: http://socijalnoukljucivanje.gov.rs/rs/objavljeno-mapiranje-usluga-socijalne-zastite-i-materijalne-podrsk</w:t>
      </w:r>
      <w:r>
        <w:rPr>
          <w:i/>
          <w:color w:val="000000"/>
        </w:rPr>
        <w:t>e-u-nadleznosti-jedinica-lokalnih-samouprava-u-republici-srbiji/, приступ: 9.9.2021.</w:t>
      </w:r>
    </w:p>
    <w:p w:rsidR="00BC3CE6" w:rsidRDefault="009A2DE5">
      <w:pPr>
        <w:spacing w:after="150"/>
        <w:jc w:val="both"/>
      </w:pPr>
      <w:r>
        <w:rPr>
          <w:i/>
          <w:color w:val="000000"/>
        </w:rPr>
        <w:t>826 Група аутора, Оп. цит. 2020. страна 42</w:t>
      </w:r>
    </w:p>
    <w:p w:rsidR="00BC3CE6" w:rsidRDefault="009A2DE5">
      <w:pPr>
        <w:spacing w:after="150"/>
        <w:jc w:val="both"/>
      </w:pPr>
      <w:r>
        <w:rPr>
          <w:i/>
          <w:color w:val="000000"/>
        </w:rPr>
        <w:t xml:space="preserve">827 Извештај о раду установа за смештај одраслих и старијих за 2018. Републичког завода за социјалну заштиту, 2019, страна 12, </w:t>
      </w:r>
      <w:r>
        <w:rPr>
          <w:i/>
          <w:color w:val="000000"/>
        </w:rPr>
        <w:t>доступно на: http://www.zavodsz.gov.rs/media/1878/izvestaj-o-radu-ustanova-za-sme%C5%A1taj-odraslih-i-starijih-u-2018.pdf, приступ: 12.6.2021.</w:t>
      </w:r>
    </w:p>
    <w:p w:rsidR="00BC3CE6" w:rsidRDefault="009A2DE5">
      <w:pPr>
        <w:spacing w:after="150"/>
        <w:jc w:val="both"/>
      </w:pPr>
      <w:r>
        <w:rPr>
          <w:i/>
          <w:color w:val="000000"/>
        </w:rPr>
        <w:t>828 Матковић, Г. и др. Мапирање услуга социјалне заштите и материјалне подршке у надлежности јединица локалне сам</w:t>
      </w:r>
      <w:r>
        <w:rPr>
          <w:i/>
          <w:color w:val="000000"/>
        </w:rPr>
        <w:t>оуправе у Републици Србији, Тим за социјално укључивање, 2020, страна 18. Доступно на: http://socijalnoukljucivanje.gov.rs/wp-content/uploads/2020/09/Mapiranje_usluga_socijalne_zastite_i_materijalne_podrske_u_nadleznosti_JLS_u_RS.pdf, приступ: 12.6.2021.</w:t>
      </w:r>
    </w:p>
    <w:p w:rsidR="00BC3CE6" w:rsidRDefault="009A2DE5">
      <w:pPr>
        <w:spacing w:after="150"/>
        <w:jc w:val="both"/>
      </w:pPr>
      <w:r>
        <w:rPr>
          <w:i/>
          <w:color w:val="000000"/>
        </w:rPr>
        <w:t>8</w:t>
      </w:r>
      <w:r>
        <w:rPr>
          <w:i/>
          <w:color w:val="000000"/>
        </w:rPr>
        <w:t>29 Игњатовић, Т. Оп. цит. 2020, страна 7.</w:t>
      </w:r>
    </w:p>
    <w:p w:rsidR="00BC3CE6" w:rsidRDefault="009A2DE5">
      <w:pPr>
        <w:spacing w:after="150"/>
        <w:jc w:val="both"/>
      </w:pPr>
      <w:r>
        <w:rPr>
          <w:i/>
          <w:color w:val="000000"/>
        </w:rPr>
        <w:t>830 „Службени гласник РС”, број 52/21.</w:t>
      </w:r>
    </w:p>
    <w:p w:rsidR="00BC3CE6" w:rsidRDefault="009A2DE5">
      <w:pPr>
        <w:spacing w:after="150"/>
        <w:jc w:val="both"/>
      </w:pPr>
      <w:r>
        <w:rPr>
          <w:i/>
          <w:color w:val="000000"/>
        </w:rPr>
        <w:t>831 Чланови 54. и 55. Закона о родној равноправности.</w:t>
      </w:r>
    </w:p>
    <w:p w:rsidR="00BC3CE6" w:rsidRDefault="009A2DE5">
      <w:pPr>
        <w:spacing w:after="150"/>
        <w:jc w:val="both"/>
      </w:pPr>
      <w:r>
        <w:rPr>
          <w:i/>
          <w:color w:val="000000"/>
        </w:rPr>
        <w:t>832 Исто, страна 9.</w:t>
      </w:r>
    </w:p>
    <w:p w:rsidR="00BC3CE6" w:rsidRDefault="009A2DE5">
      <w:pPr>
        <w:spacing w:after="150"/>
        <w:jc w:val="both"/>
      </w:pPr>
      <w:r>
        <w:rPr>
          <w:i/>
          <w:color w:val="000000"/>
        </w:rPr>
        <w:t>833 Група аутора, Оп. цит. 2020, страна 43.</w:t>
      </w:r>
    </w:p>
    <w:p w:rsidR="00BC3CE6" w:rsidRDefault="009A2DE5">
      <w:pPr>
        <w:spacing w:after="150"/>
        <w:jc w:val="both"/>
      </w:pPr>
      <w:r>
        <w:rPr>
          <w:i/>
          <w:color w:val="000000"/>
        </w:rPr>
        <w:t>834 Група аутора, Оп. цит. 2020, страна 42.</w:t>
      </w:r>
    </w:p>
    <w:p w:rsidR="00BC3CE6" w:rsidRDefault="009A2DE5">
      <w:pPr>
        <w:spacing w:after="150"/>
        <w:jc w:val="both"/>
      </w:pPr>
      <w:r>
        <w:rPr>
          <w:i/>
          <w:color w:val="000000"/>
        </w:rPr>
        <w:t>835 Тим за со</w:t>
      </w:r>
      <w:r>
        <w:rPr>
          <w:i/>
          <w:color w:val="000000"/>
        </w:rPr>
        <w:t>цијално укључивање и смањење сиромаштва, Индекс родне равноправности у РС. Мерење родне равноправности у РС 2018, страна 41, доступно на: http://socijalnoukljucivanje.gov.rs/rs/objavljen-novi-indeks-rodne-ravnopravnosti-zarepubliku-srbiju/, приступ: 2.6.20</w:t>
      </w:r>
      <w:r>
        <w:rPr>
          <w:i/>
          <w:color w:val="000000"/>
        </w:rPr>
        <w:t>21.</w:t>
      </w:r>
    </w:p>
    <w:p w:rsidR="00BC3CE6" w:rsidRDefault="009A2DE5">
      <w:pPr>
        <w:spacing w:after="150"/>
        <w:jc w:val="both"/>
      </w:pPr>
      <w:r>
        <w:rPr>
          <w:i/>
          <w:color w:val="000000"/>
        </w:rPr>
        <w:t>836 У 2019. години било је 1.621.000 неактивних жена, а међу неактивнима који не траже посао због бриге о деци или о одраслим зависним особама је око 59 хиљада жена и 1.900 мушкараца.</w:t>
      </w:r>
    </w:p>
    <w:p w:rsidR="00BC3CE6" w:rsidRDefault="009A2DE5">
      <w:pPr>
        <w:spacing w:after="150"/>
        <w:jc w:val="both"/>
      </w:pPr>
      <w:r>
        <w:rPr>
          <w:i/>
          <w:color w:val="000000"/>
        </w:rPr>
        <w:t>837</w:t>
      </w:r>
      <w:r>
        <w:rPr>
          <w:i/>
          <w:color w:val="000000"/>
        </w:rPr>
        <w:tab/>
        <w:t>Економска вредност неплаћених послова старања у РС, UN Women 202</w:t>
      </w:r>
      <w:r>
        <w:rPr>
          <w:i/>
          <w:color w:val="000000"/>
        </w:rPr>
        <w:t>0. стр. 29, 33, доступно на: http://socijalnoukljucivanje.gov.rs/wp-content/uploads/2020/08/Analiza_monetarne_vrednosti_neplacenog_rada_UN_Women_SRB.pdf, приступ: 12.6.2021.</w:t>
      </w:r>
    </w:p>
    <w:p w:rsidR="00BC3CE6" w:rsidRDefault="009A2DE5">
      <w:pPr>
        <w:spacing w:after="150"/>
        <w:jc w:val="both"/>
      </w:pPr>
      <w:r>
        <w:rPr>
          <w:i/>
          <w:color w:val="000000"/>
        </w:rPr>
        <w:t>838 Усклађивање пословних и бриге о домаћинству и породици, SeCons, 2020, страна 4</w:t>
      </w:r>
      <w:r>
        <w:rPr>
          <w:i/>
          <w:color w:val="000000"/>
        </w:rPr>
        <w:t>, доступно на: https://www.secons.net/files/publications/116-publication.pdf, приступ: 18.6.2021.</w:t>
      </w:r>
    </w:p>
    <w:p w:rsidR="00BC3CE6" w:rsidRDefault="009A2DE5">
      <w:pPr>
        <w:spacing w:after="150"/>
        <w:jc w:val="both"/>
      </w:pPr>
      <w:r>
        <w:rPr>
          <w:i/>
          <w:color w:val="000000"/>
        </w:rPr>
        <w:lastRenderedPageBreak/>
        <w:t>839 Финални извештај евалуације Акционог плана за спровођење националне стратегије за родну равноправност РС (2016–2018), SeCons, страна 53, доступно на: http</w:t>
      </w:r>
      <w:r>
        <w:rPr>
          <w:i/>
          <w:color w:val="000000"/>
        </w:rPr>
        <w:t>s://www.secons.net/files/publications/99-publication.pdf, приступ: 8. 5.2021.</w:t>
      </w:r>
    </w:p>
    <w:p w:rsidR="00BC3CE6" w:rsidRDefault="009A2DE5">
      <w:pPr>
        <w:spacing w:after="150"/>
        <w:jc w:val="both"/>
      </w:pPr>
      <w:r>
        <w:rPr>
          <w:i/>
          <w:color w:val="000000"/>
        </w:rPr>
        <w:t>840 Исто, стр. 65, 66.</w:t>
      </w:r>
    </w:p>
    <w:p w:rsidR="00BC3CE6" w:rsidRDefault="009A2DE5">
      <w:pPr>
        <w:spacing w:after="150"/>
        <w:jc w:val="both"/>
      </w:pPr>
      <w:r>
        <w:rPr>
          <w:i/>
          <w:color w:val="000000"/>
        </w:rPr>
        <w:t>841 Пара 36 (г).</w:t>
      </w:r>
    </w:p>
    <w:p w:rsidR="00BC3CE6" w:rsidRDefault="009A2DE5">
      <w:pPr>
        <w:spacing w:after="150"/>
        <w:jc w:val="both"/>
      </w:pPr>
      <w:r>
        <w:rPr>
          <w:i/>
          <w:color w:val="000000"/>
        </w:rPr>
        <w:t>842</w:t>
      </w:r>
      <w:r>
        <w:rPr>
          <w:i/>
          <w:color w:val="000000"/>
        </w:rPr>
        <w:tab/>
        <w:t>У Стратегији за родну равноправност (2016–2020) посебан циљ 2.1 дефинисан је како би се олакшала подела послова у домаћинству у област</w:t>
      </w:r>
      <w:r>
        <w:rPr>
          <w:i/>
          <w:color w:val="000000"/>
        </w:rPr>
        <w:t>и старања о деци и старијим особама. Дугорочни циљеви ове мере су смањена оптерећеност жена неплаћеним радом у економији старања и унапређен квалитет живота жена, повећана њихова запосленост и повећан природни прираштај. а очекивани резултат: време које же</w:t>
      </w:r>
      <w:r>
        <w:rPr>
          <w:i/>
          <w:color w:val="000000"/>
        </w:rPr>
        <w:t>не и мушкарци троше на неплаћене послове је равноправно распоређено. Доступно: https://www.mgsi.gov.rs/lat/dokumenti/nacionalna-strategija-za-rodnu-ravnopravnost-za-period-od-2016-do-2020-godine-sa-akcionim, приступ: 5.6.2021.</w:t>
      </w:r>
    </w:p>
    <w:p w:rsidR="00BC3CE6" w:rsidRDefault="009A2DE5">
      <w:pPr>
        <w:spacing w:after="150"/>
        <w:jc w:val="both"/>
      </w:pPr>
      <w:r>
        <w:rPr>
          <w:i/>
          <w:color w:val="000000"/>
        </w:rPr>
        <w:t>843 Игњатовић, Т. Оп. цит. 20</w:t>
      </w:r>
      <w:r>
        <w:rPr>
          <w:i/>
          <w:color w:val="000000"/>
        </w:rPr>
        <w:t>20, страна 5.</w:t>
      </w:r>
    </w:p>
    <w:p w:rsidR="00BC3CE6" w:rsidRDefault="009A2DE5">
      <w:pPr>
        <w:spacing w:after="150"/>
        <w:jc w:val="both"/>
      </w:pPr>
      <w:r>
        <w:rPr>
          <w:i/>
          <w:color w:val="000000"/>
        </w:rPr>
        <w:t>844 Група аутора, Оп. цит. 2020, страна 43.</w:t>
      </w:r>
    </w:p>
    <w:p w:rsidR="00BC3CE6" w:rsidRDefault="009A2DE5">
      <w:pPr>
        <w:spacing w:after="150"/>
        <w:jc w:val="both"/>
      </w:pPr>
      <w:r>
        <w:rPr>
          <w:i/>
          <w:color w:val="000000"/>
        </w:rPr>
        <w:t>845 Исто.</w:t>
      </w:r>
    </w:p>
    <w:p w:rsidR="00BC3CE6" w:rsidRDefault="009A2DE5">
      <w:pPr>
        <w:spacing w:after="150"/>
        <w:jc w:val="both"/>
      </w:pPr>
      <w:r>
        <w:rPr>
          <w:i/>
          <w:color w:val="000000"/>
        </w:rPr>
        <w:t xml:space="preserve">846 Развијеност капацитета ЈЛС у области утврђивања потреба за услугама социјалне заштите у заједници износи у просеку 37,7% у односу на пожељан ниво развијености а низак је и ниво </w:t>
      </w:r>
      <w:r>
        <w:rPr>
          <w:i/>
          <w:color w:val="000000"/>
        </w:rPr>
        <w:t xml:space="preserve">развијености капацитета ЈЛС. У области креирања стратешког и планског оквира, који достиже тек 30,7% у односу на пожељан ниво. Видети: Процена институционалних капацитета ЈЛС у области утврђивања потреба за услугама социјалне заштите у заједници. Доступно </w:t>
      </w:r>
      <w:r>
        <w:rPr>
          <w:i/>
          <w:color w:val="000000"/>
        </w:rPr>
        <w:t>на: https://www.swisspro.org.rs/uploads/files/139-240-sp_procena_institucionalnih kapaciteta sr.pdf, приступ: 12.6.2021.</w:t>
      </w:r>
    </w:p>
    <w:p w:rsidR="00BC3CE6" w:rsidRDefault="009A2DE5">
      <w:pPr>
        <w:spacing w:after="150"/>
        <w:jc w:val="both"/>
      </w:pPr>
      <w:r>
        <w:rPr>
          <w:i/>
          <w:color w:val="000000"/>
        </w:rPr>
        <w:t xml:space="preserve">847 Од 662 пружалаца услуга: дневни боравак пружа 62, становање уз подршку 9, лични пратилац 40, прихватилиште 18, свратиште 3 и помоћ </w:t>
      </w:r>
      <w:r>
        <w:rPr>
          <w:i/>
          <w:color w:val="000000"/>
        </w:rPr>
        <w:t>у кући 146. Највећи број пружалаца услуга су услуге домског смештаја за одрасла и старија лица у приватним домовима 304. У 2021. лиценцирано је 17 пружалаца услуга прихватилишта за жртве насиља – 7 и за услугу СОС телефона за жртве насиља – 10. Извор: Коме</w:t>
      </w:r>
      <w:r>
        <w:rPr>
          <w:i/>
          <w:color w:val="000000"/>
        </w:rPr>
        <w:t>нтар Министарства за рад, запошљавање, борачка и социјална питања, током консултација о Полазним основама Стратегије за родну равноправност за период 2021–2030, август 2021.</w:t>
      </w:r>
    </w:p>
    <w:p w:rsidR="00BC3CE6" w:rsidRDefault="009A2DE5">
      <w:pPr>
        <w:spacing w:after="150"/>
        <w:jc w:val="both"/>
      </w:pPr>
      <w:r>
        <w:rPr>
          <w:i/>
          <w:color w:val="000000"/>
        </w:rPr>
        <w:t>848 Група аутора, Оп. цит. 2020, страна 44.</w:t>
      </w:r>
    </w:p>
    <w:p w:rsidR="00BC3CE6" w:rsidRDefault="009A2DE5">
      <w:pPr>
        <w:spacing w:after="150"/>
        <w:jc w:val="both"/>
      </w:pPr>
      <w:r>
        <w:rPr>
          <w:i/>
          <w:color w:val="000000"/>
        </w:rPr>
        <w:t>849 Извор податка: Министарство за рад</w:t>
      </w:r>
      <w:r>
        <w:rPr>
          <w:i/>
          <w:color w:val="000000"/>
        </w:rPr>
        <w:t>, запошљавање, борачка и социјална питања током коментарисања Полазних основа Стратегије за родну равноправност за период 2021–2030. август 2021.</w:t>
      </w:r>
    </w:p>
    <w:p w:rsidR="00BC3CE6" w:rsidRDefault="009A2DE5">
      <w:pPr>
        <w:spacing w:after="150"/>
        <w:jc w:val="both"/>
      </w:pPr>
      <w:r>
        <w:rPr>
          <w:i/>
          <w:color w:val="000000"/>
        </w:rPr>
        <w:lastRenderedPageBreak/>
        <w:t>850 Бекер, К. Оп. цит. 2020, страна 31.</w:t>
      </w:r>
    </w:p>
    <w:p w:rsidR="00BC3CE6" w:rsidRDefault="009A2DE5">
      <w:pPr>
        <w:spacing w:after="150"/>
        <w:jc w:val="both"/>
      </w:pPr>
      <w:r>
        <w:rPr>
          <w:i/>
          <w:color w:val="000000"/>
        </w:rPr>
        <w:t>851 Рајков, Г. ур. Препреке за једнакост – двострука дискриминација же</w:t>
      </w:r>
      <w:r>
        <w:rPr>
          <w:i/>
          <w:color w:val="000000"/>
        </w:rPr>
        <w:t>на са инвалидитетом, 2004. страна 14, Доступно на: file:///C:/Documents%20and%20Settings/Developer/My%20Documents/Downloads/9._Zene_sa_invaliditetom%20(2).pdf, приступ: 17.6.2021.</w:t>
      </w:r>
    </w:p>
    <w:p w:rsidR="00BC3CE6" w:rsidRDefault="009A2DE5">
      <w:pPr>
        <w:spacing w:after="150"/>
        <w:jc w:val="both"/>
      </w:pPr>
      <w:r>
        <w:rPr>
          <w:i/>
          <w:color w:val="000000"/>
        </w:rPr>
        <w:t>852 Бекер, 2018, страна 27.</w:t>
      </w:r>
    </w:p>
    <w:p w:rsidR="00BC3CE6" w:rsidRDefault="009A2DE5">
      <w:pPr>
        <w:spacing w:after="150"/>
        <w:jc w:val="both"/>
      </w:pPr>
      <w:r>
        <w:rPr>
          <w:i/>
          <w:color w:val="000000"/>
        </w:rPr>
        <w:t>853 Исто, страна 14.</w:t>
      </w:r>
    </w:p>
    <w:p w:rsidR="00BC3CE6" w:rsidRDefault="009A2DE5">
      <w:pPr>
        <w:spacing w:after="150"/>
        <w:jc w:val="both"/>
      </w:pPr>
      <w:r>
        <w:rPr>
          <w:i/>
          <w:color w:val="000000"/>
        </w:rPr>
        <w:t xml:space="preserve">854 Група аутора, 2020, </w:t>
      </w:r>
      <w:r>
        <w:rPr>
          <w:i/>
          <w:color w:val="000000"/>
        </w:rPr>
        <w:t>страна 44.</w:t>
      </w:r>
    </w:p>
    <w:p w:rsidR="00BC3CE6" w:rsidRDefault="009A2DE5">
      <w:pPr>
        <w:spacing w:after="150"/>
        <w:jc w:val="both"/>
      </w:pPr>
      <w:r>
        <w:rPr>
          <w:i/>
          <w:color w:val="000000"/>
        </w:rPr>
        <w:t>855 У Посебном извештају 2018. године „Приступачност за све” Заштитник грађана РС је констатовао да су ЦСР углавном смештени у неприступчним или делимично приступачним објектима и препоручио ЈЛС да уз подршку МРЗБСП обезбеде адекватан простор за</w:t>
      </w:r>
      <w:r>
        <w:rPr>
          <w:i/>
          <w:color w:val="000000"/>
        </w:rPr>
        <w:t xml:space="preserve"> несметан рад ЦСР који ће испуњавати све стандарде пристуачности. Доступно на: https://www.ombudsman.rs/index.php/izvestaji/posebnii-izvestaji/5893-p-s-b-n-izv-sh-z-sh-i-ni-gr-d-n-pris-up-cn-s-z-sv, приступ: 15.9.2021.</w:t>
      </w:r>
    </w:p>
    <w:p w:rsidR="00BC3CE6" w:rsidRDefault="009A2DE5">
      <w:pPr>
        <w:spacing w:after="150"/>
        <w:jc w:val="both"/>
      </w:pPr>
      <w:r>
        <w:rPr>
          <w:i/>
          <w:color w:val="000000"/>
        </w:rPr>
        <w:t>856 Исто, страна 42.</w:t>
      </w:r>
    </w:p>
    <w:p w:rsidR="00BC3CE6" w:rsidRDefault="009A2DE5">
      <w:pPr>
        <w:spacing w:after="150"/>
        <w:jc w:val="both"/>
      </w:pPr>
      <w:r>
        <w:rPr>
          <w:i/>
          <w:color w:val="000000"/>
        </w:rPr>
        <w:t xml:space="preserve">857 Бекер, К. и </w:t>
      </w:r>
      <w:r>
        <w:rPr>
          <w:i/>
          <w:color w:val="000000"/>
        </w:rPr>
        <w:t>Баћановић, В. Репродуктивно здравље жена са инвалидитетом у АП Војводини, 2018, Покрајински заштитник грађана – омбудсман и ОЕБС, доступно на: https://www.ombudsmanapv.org, приступ: 21.1.2021.</w:t>
      </w:r>
    </w:p>
    <w:p w:rsidR="00BC3CE6" w:rsidRDefault="009A2DE5">
      <w:pPr>
        <w:spacing w:after="150"/>
        <w:jc w:val="both"/>
      </w:pPr>
      <w:r>
        <w:rPr>
          <w:i/>
          <w:color w:val="000000"/>
        </w:rPr>
        <w:t>858 Бекер, К. Оп. цит. Оп. цит, 2018, стр. 28 и 29.</w:t>
      </w:r>
    </w:p>
    <w:p w:rsidR="00BC3CE6" w:rsidRDefault="009A2DE5">
      <w:pPr>
        <w:spacing w:after="150"/>
        <w:jc w:val="both"/>
      </w:pPr>
      <w:r>
        <w:rPr>
          <w:i/>
          <w:color w:val="000000"/>
        </w:rPr>
        <w:t>859 Национа</w:t>
      </w:r>
      <w:r>
        <w:rPr>
          <w:i/>
          <w:color w:val="000000"/>
        </w:rPr>
        <w:t>лни извештај о примени CEDAW и Истанбулске конвенције у Републици Србији – Дискриминација и насиље према Ромкињама, Ромски центар Бибија, 2019, страна 52, доступно на: http://www.bibija.org.rs/images/cedaw/nacionalni_izvestaj_Republika_Srbija_Compressed.pd</w:t>
      </w:r>
      <w:r>
        <w:rPr>
          <w:i/>
          <w:color w:val="000000"/>
        </w:rPr>
        <w:t>f, приступ: 14.6.2021.</w:t>
      </w:r>
    </w:p>
    <w:p w:rsidR="00BC3CE6" w:rsidRDefault="009A2DE5">
      <w:pPr>
        <w:spacing w:after="150"/>
        <w:jc w:val="both"/>
      </w:pPr>
      <w:r>
        <w:rPr>
          <w:i/>
          <w:color w:val="000000"/>
        </w:rPr>
        <w:t>860 Бекер, К. Оп. цит. 2020, страна 31.</w:t>
      </w:r>
    </w:p>
    <w:p w:rsidR="00BC3CE6" w:rsidRDefault="009A2DE5">
      <w:pPr>
        <w:spacing w:after="120"/>
        <w:jc w:val="center"/>
      </w:pPr>
      <w:r>
        <w:rPr>
          <w:b/>
          <w:color w:val="000000"/>
        </w:rPr>
        <w:t>5.4. Институционални оквир и алати за креирање родно одговорних јавних политика и буџета</w:t>
      </w:r>
    </w:p>
    <w:p w:rsidR="00BC3CE6" w:rsidRDefault="009A2DE5">
      <w:pPr>
        <w:spacing w:after="150"/>
      </w:pPr>
      <w:r>
        <w:rPr>
          <w:color w:val="000000"/>
        </w:rPr>
        <w:t>Родна равноправност је предуслов развоја и кључ за решавање највећих развојних изазова пред којима је Ре</w:t>
      </w:r>
      <w:r>
        <w:rPr>
          <w:color w:val="000000"/>
        </w:rPr>
        <w:t>публика Србија. Институционални оквир и активност која се одвија у оквиру институција препознати су као битна претпоставка за предузимање мера усмерених ка превазилажењу родног јаза и унапређењу родне равноправности још давне 1995. године у Пекиншкој декла</w:t>
      </w:r>
      <w:r>
        <w:rPr>
          <w:color w:val="000000"/>
        </w:rPr>
        <w:t>рацији и Платформи за акцију и опстају као још актуелан циљ.</w:t>
      </w:r>
      <w:r>
        <w:rPr>
          <w:color w:val="000000"/>
          <w:vertAlign w:val="superscript"/>
        </w:rPr>
        <w:t>869</w:t>
      </w:r>
      <w:r>
        <w:rPr>
          <w:color w:val="000000"/>
        </w:rPr>
        <w:t xml:space="preserve"> За ова питања релевантан водич је Агенда 2030 циљ 16, (мир, правда и снажније институције) потциљеви 16.6 (развити делотворне, одговорне и транспарентне институције на свим нивоима) и 16.7 (ос</w:t>
      </w:r>
      <w:r>
        <w:rPr>
          <w:color w:val="000000"/>
        </w:rPr>
        <w:t xml:space="preserve">игурати одговорно, инклузивно, партиципативно и репрезентативно доношење </w:t>
      </w:r>
      <w:r>
        <w:rPr>
          <w:color w:val="000000"/>
        </w:rPr>
        <w:lastRenderedPageBreak/>
        <w:t>одлука на свим нивоима) потциљ 16 б (промовисати и спроводити недискриминаторне законе и политике ради постизања одрживог развоја).</w:t>
      </w:r>
    </w:p>
    <w:p w:rsidR="00BC3CE6" w:rsidRDefault="009A2DE5">
      <w:pPr>
        <w:spacing w:after="120"/>
        <w:jc w:val="center"/>
      </w:pPr>
      <w:r>
        <w:rPr>
          <w:i/>
          <w:color w:val="000000"/>
        </w:rPr>
        <w:t>5.4.1. Институционални механизми РР</w:t>
      </w:r>
    </w:p>
    <w:p w:rsidR="00BC3CE6" w:rsidRDefault="009A2DE5">
      <w:pPr>
        <w:spacing w:after="150"/>
      </w:pPr>
      <w:r>
        <w:rPr>
          <w:color w:val="000000"/>
        </w:rPr>
        <w:t>Једна од важних</w:t>
      </w:r>
      <w:r>
        <w:rPr>
          <w:color w:val="000000"/>
        </w:rPr>
        <w:t xml:space="preserve"> претпоставки за одвијање активности на унапређењу родне равноправности је не само заступљеност жена у институцијама јавне власти, већ и постојање посебних институционалних облика деловања у оквиру организације власти на свим нивоима. То је претпоставка да</w:t>
      </w:r>
      <w:r>
        <w:rPr>
          <w:color w:val="000000"/>
        </w:rPr>
        <w:t xml:space="preserve"> се у институцијама, кроз деловање ових посебних механизама обезбеди не само учешће него и утицај жена на одлучивање, креирање и примену јавних политика, значајних за родну равноправност и унапређење родне равноправности.</w:t>
      </w:r>
    </w:p>
    <w:p w:rsidR="00BC3CE6" w:rsidRDefault="009A2DE5">
      <w:pPr>
        <w:spacing w:after="150"/>
      </w:pPr>
      <w:r>
        <w:rPr>
          <w:color w:val="000000"/>
        </w:rPr>
        <w:t>Вишегодишња искуства и проблеми са</w:t>
      </w:r>
      <w:r>
        <w:rPr>
          <w:color w:val="000000"/>
        </w:rPr>
        <w:t xml:space="preserve"> којима су се у свом раду сусретали механизми за родну равноправност сабрани су у бројним анализама и истраживањима Повереника за заштиту равноправности, Заштитника грађана, женских ОЦД, експерата и експерткиња</w:t>
      </w:r>
      <w:r>
        <w:rPr>
          <w:color w:val="000000"/>
          <w:vertAlign w:val="superscript"/>
        </w:rPr>
        <w:t>870</w:t>
      </w:r>
      <w:r>
        <w:rPr>
          <w:color w:val="000000"/>
        </w:rPr>
        <w:t>, и у више пута понављаним препорукама CEDA</w:t>
      </w:r>
      <w:r>
        <w:rPr>
          <w:color w:val="000000"/>
        </w:rPr>
        <w:t>W комитета.</w:t>
      </w:r>
      <w:r>
        <w:rPr>
          <w:color w:val="000000"/>
          <w:vertAlign w:val="superscript"/>
        </w:rPr>
        <w:t>871</w:t>
      </w:r>
      <w:r>
        <w:rPr>
          <w:color w:val="000000"/>
        </w:rPr>
        <w:t xml:space="preserve"> Генерално посматрано, као кључни проблеми са којима су се сусретали у свом раду механизми РР идентификовани су: поднормираност и нестабилан статус у структури органа јавне власти, нејасно или непотпуно дефинисане надлежности и одговорности, </w:t>
      </w:r>
      <w:r>
        <w:rPr>
          <w:color w:val="000000"/>
        </w:rPr>
        <w:t xml:space="preserve">изостанак системског повезивања и координирања активности, мали број запослених, који често ове послове обављају уз неки други посао, недовољан ниво њихове родне освешћености и знања о родној равноправности, нестабилни извори финансирања често ослоњени на </w:t>
      </w:r>
      <w:r>
        <w:rPr>
          <w:color w:val="000000"/>
        </w:rPr>
        <w:t>донаторска средства, оскудни резултати и тешкоће у праћењу стања, недостатак процедура уродњавања закона и стратегија као и квантитативних и квалитативних показатеља учинка активности. Механизми РР су са мање или више (не)успеха показали виталност јер су и</w:t>
      </w:r>
      <w:r>
        <w:rPr>
          <w:color w:val="000000"/>
        </w:rPr>
        <w:t xml:space="preserve"> у таквим околностима успели да учине барем мале кораке на унапређењу родне равноправности о чему сведочи индекс родне равноправности.</w:t>
      </w:r>
      <w:r>
        <w:rPr>
          <w:color w:val="000000"/>
          <w:vertAlign w:val="superscript"/>
        </w:rPr>
        <w:t>872</w:t>
      </w:r>
    </w:p>
    <w:p w:rsidR="00BC3CE6" w:rsidRDefault="009A2DE5">
      <w:pPr>
        <w:spacing w:after="150"/>
      </w:pPr>
      <w:r>
        <w:rPr>
          <w:color w:val="000000"/>
        </w:rPr>
        <w:t>Законско регулисање механизама за родну равноправност успоставља нормативни оквир за стабилнију позицију ових механиза</w:t>
      </w:r>
      <w:r>
        <w:rPr>
          <w:color w:val="000000"/>
        </w:rPr>
        <w:t>ма у структури органа јавне власти. Ефекти нових законских решења се у овом кратком периоду не могу сагледати, а за ефикасну примену биће потребно хитно усвајање пратећих прописа за примену закона. Национална стратегија за родну равноправност је свакако је</w:t>
      </w:r>
      <w:r>
        <w:rPr>
          <w:color w:val="000000"/>
        </w:rPr>
        <w:t xml:space="preserve">дан од инструмената који може убрзати примену Закона о родној равноправности и тако унапредити рад механизама за родну равноправност. Поред тога, неопходно је континуирано организовати систематске обуке за родно освешћивање и подизање капацитета и знања о </w:t>
      </w:r>
      <w:r>
        <w:rPr>
          <w:color w:val="000000"/>
        </w:rPr>
        <w:t>родној равноправности, родним стереотипима, предрасудама и начину њиховог превазилажења за све актере који раде на унапређењу родне равноправности.</w:t>
      </w:r>
    </w:p>
    <w:p w:rsidR="00BC3CE6" w:rsidRDefault="009A2DE5">
      <w:pPr>
        <w:spacing w:after="150"/>
      </w:pPr>
      <w:r>
        <w:rPr>
          <w:color w:val="000000"/>
        </w:rPr>
        <w:t>Механизми РР у представничким телима. Механизми РР формирани су у скупштинама као непосредно бираним предста</w:t>
      </w:r>
      <w:r>
        <w:rPr>
          <w:color w:val="000000"/>
        </w:rPr>
        <w:t xml:space="preserve">вничким телима грађана и </w:t>
      </w:r>
      <w:r>
        <w:rPr>
          <w:color w:val="000000"/>
        </w:rPr>
        <w:lastRenderedPageBreak/>
        <w:t>грађанки, у којима се одлучује о јавним политикама значајним за родну равноправност. У Народној скупштини формиран је и делује Одбор за људска и мањинска права и равноправност полова,</w:t>
      </w:r>
      <w:r>
        <w:rPr>
          <w:color w:val="000000"/>
          <w:vertAlign w:val="superscript"/>
        </w:rPr>
        <w:t>873</w:t>
      </w:r>
      <w:r>
        <w:rPr>
          <w:color w:val="000000"/>
        </w:rPr>
        <w:t xml:space="preserve"> а у Скупштини АПВ Одбор за равноправност пол</w:t>
      </w:r>
      <w:r>
        <w:rPr>
          <w:color w:val="000000"/>
        </w:rPr>
        <w:t>ова.</w:t>
      </w:r>
      <w:r>
        <w:rPr>
          <w:color w:val="000000"/>
          <w:vertAlign w:val="superscript"/>
        </w:rPr>
        <w:t>874</w:t>
      </w:r>
      <w:r>
        <w:rPr>
          <w:color w:val="000000"/>
        </w:rPr>
        <w:t xml:space="preserve"> Примена квота за мање заступљени пол резултирала је формирањем женских парламентарних и одборничких мрежа</w:t>
      </w:r>
      <w:r>
        <w:rPr>
          <w:color w:val="000000"/>
          <w:vertAlign w:val="superscript"/>
        </w:rPr>
        <w:t>875</w:t>
      </w:r>
      <w:r>
        <w:rPr>
          <w:color w:val="000000"/>
        </w:rPr>
        <w:t xml:space="preserve"> као једног специфичног неформалног, али признатог облика деловања посланица и одборница из различитих </w:t>
      </w:r>
      <w:r>
        <w:rPr>
          <w:color w:val="000000"/>
        </w:rPr>
        <w:tab/>
        <w:t>и женске одборничке мреже у скупштин</w:t>
      </w:r>
      <w:r>
        <w:rPr>
          <w:color w:val="000000"/>
        </w:rPr>
        <w:t>ама ЈЛС.</w:t>
      </w:r>
    </w:p>
    <w:p w:rsidR="00BC3CE6" w:rsidRDefault="009A2DE5">
      <w:pPr>
        <w:spacing w:after="150"/>
      </w:pPr>
      <w:r>
        <w:rPr>
          <w:color w:val="000000"/>
        </w:rPr>
        <w:t>политичких странака на питањима значајним за родну равноправност.</w:t>
      </w:r>
      <w:r>
        <w:rPr>
          <w:color w:val="000000"/>
          <w:vertAlign w:val="superscript"/>
        </w:rPr>
        <w:t>876</w:t>
      </w:r>
      <w:r>
        <w:rPr>
          <w:color w:val="000000"/>
        </w:rPr>
        <w:t xml:space="preserve"> У Скупштини АПВ образован је Одбор за родну равноправност, као стално радно тело.</w:t>
      </w:r>
      <w:r>
        <w:rPr>
          <w:color w:val="000000"/>
          <w:vertAlign w:val="superscript"/>
        </w:rPr>
        <w:t>877</w:t>
      </w:r>
      <w:r>
        <w:rPr>
          <w:color w:val="000000"/>
        </w:rPr>
        <w:t xml:space="preserve"> У ЈСЛ се образује комисија као стално радно тело скупштине. Новине у Закону о родној равнопра</w:t>
      </w:r>
      <w:r>
        <w:rPr>
          <w:color w:val="000000"/>
        </w:rPr>
        <w:t>вности односе се и на механизме родне равноправности, а законским решењима отклањају се уочене нормативне слабости везане за њихов статус, надлежности и активности.</w:t>
      </w:r>
    </w:p>
    <w:p w:rsidR="00BC3CE6" w:rsidRDefault="009A2DE5">
      <w:pPr>
        <w:spacing w:after="150"/>
      </w:pPr>
      <w:r>
        <w:rPr>
          <w:color w:val="000000"/>
        </w:rPr>
        <w:t>Механизми РР у органима извршне власти. У извршној власти чије су надлежности везане за кре</w:t>
      </w:r>
      <w:r>
        <w:rPr>
          <w:color w:val="000000"/>
        </w:rPr>
        <w:t>ирање, предлагање, праћење и примену јавних политика, формирани и делују механизми за РР. У оквиру Владе то је Координационо тело за родну равноправност</w:t>
      </w:r>
      <w:r>
        <w:rPr>
          <w:color w:val="000000"/>
          <w:vertAlign w:val="superscript"/>
        </w:rPr>
        <w:t>878</w:t>
      </w:r>
      <w:r>
        <w:rPr>
          <w:color w:val="000000"/>
        </w:rPr>
        <w:t xml:space="preserve"> на чијем челу је потпредседница Владе, као радно тело које на хоризонталној и вертикалној равни коор</w:t>
      </w:r>
      <w:r>
        <w:rPr>
          <w:color w:val="000000"/>
        </w:rPr>
        <w:t>динира активности на остваривању родне равноправности. За мултисекторску природу родне равноправности од суштинске важности је међуресорна координација, као и координација различитих актера на свим нивоима власти приликом креирања, предлагања, праћења, неп</w:t>
      </w:r>
      <w:r>
        <w:rPr>
          <w:color w:val="000000"/>
        </w:rPr>
        <w:t>осредног учешћа у примени јавних политика и одговорности за њихово вођење. Формиран је и Савет за родну равноправност као саветодавно тело Владе. Све до усвајања Закона о родној равноправности, КТРР и Савет за родну равноправност формирани су прописом Влад</w:t>
      </w:r>
      <w:r>
        <w:rPr>
          <w:color w:val="000000"/>
        </w:rPr>
        <w:t>е, што је слабило њихов положај, јер је давало могућност да се након избора и формирања нове Владе ова тела на једноставан начин укину и престану са радом. Вишегодишње залагање да се механизми РР који се образују у оквиру извршне власти позитивирају законо</w:t>
      </w:r>
      <w:r>
        <w:rPr>
          <w:color w:val="000000"/>
        </w:rPr>
        <w:t>м и тако обезбеди минимум сигурности за њихов статус нашло је место у Закону о родној равноправности</w:t>
      </w:r>
      <w:r>
        <w:rPr>
          <w:color w:val="000000"/>
          <w:vertAlign w:val="superscript"/>
        </w:rPr>
        <w:t>879</w:t>
      </w:r>
      <w:r>
        <w:rPr>
          <w:color w:val="000000"/>
        </w:rPr>
        <w:t>, који прописује да активности везане за креирање, спровођење, праћење и унапређење политика родне равноправности обављају: Влада, министарства и други о</w:t>
      </w:r>
      <w:r>
        <w:rPr>
          <w:color w:val="000000"/>
        </w:rPr>
        <w:t>ргани државне управе у чијем су делокругу области у којима се одређују и спроводе опште и посебне мере за остваривање и унапређење родне равноправности, Координационо тело за родну равноправност, органи аутономне покрајине и јединица локалне самоуправе, ка</w:t>
      </w:r>
      <w:r>
        <w:rPr>
          <w:color w:val="000000"/>
        </w:rPr>
        <w:t>о и други органи јавне власти, организације и установе у складу са својим овлашћењима учествују у спречавању дискриминације на основу пола односно рода и спречавању родно заснованог насиља. Овај приступ законодавца обезбеђује основне нормативне претпоставк</w:t>
      </w:r>
      <w:r>
        <w:rPr>
          <w:color w:val="000000"/>
        </w:rPr>
        <w:t xml:space="preserve">е које омогућују стабилан статус механизама родне равноправности у систему организације власти на свим нивоима и интегрисано деловање свих органа јавне власти на унапређењу </w:t>
      </w:r>
      <w:r>
        <w:rPr>
          <w:color w:val="000000"/>
        </w:rPr>
        <w:lastRenderedPageBreak/>
        <w:t xml:space="preserve">родне равноправности. То је велики искорак важан за родну равноправност и основни, </w:t>
      </w:r>
      <w:r>
        <w:rPr>
          <w:color w:val="000000"/>
        </w:rPr>
        <w:t>али не и једини предуслов (потребан али не и довољан услов) да се у овој мултисекторској области оствари синхронизација и координација деловања различитих актера јавне власти и постигне жељени синергијски ефекат. Прецизиране су обавезе Владе у области родн</w:t>
      </w:r>
      <w:r>
        <w:rPr>
          <w:color w:val="000000"/>
        </w:rPr>
        <w:t>е равноправности</w:t>
      </w:r>
      <w:r>
        <w:rPr>
          <w:color w:val="000000"/>
          <w:vertAlign w:val="superscript"/>
        </w:rPr>
        <w:t>880</w:t>
      </w:r>
      <w:r>
        <w:rPr>
          <w:color w:val="000000"/>
        </w:rPr>
        <w:t>, укључујући и формирање КТРР са задатком да усмерава и координира рад државних органа у вези са родном равноправношћу и разматра сва питања везана за унапређење родне равноправности</w:t>
      </w:r>
      <w:r>
        <w:rPr>
          <w:color w:val="000000"/>
          <w:vertAlign w:val="superscript"/>
        </w:rPr>
        <w:t>881</w:t>
      </w:r>
      <w:r>
        <w:rPr>
          <w:color w:val="000000"/>
        </w:rPr>
        <w:t>, као и Савета за родну равноправност, као саветодав</w:t>
      </w:r>
      <w:r>
        <w:rPr>
          <w:color w:val="000000"/>
        </w:rPr>
        <w:t>ног тела Владе у које је укључено цивилно друштво у најширем обиму.</w:t>
      </w:r>
      <w:r>
        <w:rPr>
          <w:color w:val="000000"/>
          <w:vertAlign w:val="superscript"/>
        </w:rPr>
        <w:t>882</w:t>
      </w:r>
      <w:r>
        <w:rPr>
          <w:color w:val="000000"/>
        </w:rPr>
        <w:t xml:space="preserve"> Примена ових решења у пракси захтева да се слабости и недостаци који су и више наврата истицани у истраживањима и извештајима о стању родне равноправности</w:t>
      </w:r>
      <w:r>
        <w:rPr>
          <w:color w:val="000000"/>
          <w:vertAlign w:val="superscript"/>
        </w:rPr>
        <w:t>883</w:t>
      </w:r>
      <w:r>
        <w:rPr>
          <w:color w:val="000000"/>
        </w:rPr>
        <w:t xml:space="preserve"> као и у препорукама CEDAW комитета</w:t>
      </w:r>
      <w:r>
        <w:rPr>
          <w:color w:val="000000"/>
          <w:vertAlign w:val="superscript"/>
        </w:rPr>
        <w:t>884</w:t>
      </w:r>
      <w:r>
        <w:rPr>
          <w:color w:val="000000"/>
        </w:rPr>
        <w:t xml:space="preserve"> (нејасан мандат и надлежности, недостатак кадрова, слаба техничка и логистичка подршка, изостанак или симболична средства за финансирање активности и ослонац на донаторску помоћ и др.) отклоне и што пре усвоје пратећи</w:t>
      </w:r>
      <w:r>
        <w:rPr>
          <w:color w:val="000000"/>
        </w:rPr>
        <w:t xml:space="preserve"> прописи за примену Закона о родној равноправности којима ће се регулисати састав и начин избора ових органа, њихове надлежности, начин рада и финансирање активности, као и да се обезбеди довољан број квалификованих кадрова који ће радити у овим телима и н</w:t>
      </w:r>
      <w:r>
        <w:rPr>
          <w:color w:val="000000"/>
        </w:rPr>
        <w:t>еопходна техничка и логистичка подршка за њихов рад.</w:t>
      </w:r>
    </w:p>
    <w:p w:rsidR="00BC3CE6" w:rsidRDefault="009A2DE5">
      <w:pPr>
        <w:spacing w:after="150"/>
      </w:pPr>
      <w:r>
        <w:rPr>
          <w:color w:val="000000"/>
        </w:rPr>
        <w:t>Механизми РР у органима управе. Министарства и сви други органи јавне власти, приликом креирања, спровођења, праћења и унапређења секторских политика, закона и подзаконских прописа и кроз активности у об</w:t>
      </w:r>
      <w:r>
        <w:rPr>
          <w:color w:val="000000"/>
        </w:rPr>
        <w:t>ластима за које су надлежни, обавезни су да интегришу циљеве родне равноправности у свим областима, а посебно у областима у којима спроводе опште и посебне мере.</w:t>
      </w:r>
      <w:r>
        <w:rPr>
          <w:color w:val="000000"/>
          <w:vertAlign w:val="superscript"/>
        </w:rPr>
        <w:t>885</w:t>
      </w:r>
      <w:r>
        <w:rPr>
          <w:color w:val="000000"/>
        </w:rPr>
        <w:t xml:space="preserve"> Овом одредбом постављен је законски основ за активност и обавезе свих органа јавне власти д</w:t>
      </w:r>
      <w:r>
        <w:rPr>
          <w:color w:val="000000"/>
        </w:rPr>
        <w:t>а родну равноправност систематски и на организован начин интегришу у јавне политике. Министарство за људска и мањинска права и друштвени дијалог, које је надлежно за родну равноправност</w:t>
      </w:r>
      <w:r>
        <w:rPr>
          <w:color w:val="000000"/>
          <w:vertAlign w:val="superscript"/>
        </w:rPr>
        <w:t>886</w:t>
      </w:r>
      <w:r>
        <w:rPr>
          <w:color w:val="000000"/>
        </w:rPr>
        <w:t>, у оквиру кога је формиран Сектор за антидискриминациону политику и</w:t>
      </w:r>
      <w:r>
        <w:rPr>
          <w:color w:val="000000"/>
        </w:rPr>
        <w:t xml:space="preserve"> унапређење родне равноправности,</w:t>
      </w:r>
      <w:r>
        <w:rPr>
          <w:color w:val="000000"/>
          <w:vertAlign w:val="superscript"/>
        </w:rPr>
        <w:t>887</w:t>
      </w:r>
      <w:r>
        <w:rPr>
          <w:color w:val="000000"/>
        </w:rPr>
        <w:t xml:space="preserve"> није једини актер у овој области за коју је одговорно, већ подршку добија од свих других министарстава и органа јавне власти. Примена ове законске одредбе налагала би да се прописима ближе регулишу процедуре комуникациј</w:t>
      </w:r>
      <w:r>
        <w:rPr>
          <w:color w:val="000000"/>
        </w:rPr>
        <w:t>е и међусобне сарадње, прецизирају мере и конкретне активности на унапређењу родне равноправности у контексту Агенде 2030, као и њихови носиоци. Поред тога, у оквиру министарстава постоје и други облици организовања и деловања жена као својеврсни модели по</w:t>
      </w:r>
      <w:r>
        <w:rPr>
          <w:color w:val="000000"/>
        </w:rPr>
        <w:t>дршке, промоције и охрабрења жена (на пример: Мреже жена у полицији Републике Србије, саветница за родна питања и „особе од поверења” у МО и ВС).</w:t>
      </w:r>
    </w:p>
    <w:p w:rsidR="00BC3CE6" w:rsidRDefault="009A2DE5">
      <w:pPr>
        <w:spacing w:after="150"/>
      </w:pPr>
      <w:r>
        <w:rPr>
          <w:color w:val="000000"/>
        </w:rPr>
        <w:t>Механизми РР у аутономној покрајини. По први пут законом су прописане обавезе органа АПВ да воде политику једн</w:t>
      </w:r>
      <w:r>
        <w:rPr>
          <w:color w:val="000000"/>
        </w:rPr>
        <w:t xml:space="preserve">аких могућности у циљу унапређења родне равноправности и у складу са надлежностима аутономне покрајине, образују механизме РР и регулишу њихов састав, начин избора, </w:t>
      </w:r>
      <w:r>
        <w:rPr>
          <w:color w:val="000000"/>
        </w:rPr>
        <w:lastRenderedPageBreak/>
        <w:t>надлежности и начин рада у складу са надлежностима аутономне покрајине.</w:t>
      </w:r>
      <w:r>
        <w:rPr>
          <w:color w:val="000000"/>
          <w:vertAlign w:val="superscript"/>
        </w:rPr>
        <w:t>888</w:t>
      </w:r>
      <w:r>
        <w:rPr>
          <w:color w:val="000000"/>
        </w:rPr>
        <w:t xml:space="preserve"> Закон о родној р</w:t>
      </w:r>
      <w:r>
        <w:rPr>
          <w:color w:val="000000"/>
        </w:rPr>
        <w:t>авноправности прописује да се у скупштини аутономне покрајине образује стално радно тело за родну равноправност. Покрајинска влада образује Координационо тело за родну равноправност Покрајинске владе, које координира и усклађује ставове органа и организаци</w:t>
      </w:r>
      <w:r>
        <w:rPr>
          <w:color w:val="000000"/>
        </w:rPr>
        <w:t>ја покрајинске управе, других покрајинских органа и служби у остваривању политике једнаких могућности и унапређењу родне равноправности, као и Савет за родну равноправност, као саветодавно тело Покрајинске владе. У АПВ родна равноправност је у делокругу По</w:t>
      </w:r>
      <w:r>
        <w:rPr>
          <w:color w:val="000000"/>
        </w:rPr>
        <w:t>крајинског секретаријата за социјалну политику, демографију и равноправност полова,</w:t>
      </w:r>
      <w:r>
        <w:rPr>
          <w:color w:val="000000"/>
          <w:vertAlign w:val="superscript"/>
        </w:rPr>
        <w:t>889</w:t>
      </w:r>
      <w:r>
        <w:rPr>
          <w:color w:val="000000"/>
        </w:rPr>
        <w:t xml:space="preserve"> али не постоји стално радно тело Покрајинске владе које би координирало активности у области родне равноправности па би га требало формирати и регулисати састав и начин </w:t>
      </w:r>
      <w:r>
        <w:rPr>
          <w:color w:val="000000"/>
        </w:rPr>
        <w:t>избора, надлежности, начин рада и финансирање активности и обезбедити довољан број квалификованих кадрова и неопходну техничку и логистичку подршку за рад и активности. Закон о родној равноправности даје могућност да се образују и друга тела која би се бав</w:t>
      </w:r>
      <w:r>
        <w:rPr>
          <w:color w:val="000000"/>
        </w:rPr>
        <w:t>ила родном равноправношћу. Тела за родну равноправност формирана у аутономној покрајини сарађују са свим другим телима за родну равноправност у питањима значајним за родну равноправност.</w:t>
      </w:r>
    </w:p>
    <w:p w:rsidR="00BC3CE6" w:rsidRDefault="009A2DE5">
      <w:pPr>
        <w:spacing w:after="150"/>
      </w:pPr>
      <w:r>
        <w:rPr>
          <w:color w:val="000000"/>
        </w:rPr>
        <w:t>Механизми РР у ЈЛС. У ЈЛС се такође формирају различита тела за родну</w:t>
      </w:r>
      <w:r>
        <w:rPr>
          <w:color w:val="000000"/>
        </w:rPr>
        <w:t xml:space="preserve"> равноправност – комисија, као стално радно тело у скупштини ЈЛС и савет за родну равноправност, који се образује у органима управе ЈЛС. Закон о родној равноправности ближе регулише основне надлежности ових механизама, а актима скупштине ЈЛС ближе се регул</w:t>
      </w:r>
      <w:r>
        <w:rPr>
          <w:color w:val="000000"/>
        </w:rPr>
        <w:t>ише састав, начин избора чланова/ца, надлежности и начин рада ових тела.</w:t>
      </w:r>
      <w:r>
        <w:rPr>
          <w:color w:val="000000"/>
          <w:vertAlign w:val="superscript"/>
        </w:rPr>
        <w:t>890</w:t>
      </w:r>
      <w:r>
        <w:rPr>
          <w:color w:val="000000"/>
        </w:rPr>
        <w:t xml:space="preserve"> У органима локалне управе постоје и лица задужена за родну равноправност.</w:t>
      </w:r>
    </w:p>
    <w:p w:rsidR="00BC3CE6" w:rsidRDefault="009A2DE5">
      <w:pPr>
        <w:spacing w:after="150"/>
      </w:pPr>
      <w:r>
        <w:rPr>
          <w:color w:val="000000"/>
        </w:rPr>
        <w:t>Механизми РР у органима јавне власти. У свим органима јавне власти који имају више од 50 запослених или ра</w:t>
      </w:r>
      <w:r>
        <w:rPr>
          <w:color w:val="000000"/>
        </w:rPr>
        <w:t>дно ангажованих лица, одређује се, из реда запослених, лице задужено за родну равноправност, чије надлежности прописује Закон о родној равноправности за која се захтева и да буде обучено за обављање послова везаних за родну равноправност.</w:t>
      </w:r>
      <w:r>
        <w:rPr>
          <w:color w:val="000000"/>
          <w:vertAlign w:val="superscript"/>
        </w:rPr>
        <w:t>891</w:t>
      </w:r>
    </w:p>
    <w:p w:rsidR="00BC3CE6" w:rsidRDefault="009A2DE5">
      <w:pPr>
        <w:spacing w:after="150"/>
        <w:jc w:val="both"/>
      </w:pPr>
      <w:r>
        <w:rPr>
          <w:i/>
          <w:color w:val="000000"/>
        </w:rPr>
        <w:t>––––––––</w:t>
      </w:r>
    </w:p>
    <w:p w:rsidR="00BC3CE6" w:rsidRDefault="009A2DE5">
      <w:pPr>
        <w:spacing w:after="150"/>
        <w:jc w:val="both"/>
      </w:pPr>
      <w:r>
        <w:rPr>
          <w:i/>
          <w:color w:val="000000"/>
        </w:rPr>
        <w:t>861 Г</w:t>
      </w:r>
      <w:r>
        <w:rPr>
          <w:i/>
          <w:color w:val="000000"/>
        </w:rPr>
        <w:t>рупа аутора, Оп. цит. 2020, страна 45.</w:t>
      </w:r>
    </w:p>
    <w:p w:rsidR="00BC3CE6" w:rsidRDefault="009A2DE5">
      <w:pPr>
        <w:spacing w:after="150"/>
        <w:jc w:val="both"/>
      </w:pPr>
      <w:r>
        <w:rPr>
          <w:i/>
          <w:color w:val="000000"/>
        </w:rPr>
        <w:t>862 Посебан извештај о дискриминацији старијих грађана, Повереник за заштиту равноправности, 2021, страна 61, доступно на: http://ravnopravnost.gov.rs/posebni-izvestaji/, приступ: 31.5.2021.</w:t>
      </w:r>
    </w:p>
    <w:p w:rsidR="00BC3CE6" w:rsidRDefault="009A2DE5">
      <w:pPr>
        <w:spacing w:after="150"/>
        <w:jc w:val="both"/>
      </w:pPr>
      <w:r>
        <w:rPr>
          <w:i/>
          <w:color w:val="000000"/>
        </w:rPr>
        <w:t>863 Исто, страна 67.</w:t>
      </w:r>
    </w:p>
    <w:p w:rsidR="00BC3CE6" w:rsidRDefault="009A2DE5">
      <w:pPr>
        <w:spacing w:after="150"/>
        <w:jc w:val="both"/>
      </w:pPr>
      <w:r>
        <w:rPr>
          <w:i/>
          <w:color w:val="000000"/>
        </w:rPr>
        <w:t>864 И</w:t>
      </w:r>
      <w:r>
        <w:rPr>
          <w:i/>
          <w:color w:val="000000"/>
        </w:rPr>
        <w:t>сто, стр. 62, 64, 65.</w:t>
      </w:r>
    </w:p>
    <w:p w:rsidR="00BC3CE6" w:rsidRDefault="009A2DE5">
      <w:pPr>
        <w:spacing w:after="150"/>
        <w:jc w:val="both"/>
      </w:pPr>
      <w:r>
        <w:rPr>
          <w:i/>
          <w:color w:val="000000"/>
        </w:rPr>
        <w:t xml:space="preserve">865 Истраживање о положају старијих жена, Повереник за заштиту равноправности, 2017. стр. 33, 34. доступно на: </w:t>
      </w:r>
      <w:r>
        <w:rPr>
          <w:i/>
          <w:color w:val="000000"/>
        </w:rPr>
        <w:lastRenderedPageBreak/>
        <w:t>http://ravnopravnost.gov.rs/wp-content/uploads/2019/08/Polozaj-starijih-zena-u-Srbiji-10.4.2019.-digitalna-verzija.pdf, при</w:t>
      </w:r>
      <w:r>
        <w:rPr>
          <w:i/>
          <w:color w:val="000000"/>
        </w:rPr>
        <w:t>ступ: 31.5.2021.</w:t>
      </w:r>
    </w:p>
    <w:p w:rsidR="00BC3CE6" w:rsidRDefault="009A2DE5">
      <w:pPr>
        <w:spacing w:after="150"/>
        <w:jc w:val="both"/>
      </w:pPr>
      <w:r>
        <w:rPr>
          <w:i/>
          <w:color w:val="000000"/>
        </w:rPr>
        <w:t>866 CEDAW комитет, Закључна запажања у вези са Четвртим периодичном извештајем Републике Србије, доступно на: http://socijalnoukljucivanje.gov.rs/rs/zakljucna-zapazanja-cedaw-u-vezi-sa-cetvrtim-periodicnim-izvestajem-o-primeni-konvencije-o</w:t>
      </w:r>
      <w:r>
        <w:rPr>
          <w:i/>
          <w:color w:val="000000"/>
        </w:rPr>
        <w:t>-eliminisanju-svih-oblika-diskriminacije-zena/, приступ: 15.6.2021.</w:t>
      </w:r>
    </w:p>
    <w:p w:rsidR="00BC3CE6" w:rsidRDefault="009A2DE5">
      <w:pPr>
        <w:spacing w:after="150"/>
        <w:jc w:val="both"/>
      </w:pPr>
      <w:r>
        <w:rPr>
          <w:i/>
          <w:color w:val="000000"/>
        </w:rPr>
        <w:t>867 Исто, Пара 44.</w:t>
      </w:r>
    </w:p>
    <w:p w:rsidR="00BC3CE6" w:rsidRDefault="009A2DE5">
      <w:pPr>
        <w:spacing w:after="150"/>
        <w:jc w:val="both"/>
      </w:pPr>
      <w:r>
        <w:rPr>
          <w:i/>
          <w:color w:val="000000"/>
        </w:rPr>
        <w:t>868 Исто, Пара 48.</w:t>
      </w:r>
    </w:p>
    <w:p w:rsidR="00BC3CE6" w:rsidRDefault="009A2DE5">
      <w:pPr>
        <w:spacing w:after="150"/>
        <w:jc w:val="both"/>
      </w:pPr>
      <w:r>
        <w:rPr>
          <w:i/>
          <w:color w:val="000000"/>
        </w:rPr>
        <w:t>869 Пекиншка декларација и платформа за акцију (поглавље пет, А, Б. и Ц), Пекинг+15 и Пекинг+25.</w:t>
      </w:r>
    </w:p>
    <w:p w:rsidR="00BC3CE6" w:rsidRDefault="009A2DE5">
      <w:pPr>
        <w:spacing w:after="150"/>
        <w:jc w:val="both"/>
      </w:pPr>
      <w:r>
        <w:rPr>
          <w:i/>
          <w:color w:val="000000"/>
        </w:rPr>
        <w:t>870</w:t>
      </w:r>
      <w:r>
        <w:rPr>
          <w:i/>
          <w:color w:val="000000"/>
        </w:rPr>
        <w:tab/>
        <w:t>На пример, Родна равноправност у јединицама локалне самоуправе, (2017. Повереник за равноправност, доступно на: http://ravnopravnost.gov.rs/rs/rodna-ravnopravnost-u-jedinicama-lokalne-samouprave-presek-stanja-u-sprovodenju-preporuke-mera-jedinicama-lok</w:t>
      </w:r>
      <w:r>
        <w:rPr>
          <w:i/>
          <w:color w:val="000000"/>
        </w:rPr>
        <w:t>alne-samouprave-za-ostvarivanje-rodne-ravnopravnosti/; Посебан извештај заштитника грађана – заступљеност жена на местима одлучивања и позицијама и активностима локалних механизама у ЈСЛ, (2018) доступно на: https://www.ombudsman.rs; Први извештај ЖПРС и п</w:t>
      </w:r>
      <w:r>
        <w:rPr>
          <w:i/>
          <w:color w:val="000000"/>
        </w:rPr>
        <w:t>риоритети за 2017– 018, доступно на: http://library.fes.de/pdf-files/bueros/belgrad/12991.pdf и Други извештај о напретку – 2016–2020, доступно на: http://library.fes.de/pdf-files/bueros/belgrad/12991.pdf приступ 28. 8. 2021.</w:t>
      </w:r>
    </w:p>
    <w:p w:rsidR="00BC3CE6" w:rsidRDefault="009A2DE5">
      <w:pPr>
        <w:spacing w:after="150"/>
        <w:jc w:val="both"/>
      </w:pPr>
      <w:r>
        <w:rPr>
          <w:i/>
          <w:color w:val="000000"/>
        </w:rPr>
        <w:t>871 Закључна разматрања и преп</w:t>
      </w:r>
      <w:r>
        <w:rPr>
          <w:i/>
          <w:color w:val="000000"/>
        </w:rPr>
        <w:t>оруке у вези са четвртим периодичним извештајем CEDAW/C/SRB/CO/4, од 4. 3 2019.</w:t>
      </w:r>
    </w:p>
    <w:p w:rsidR="00BC3CE6" w:rsidRDefault="009A2DE5">
      <w:pPr>
        <w:spacing w:after="150"/>
        <w:jc w:val="both"/>
      </w:pPr>
      <w:r>
        <w:rPr>
          <w:i/>
          <w:color w:val="000000"/>
        </w:rPr>
        <w:t>872 Индекс родне равноправности према коме је Србија на 39. од 153. земље а на 41 месту у области политичке укључености. У односу на земње у региону боље раниране су Албанија (</w:t>
      </w:r>
      <w:r>
        <w:rPr>
          <w:i/>
          <w:color w:val="000000"/>
        </w:rPr>
        <w:t>20 место) и Словенија 36. место, Док су иза Србије: Хрватска 60. место, Босна и Херцеговина 69 место, Северна Македонија 70 место и Црна Гора 71. место.</w:t>
      </w:r>
    </w:p>
    <w:p w:rsidR="00BC3CE6" w:rsidRDefault="009A2DE5">
      <w:pPr>
        <w:spacing w:after="150"/>
        <w:jc w:val="both"/>
      </w:pPr>
      <w:r>
        <w:rPr>
          <w:i/>
          <w:color w:val="000000"/>
        </w:rPr>
        <w:tab/>
        <w:t>доступно на: https://www.rodnaravnopravnost.gov.rs/sites/default/files/2018-12/Indeks%20rodne%20ravnop</w:t>
      </w:r>
      <w:r>
        <w:rPr>
          <w:i/>
          <w:color w:val="000000"/>
        </w:rPr>
        <w:t>ravnosti%202018_SRP.PDF приступ 18.6.2021.</w:t>
      </w:r>
    </w:p>
    <w:p w:rsidR="00BC3CE6" w:rsidRDefault="009A2DE5">
      <w:pPr>
        <w:spacing w:after="150"/>
        <w:jc w:val="both"/>
      </w:pPr>
      <w:r>
        <w:rPr>
          <w:i/>
          <w:color w:val="000000"/>
        </w:rPr>
        <w:t>873</w:t>
      </w:r>
      <w:r>
        <w:rPr>
          <w:i/>
          <w:color w:val="000000"/>
        </w:rPr>
        <w:tab/>
        <w:t>Доступно на: http://www.parlament.gov.rs/narodna-skupstina-/sastav/radna-tela/odbori.101.895.html приступ 6.6.2021.</w:t>
      </w:r>
    </w:p>
    <w:p w:rsidR="00BC3CE6" w:rsidRDefault="009A2DE5">
      <w:pPr>
        <w:spacing w:after="150"/>
        <w:jc w:val="both"/>
      </w:pPr>
      <w:r>
        <w:rPr>
          <w:i/>
          <w:color w:val="000000"/>
        </w:rPr>
        <w:t>874 Доступно на. https://www.skupstinavojvodine.gov.rs/Strana.aspx?s=odbori&amp;j=SRL приступ 6.6</w:t>
      </w:r>
      <w:r>
        <w:rPr>
          <w:i/>
          <w:color w:val="000000"/>
        </w:rPr>
        <w:t>.2021.</w:t>
      </w:r>
    </w:p>
    <w:p w:rsidR="00BC3CE6" w:rsidRDefault="009A2DE5">
      <w:pPr>
        <w:spacing w:after="150"/>
        <w:jc w:val="both"/>
      </w:pPr>
      <w:r>
        <w:rPr>
          <w:i/>
          <w:color w:val="000000"/>
        </w:rPr>
        <w:t>875</w:t>
      </w:r>
      <w:r>
        <w:rPr>
          <w:i/>
          <w:color w:val="000000"/>
        </w:rPr>
        <w:tab/>
        <w:t xml:space="preserve">ЖПМ у Народној скупштини (2013) https://zpmsrbija.wordpress.com/, Скупштини АПВ (2016) доступно на: </w:t>
      </w:r>
      <w:r>
        <w:rPr>
          <w:i/>
          <w:color w:val="000000"/>
        </w:rPr>
        <w:lastRenderedPageBreak/>
        <w:t>http://www.skupstinavojvodine.gov.rs/Strana.aspx?s=zenskamreza&amp;j=SRL приступ 6.6.2021.</w:t>
      </w:r>
    </w:p>
    <w:p w:rsidR="00BC3CE6" w:rsidRDefault="009A2DE5">
      <w:pPr>
        <w:spacing w:after="150"/>
        <w:jc w:val="both"/>
      </w:pPr>
      <w:r>
        <w:rPr>
          <w:i/>
          <w:color w:val="000000"/>
        </w:rPr>
        <w:t xml:space="preserve">876 Видети: Жене у парламенту – квота или стварни утицај? </w:t>
      </w:r>
      <w:r>
        <w:rPr>
          <w:i/>
          <w:color w:val="000000"/>
        </w:rPr>
        <w:t>Доступно на: http://www.mc.rs/upload/documents/istrazivanje/2014/Zene_u_parlamentu_Samo_kvota_ili_stvarni_uticaj.pdf приступ 6.6.2021.</w:t>
      </w:r>
    </w:p>
    <w:p w:rsidR="00BC3CE6" w:rsidRDefault="009A2DE5">
      <w:pPr>
        <w:spacing w:after="150"/>
        <w:jc w:val="both"/>
      </w:pPr>
      <w:r>
        <w:rPr>
          <w:i/>
          <w:color w:val="000000"/>
        </w:rPr>
        <w:t>877 Доступно на. https://www.skupstinavojvodine.gov.rs/Strana.aspx?s=odbori&amp;j=SRL приступ 6.6.2021.</w:t>
      </w:r>
    </w:p>
    <w:p w:rsidR="00BC3CE6" w:rsidRDefault="009A2DE5">
      <w:pPr>
        <w:spacing w:after="150"/>
        <w:jc w:val="both"/>
      </w:pPr>
      <w:r>
        <w:rPr>
          <w:i/>
          <w:color w:val="000000"/>
        </w:rPr>
        <w:t>878</w:t>
      </w:r>
      <w:r>
        <w:rPr>
          <w:i/>
          <w:color w:val="000000"/>
        </w:rPr>
        <w:tab/>
        <w:t>Доступно на: http</w:t>
      </w:r>
      <w:r>
        <w:rPr>
          <w:i/>
          <w:color w:val="000000"/>
        </w:rPr>
        <w:t>s://www.mgsi.gov.rs/lat/dokumenti/odluka-o-formiranju-koordinacionog-tela-za-rodnu-ravnopravnost приступ 6.6.2021.</w:t>
      </w:r>
    </w:p>
    <w:p w:rsidR="00BC3CE6" w:rsidRDefault="009A2DE5">
      <w:pPr>
        <w:spacing w:after="150"/>
        <w:jc w:val="both"/>
      </w:pPr>
      <w:r>
        <w:rPr>
          <w:i/>
          <w:color w:val="000000"/>
        </w:rPr>
        <w:t>879 Члан 59. Закона о родној равноправности.</w:t>
      </w:r>
    </w:p>
    <w:p w:rsidR="00BC3CE6" w:rsidRDefault="009A2DE5">
      <w:pPr>
        <w:spacing w:after="150"/>
        <w:jc w:val="both"/>
      </w:pPr>
      <w:r>
        <w:rPr>
          <w:i/>
          <w:color w:val="000000"/>
        </w:rPr>
        <w:t>880 Члан 60. Закона о родној равноправности.</w:t>
      </w:r>
    </w:p>
    <w:p w:rsidR="00BC3CE6" w:rsidRDefault="009A2DE5">
      <w:pPr>
        <w:spacing w:after="150"/>
        <w:jc w:val="both"/>
      </w:pPr>
      <w:r>
        <w:rPr>
          <w:i/>
          <w:color w:val="000000"/>
        </w:rPr>
        <w:t>881 Члан 60. став 1. тачка 5. Закона о родној равно</w:t>
      </w:r>
      <w:r>
        <w:rPr>
          <w:i/>
          <w:color w:val="000000"/>
        </w:rPr>
        <w:t>правности.</w:t>
      </w:r>
    </w:p>
    <w:p w:rsidR="00BC3CE6" w:rsidRDefault="009A2DE5">
      <w:pPr>
        <w:spacing w:after="150"/>
        <w:jc w:val="both"/>
      </w:pPr>
      <w:r>
        <w:rPr>
          <w:i/>
          <w:color w:val="000000"/>
        </w:rPr>
        <w:t>882 Члан 60. став 1. тачка 5. Закона о родној равноправности.</w:t>
      </w:r>
    </w:p>
    <w:p w:rsidR="00BC3CE6" w:rsidRDefault="009A2DE5">
      <w:pPr>
        <w:spacing w:after="150"/>
        <w:jc w:val="both"/>
      </w:pPr>
      <w:r>
        <w:rPr>
          <w:i/>
          <w:color w:val="000000"/>
        </w:rPr>
        <w:t>883 На пример, Извештај КТРР Владе РС за 2019. годину. Доступно на: https://www.rodnaravnopravnost.gov.rs/sites/default/files/2021-02/Izvestaj%20o%20radu%20KTRR%202019.pdf приступ 17.</w:t>
      </w:r>
      <w:r>
        <w:rPr>
          <w:i/>
          <w:color w:val="000000"/>
        </w:rPr>
        <w:t>6.2021; први извештај ЖПРС за 2017 и 2018. годину доступно на https://library.fes.de/pdf-files/bueros/belgrad/12991.pdf ; Демократија и људска права – ЖПРС, други извештај о напретку, доступно на: https://docplayer.rs/210758908-Izveštaj-o-napretku-ii.htm п</w:t>
      </w:r>
      <w:r>
        <w:rPr>
          <w:i/>
          <w:color w:val="000000"/>
        </w:rPr>
        <w:t>риступ 17.6.2021.</w:t>
      </w:r>
    </w:p>
    <w:p w:rsidR="00BC3CE6" w:rsidRDefault="009A2DE5">
      <w:pPr>
        <w:spacing w:after="150"/>
        <w:jc w:val="both"/>
      </w:pPr>
      <w:r>
        <w:rPr>
          <w:i/>
          <w:color w:val="000000"/>
        </w:rPr>
        <w:t>884 Закључна разматрања и препоруке у вези са четвртим периодичним извештајем CEDAW/C/SRB/CO/4, од 4.3.2019.</w:t>
      </w:r>
    </w:p>
    <w:p w:rsidR="00BC3CE6" w:rsidRDefault="009A2DE5">
      <w:pPr>
        <w:spacing w:after="150"/>
        <w:jc w:val="both"/>
      </w:pPr>
      <w:r>
        <w:rPr>
          <w:i/>
          <w:color w:val="000000"/>
        </w:rPr>
        <w:t>885 Члан 61. Закона о родној равноправности.</w:t>
      </w:r>
    </w:p>
    <w:p w:rsidR="00BC3CE6" w:rsidRDefault="009A2DE5">
      <w:pPr>
        <w:spacing w:after="150"/>
        <w:jc w:val="both"/>
      </w:pPr>
      <w:r>
        <w:rPr>
          <w:i/>
          <w:color w:val="000000"/>
        </w:rPr>
        <w:t>886 Члан 12. Закона о министарствима, „Службени гласник РС”, број 128/20.</w:t>
      </w:r>
    </w:p>
    <w:p w:rsidR="00BC3CE6" w:rsidRDefault="009A2DE5">
      <w:pPr>
        <w:spacing w:after="150"/>
        <w:jc w:val="both"/>
      </w:pPr>
      <w:r>
        <w:rPr>
          <w:i/>
          <w:color w:val="000000"/>
        </w:rPr>
        <w:t>887 Доступ</w:t>
      </w:r>
      <w:r>
        <w:rPr>
          <w:i/>
          <w:color w:val="000000"/>
        </w:rPr>
        <w:t>но на: https://www.minljmpdd.gov.rs/ приступ 6.6.2021.</w:t>
      </w:r>
    </w:p>
    <w:p w:rsidR="00BC3CE6" w:rsidRDefault="009A2DE5">
      <w:pPr>
        <w:spacing w:after="150"/>
        <w:jc w:val="both"/>
      </w:pPr>
      <w:r>
        <w:rPr>
          <w:i/>
          <w:color w:val="000000"/>
        </w:rPr>
        <w:t>888 Члан 62. Закона о родној равноправности.</w:t>
      </w:r>
    </w:p>
    <w:p w:rsidR="00BC3CE6" w:rsidRDefault="009A2DE5">
      <w:pPr>
        <w:spacing w:after="150"/>
        <w:jc w:val="both"/>
      </w:pPr>
      <w:r>
        <w:rPr>
          <w:i/>
          <w:color w:val="000000"/>
        </w:rPr>
        <w:t>889 Доступно на: http://www.socijalnapolitika.vojvodina.gov.rs/ приступ 6.6.2021.</w:t>
      </w:r>
    </w:p>
    <w:p w:rsidR="00BC3CE6" w:rsidRDefault="009A2DE5">
      <w:pPr>
        <w:spacing w:after="150"/>
        <w:jc w:val="both"/>
      </w:pPr>
      <w:r>
        <w:rPr>
          <w:i/>
          <w:color w:val="000000"/>
        </w:rPr>
        <w:t>890 Члан 63. став 4. Закона о родној равноправности.</w:t>
      </w:r>
    </w:p>
    <w:p w:rsidR="00BC3CE6" w:rsidRDefault="009A2DE5">
      <w:pPr>
        <w:spacing w:after="150"/>
        <w:jc w:val="both"/>
      </w:pPr>
      <w:r>
        <w:rPr>
          <w:i/>
          <w:color w:val="000000"/>
        </w:rPr>
        <w:t>891 Члан 64. Закона о</w:t>
      </w:r>
      <w:r>
        <w:rPr>
          <w:i/>
          <w:color w:val="000000"/>
        </w:rPr>
        <w:t xml:space="preserve"> родној равноправности.</w:t>
      </w:r>
    </w:p>
    <w:p w:rsidR="00BC3CE6" w:rsidRDefault="009A2DE5">
      <w:pPr>
        <w:spacing w:after="120"/>
        <w:jc w:val="center"/>
      </w:pPr>
      <w:r>
        <w:rPr>
          <w:i/>
          <w:color w:val="000000"/>
        </w:rPr>
        <w:t>5.4.2 Родно осетљива статистика</w:t>
      </w:r>
    </w:p>
    <w:p w:rsidR="00BC3CE6" w:rsidRDefault="009A2DE5">
      <w:pPr>
        <w:spacing w:after="150"/>
      </w:pPr>
      <w:r>
        <w:rPr>
          <w:color w:val="000000"/>
        </w:rPr>
        <w:t xml:space="preserve">Родно осетљива статистика није дискретно или изоловано поље. Она пресеца традиционалне статистичке области, као што су економија, пољопривреда, здравство или запошљавање, и све друге области како би </w:t>
      </w:r>
      <w:r>
        <w:rPr>
          <w:color w:val="000000"/>
        </w:rPr>
        <w:t xml:space="preserve">се истражиле разлике које постоје између жена и мушкарца, девојчица и </w:t>
      </w:r>
      <w:r>
        <w:rPr>
          <w:color w:val="000000"/>
        </w:rPr>
        <w:lastRenderedPageBreak/>
        <w:t>дечака у друштву. Такве информације су од виталног значаја за доношење одлука ка достизању родне равноправности. Идентификовање потребних података како би се разумели проблеми и идентифи</w:t>
      </w:r>
      <w:r>
        <w:rPr>
          <w:color w:val="000000"/>
        </w:rPr>
        <w:t>ковали циљеви повезани са родним питањима од суштинског је значаја за производњу родне статистике. Стога, приступ оријентисан ка јавним политикама, а не једноставно рашчлањивање података према полу је у основи родно осетљивe статистикe</w:t>
      </w:r>
      <w:r>
        <w:rPr>
          <w:color w:val="000000"/>
          <w:vertAlign w:val="superscript"/>
        </w:rPr>
        <w:t>892</w:t>
      </w:r>
      <w:r>
        <w:rPr>
          <w:color w:val="000000"/>
        </w:rPr>
        <w:t>.</w:t>
      </w:r>
    </w:p>
    <w:p w:rsidR="00BC3CE6" w:rsidRDefault="009A2DE5">
      <w:pPr>
        <w:spacing w:after="150"/>
      </w:pPr>
      <w:r>
        <w:rPr>
          <w:color w:val="000000"/>
        </w:rPr>
        <w:t xml:space="preserve">Она је важан је </w:t>
      </w:r>
      <w:r>
        <w:rPr>
          <w:color w:val="000000"/>
        </w:rPr>
        <w:t>алат за целовито, систематско и на подацима засновано праћење стања у области родне равноправности и извештавања о напретку или застојима у тој области и један од инструмената за примену циља 16. потциља 16.б Агенде 2030. Родно сензитивна статистика је и н</w:t>
      </w:r>
      <w:r>
        <w:rPr>
          <w:color w:val="000000"/>
        </w:rPr>
        <w:t>еопходан извор података за креирање индекса родне равноправности као свеобухватног показатеља напретка у области родне равноправности. Јединствен, на прецизним показатељима заснован систем прикупљања, обраде и јавног презентовања података предуслов је да о</w:t>
      </w:r>
      <w:r>
        <w:rPr>
          <w:color w:val="000000"/>
        </w:rPr>
        <w:t>вај алат буде поуздан ослонац за сагледавање стања и предузимање мера у доменима у којима се бележи напредовање, стагнација или назадовање.</w:t>
      </w:r>
    </w:p>
    <w:p w:rsidR="00BC3CE6" w:rsidRDefault="009A2DE5">
      <w:pPr>
        <w:spacing w:after="150"/>
      </w:pPr>
      <w:r>
        <w:rPr>
          <w:color w:val="000000"/>
        </w:rPr>
        <w:t>У Републици Србији од 2005. године РЗС перманентно води и даље унапређује статистику разврстану по полу, а сваке три</w:t>
      </w:r>
      <w:r>
        <w:rPr>
          <w:color w:val="000000"/>
        </w:rPr>
        <w:t xml:space="preserve"> године ови подаци се публикују и јавно су доступни. Статистика разврстана по полу води се у следећим областима: становништво, здравство, социјална заштита, образовање и наука, запосленост, зараде и пензије, животни стандард, коришћење времена, правосуђе, </w:t>
      </w:r>
      <w:r>
        <w:rPr>
          <w:color w:val="000000"/>
        </w:rPr>
        <w:t>доношење одлука и међународни индекси. То је значајан ослонац за сагледавање стања у области родне равноправности, а лонгитудинално и праћење стања омогућује да се сагледају трендови у овим областима значајним за родну равноправност, што је посебно значајн</w:t>
      </w:r>
      <w:r>
        <w:rPr>
          <w:color w:val="000000"/>
        </w:rPr>
        <w:t>о не само за извештавање према међународним телима која прате примену међународних стандарда у области родне равноправности, већ и за креирање јавних политика и мера које је неопходно предузети како би се отклониле препреке и застоји, унапредило стање у об</w:t>
      </w:r>
      <w:r>
        <w:rPr>
          <w:color w:val="000000"/>
        </w:rPr>
        <w:t>ласти родне равноправности и превенирала родно заснована дискриминација.</w:t>
      </w:r>
    </w:p>
    <w:p w:rsidR="00BC3CE6" w:rsidRDefault="009A2DE5">
      <w:pPr>
        <w:spacing w:after="150"/>
      </w:pPr>
      <w:r>
        <w:rPr>
          <w:color w:val="000000"/>
        </w:rPr>
        <w:t>Република Србија је прва земља која није чланица ЕУ, која је на иницијативу КТРР и СИПРУ, још 2016. године увела коришћење индекса родне равноправности, који омогућава свеобухватно ме</w:t>
      </w:r>
      <w:r>
        <w:rPr>
          <w:color w:val="000000"/>
        </w:rPr>
        <w:t>рење родне равноправности креирано у складу са стандардима и контекстом политике ЕУ са којима се законодавство Републике Србије усклађује у току процеса приступања. То је несумњиво велики искорак јер поставља базичне вредности као параметре на основу којих</w:t>
      </w:r>
      <w:r>
        <w:rPr>
          <w:color w:val="000000"/>
        </w:rPr>
        <w:t xml:space="preserve"> је могуће мерити и напредак, али и застоје у одређеним временским периодима и омогућује упоредивост стања родне равноправности у Републици Србији са стањем у државама чланицама ЕУ.</w:t>
      </w:r>
    </w:p>
    <w:p w:rsidR="00BC3CE6" w:rsidRDefault="009A2DE5">
      <w:pPr>
        <w:spacing w:after="150"/>
      </w:pPr>
      <w:r>
        <w:rPr>
          <w:color w:val="000000"/>
        </w:rPr>
        <w:lastRenderedPageBreak/>
        <w:t>Родна статистика не подразумева само разврставање и приказивање већ постој</w:t>
      </w:r>
      <w:r>
        <w:rPr>
          <w:color w:val="000000"/>
        </w:rPr>
        <w:t>ећих података по полу, него и уважавање и укључивање разлика које постоје у свакодневици и изазовима са којима се жене и мушкарци сусрећу у свим сферама друштвеног живота. У родној статистици, која је разврстана само по полу, недостаје препознавање и уважа</w:t>
      </w:r>
      <w:r>
        <w:rPr>
          <w:color w:val="000000"/>
        </w:rPr>
        <w:t>вање разлика у потребама као и проблемима са којима се жене и мушкарци сусрећу. О томе говори и више пута помињан недостатак ове врсте података изнет у одељку Стратегије о оцени стања у различитим областима. Овај недостатак ублажава се, али не и потпуно от</w:t>
      </w:r>
      <w:r>
        <w:rPr>
          <w:color w:val="000000"/>
        </w:rPr>
        <w:t>клања организовањем и спровођењем посебних истраживања, анализа и извештаја Повереника за заштиту равноправности, Заштитника грађана, женских ОЦД и академске заједнице, поменутих у оцени стања у различитим областима. Стога је нужно целовито сагледати родне</w:t>
      </w:r>
      <w:r>
        <w:rPr>
          <w:color w:val="000000"/>
        </w:rPr>
        <w:t xml:space="preserve"> аспекте разлика које постоје у свакодневици о изазовима са којима се жене и мушкарци сусрећу, креирати параметре и показатеље који о томе говоре, укључити их у статистичко праћење како би се родна статистика унапредила.</w:t>
      </w:r>
    </w:p>
    <w:p w:rsidR="00BC3CE6" w:rsidRDefault="009A2DE5">
      <w:pPr>
        <w:spacing w:after="150"/>
      </w:pPr>
      <w:r>
        <w:rPr>
          <w:color w:val="000000"/>
        </w:rPr>
        <w:t>Недостају или су непотпуни подаци к</w:t>
      </w:r>
      <w:r>
        <w:rPr>
          <w:color w:val="000000"/>
        </w:rPr>
        <w:t>оји се односе на потребе и проблеме са којима се сусрећу рањиве групе често изложене вишеструкој дисимилацији, што је забележено у оцени стања у свим областима које се прате у Стратегији. Не постоје подаци о тражиоцима и корисницима бесплатне правне помоћи</w:t>
      </w:r>
      <w:r>
        <w:rPr>
          <w:color w:val="000000"/>
        </w:rPr>
        <w:t>, а нарочито подаци о томе који су разлози због којих се захтева бесплатна правна помоћ.</w:t>
      </w:r>
    </w:p>
    <w:p w:rsidR="00BC3CE6" w:rsidRDefault="009A2DE5">
      <w:pPr>
        <w:spacing w:after="150"/>
      </w:pPr>
      <w:r>
        <w:rPr>
          <w:color w:val="000000"/>
        </w:rPr>
        <w:t>Недостају подаци из домена пословне статистике што укључује податке о ММСП разврстане по полу власника. Недостају подаци о банковним рачунима по полу, кредитима, и дру</w:t>
      </w:r>
      <w:r>
        <w:rPr>
          <w:color w:val="000000"/>
        </w:rPr>
        <w:t>гим финансијским производима. Поред РЗС ту су и друге институције које прикупљају податке и воде различите регистре, а које потом користи РЗС, па је унапређење система прикупљања података важно да обухвати све релевантне институције које су извори података</w:t>
      </w:r>
      <w:r>
        <w:rPr>
          <w:color w:val="000000"/>
        </w:rPr>
        <w:t>, као што су на пример Народна банка Србије или Агенција за привредне регистре, али и многе друге.</w:t>
      </w:r>
    </w:p>
    <w:p w:rsidR="00BC3CE6" w:rsidRDefault="009A2DE5">
      <w:pPr>
        <w:spacing w:after="150"/>
      </w:pPr>
      <w:r>
        <w:rPr>
          <w:color w:val="000000"/>
        </w:rPr>
        <w:t>Статистике које воде различити органи јавне власти често су непотпуне, а агрегатни подаци нису увек лако доступни. За редовне објаве података као на пример п</w:t>
      </w:r>
      <w:r>
        <w:rPr>
          <w:color w:val="000000"/>
        </w:rPr>
        <w:t>росечне нето и бруто зараде податак није разврстан и по полу него мора да се улажу додатни напори у добијање тих података. Затим, на пример, подаци о: фемициду; броју пријављених случајева родно заснованог насиља и насиља према женама разврстаних по облику</w:t>
      </w:r>
      <w:r>
        <w:rPr>
          <w:color w:val="000000"/>
        </w:rPr>
        <w:t xml:space="preserve"> насиља, полу жртве која је претрпела насиље и полу извршиоца насиља и међусобном односу жртве и извршиоца насиља; броју лица која су извршила насиље у породици, разврстаних по полу и међусобном односу жртве и извршиоца насиља; броју пресуда за родно засно</w:t>
      </w:r>
      <w:r>
        <w:rPr>
          <w:color w:val="000000"/>
        </w:rPr>
        <w:t>вано насиље и насиље према женама разврстаних по полу жртве насиља и полу извршилаца насиља; броју судских спорова који су вођени у вези са дискриминацијом на основу пола и рода, а који су окончани у корист запослених, као и начину поступања по судским одл</w:t>
      </w:r>
      <w:r>
        <w:rPr>
          <w:color w:val="000000"/>
        </w:rPr>
        <w:t xml:space="preserve">укама; броју судских спорова; броју пријава </w:t>
      </w:r>
      <w:r>
        <w:rPr>
          <w:color w:val="000000"/>
        </w:rPr>
        <w:lastRenderedPageBreak/>
        <w:t>запослених и радно ангажованих лица која су изложена узнемиравању, сексуалном узнемиравању или уцењивању или другом поступању које има за последицу дискриминацију на основу пола или рода разврстаних по полу и ста</w:t>
      </w:r>
      <w:r>
        <w:rPr>
          <w:color w:val="000000"/>
        </w:rPr>
        <w:t>росној доби, разврстаних по полу и старосној доби и др.</w:t>
      </w:r>
    </w:p>
    <w:p w:rsidR="00BC3CE6" w:rsidRDefault="009A2DE5">
      <w:pPr>
        <w:spacing w:after="150"/>
      </w:pPr>
      <w:r>
        <w:rPr>
          <w:color w:val="000000"/>
        </w:rPr>
        <w:t>Недостатак података или непотпуни подаци, како би могле да се препознају и уваже разлике у погледу потреба и проблема са којима се сусрећу и жене и мушкарци, а који утичу на њихов свакодневни живот, г</w:t>
      </w:r>
      <w:r>
        <w:rPr>
          <w:color w:val="000000"/>
        </w:rPr>
        <w:t>овори да је неопходно унапредити родну статистику и олакшати статистичко праћење напретка у области родне равноправности. Координација ангажмана различитих актера који раде на евидентирању података, синхронизовање активности, јединствен систем евидентирања</w:t>
      </w:r>
      <w:r>
        <w:rPr>
          <w:color w:val="000000"/>
        </w:rPr>
        <w:t xml:space="preserve"> и праћења, методологија која обезбеђује упоредивост података претпоставка је за успостављање валидних база података што је важан алат за обликовање јавних политика и пројектовање мера које имају за циљ смањење родној јаза и унапређење родне равноправности</w:t>
      </w:r>
      <w:r>
        <w:rPr>
          <w:color w:val="000000"/>
        </w:rPr>
        <w:t>.</w:t>
      </w:r>
    </w:p>
    <w:p w:rsidR="00BC3CE6" w:rsidRDefault="009A2DE5">
      <w:pPr>
        <w:spacing w:after="150"/>
      </w:pPr>
      <w:r>
        <w:rPr>
          <w:color w:val="000000"/>
        </w:rPr>
        <w:t xml:space="preserve">Недавно донет Закон о родној равноправности исцрпно регулише родно осетљиве податке које треба прикупљати, изричито прописује да је то обавеза органа јавне власти, послодаваца и тела за родну равноправност, прецизира које податке евидентирају послодавци </w:t>
      </w:r>
      <w:r>
        <w:rPr>
          <w:color w:val="000000"/>
        </w:rPr>
        <w:t xml:space="preserve">и органи јавне власти, а које тела за родну равноправност, налаже да се подаци исказују бројчано и процентуално, да не могу садржавати податке о личности и да морају бити ажурни, регулише инструменте за примену и надзор над применом ових одредби као и сет </w:t>
      </w:r>
      <w:r>
        <w:rPr>
          <w:color w:val="000000"/>
        </w:rPr>
        <w:t>питања релевантних за извештавање о стању родне равноправности међу којима су: годишњи извештаји органа јавне власти, послодаваца и тела за родну равноправност о стању родне равноправности, структура и садржај извештаја и образац за извештавање обавезе пол</w:t>
      </w:r>
      <w:r>
        <w:rPr>
          <w:color w:val="000000"/>
        </w:rPr>
        <w:t>итичких странака у вези са извештавањем о родној равноправности обавезе надлежног министарства у вези са извештајима (усвајање пратећих прописа за примену закона, објављивање података на интернет страници министарства и Владе, достављање података РЗС и др.</w:t>
      </w:r>
      <w:r>
        <w:rPr>
          <w:color w:val="000000"/>
        </w:rPr>
        <w:t xml:space="preserve">), као и обавезе РЗС да сваке године на својој интернет страници објављује податке, а сваке треће године и у посебној публикацији. Све ове нове обавезе је потребно прецизирати и уредити додатним актима. Законским регулисањем најважнијих питања релевантних </w:t>
      </w:r>
      <w:r>
        <w:rPr>
          <w:color w:val="000000"/>
        </w:rPr>
        <w:t>за родну статистику и имплементацију ових законских одредби створен је солидан нормативни оквир за унапређење родне статистике. Важан услов за њихову примену је хитно усвајање пратећих прописа као усвајање Националне стратегије за родну равноправност којом</w:t>
      </w:r>
      <w:r>
        <w:rPr>
          <w:color w:val="000000"/>
        </w:rPr>
        <w:t xml:space="preserve"> треба прописати активности, њихове носиоце и рокове у којима их је нужно реализовати, јер су то нужни и корисни алати за примену нових решења, а ефекте примене законских решења неопходно је континуирано пратити. Подједнако важна је и континуирана обука ак</w:t>
      </w:r>
      <w:r>
        <w:rPr>
          <w:color w:val="000000"/>
        </w:rPr>
        <w:t>тера који раде на овим питањима.</w:t>
      </w:r>
    </w:p>
    <w:p w:rsidR="00BC3CE6" w:rsidRDefault="009A2DE5">
      <w:pPr>
        <w:spacing w:after="150"/>
      </w:pPr>
      <w:r>
        <w:rPr>
          <w:color w:val="000000"/>
        </w:rPr>
        <w:t xml:space="preserve">Потребно је додатно олакшати приступ родној статистици за појединачне општине, олакшати претраживање и преузимање података те унапредити </w:t>
      </w:r>
      <w:r>
        <w:rPr>
          <w:color w:val="000000"/>
        </w:rPr>
        <w:lastRenderedPageBreak/>
        <w:t>њихово приказивање, као и повећати обуке у области примене постојећих доступних подата</w:t>
      </w:r>
      <w:r>
        <w:rPr>
          <w:color w:val="000000"/>
        </w:rPr>
        <w:t>ка и база, а које се недовољно користе за родно одговорно планирање.</w:t>
      </w:r>
    </w:p>
    <w:p w:rsidR="00BC3CE6" w:rsidRDefault="009A2DE5">
      <w:pPr>
        <w:spacing w:after="150"/>
        <w:jc w:val="both"/>
      </w:pPr>
      <w:r>
        <w:rPr>
          <w:i/>
          <w:color w:val="000000"/>
        </w:rPr>
        <w:t>––––––––</w:t>
      </w:r>
    </w:p>
    <w:p w:rsidR="00BC3CE6" w:rsidRDefault="009A2DE5">
      <w:pPr>
        <w:spacing w:after="150"/>
        <w:jc w:val="both"/>
      </w:pPr>
      <w:r>
        <w:rPr>
          <w:i/>
          <w:color w:val="000000"/>
        </w:rPr>
        <w:t>892</w:t>
      </w:r>
      <w:r>
        <w:rPr>
          <w:i/>
          <w:color w:val="000000"/>
        </w:rPr>
        <w:tab/>
        <w:t>Доступно на: https://unece.org/DAM/stats/publications/Developing_Gender_Statistics.pdf приступ 20.8.2021.</w:t>
      </w:r>
    </w:p>
    <w:p w:rsidR="00BC3CE6" w:rsidRDefault="009A2DE5">
      <w:pPr>
        <w:spacing w:after="120"/>
        <w:jc w:val="center"/>
      </w:pPr>
      <w:r>
        <w:rPr>
          <w:i/>
          <w:color w:val="000000"/>
        </w:rPr>
        <w:t>5.4.3. Родно одговорно буџетирање</w:t>
      </w:r>
    </w:p>
    <w:p w:rsidR="00BC3CE6" w:rsidRDefault="009A2DE5">
      <w:pPr>
        <w:spacing w:after="150"/>
      </w:pPr>
      <w:r>
        <w:rPr>
          <w:color w:val="000000"/>
        </w:rPr>
        <w:t>Обавеза Родно одговорног буџетирањ</w:t>
      </w:r>
      <w:r>
        <w:rPr>
          <w:color w:val="000000"/>
        </w:rPr>
        <w:t>а (РОБ) у Републици Србији уведена је у децембру 2015. године изменама и допунама Закона о буџетском систему (ЗБС) и примењује се поступно од буџета за 2016. годину, а до 2024. године би требало да се у потпуности примени у целокупном буџету на нивоу Репуб</w:t>
      </w:r>
      <w:r>
        <w:rPr>
          <w:color w:val="000000"/>
        </w:rPr>
        <w:t>лике, аутономне покрајине и ЈЛС. РОБ је прописан и Законом о родној равноправности.</w:t>
      </w:r>
    </w:p>
    <w:p w:rsidR="00BC3CE6" w:rsidRDefault="009A2DE5">
      <w:pPr>
        <w:spacing w:after="150"/>
      </w:pPr>
      <w:r>
        <w:rPr>
          <w:color w:val="000000"/>
        </w:rPr>
        <w:t>РОБ представља увођење принципа родне равноправности у буџетски процес, што подразумева родну анализу буџета и реструктурирање прихода и расхода са циљем унапређења родне р</w:t>
      </w:r>
      <w:r>
        <w:rPr>
          <w:color w:val="000000"/>
        </w:rPr>
        <w:t>авноправности. ЗБС у члану 4. дефинише да су циљеви буџетског система и постизање алокацијске ефикасности која подразумева распоређивање средстава буџета са циљем унапређења родне равноправности. РОБ се примењује на начин што до 31. марта текуће године мин</w:t>
      </w:r>
      <w:r>
        <w:rPr>
          <w:color w:val="000000"/>
        </w:rPr>
        <w:t>истар финансија, покрајински секретар за финансије и oрган ЈЛС надлежан за финансије доносе План поступног увођења РОБ-а, у којем се одређује које су обавезе буџетских корисника у поступку планирања, спровођења и извештавања буџета.</w:t>
      </w:r>
    </w:p>
    <w:p w:rsidR="00BC3CE6" w:rsidRDefault="009A2DE5">
      <w:pPr>
        <w:spacing w:after="150"/>
      </w:pPr>
      <w:r>
        <w:rPr>
          <w:color w:val="000000"/>
        </w:rPr>
        <w:t>Према упутству које изд</w:t>
      </w:r>
      <w:r>
        <w:rPr>
          <w:color w:val="000000"/>
        </w:rPr>
        <w:t>аје надлежни орган за финансије, буџетски корисници су у обавези да прикажу РОБ у оквиру своје програмске структуре буџета. РОБ је алат који осигурава да се у оквиру приоритета који се финансирају дефинишу и родно одговорни циљеви и показатељи успеха у окв</w:t>
      </w:r>
      <w:r>
        <w:rPr>
          <w:color w:val="000000"/>
        </w:rPr>
        <w:t>иру програмске структуре буџета, којима ће се отклонити родни јаз у различитим областима. Годишњи извештаји о учинку садрже и извештај у учинку по РОБ циљевима и индикаторима. У поступку примене РОБ-а буџетски корисници добијају техничку подршку, а годишњи</w:t>
      </w:r>
      <w:r>
        <w:rPr>
          <w:color w:val="000000"/>
        </w:rPr>
        <w:t xml:space="preserve"> извештаји о напретку су јавно доступни. Примери добре праксе и на који су начин буџетски корисници допринели унапређењу родне равноправности доступни су у извештајима о напретку и извештајима о учинку.</w:t>
      </w:r>
    </w:p>
    <w:p w:rsidR="00BC3CE6" w:rsidRDefault="009A2DE5">
      <w:pPr>
        <w:spacing w:after="150"/>
      </w:pPr>
      <w:r>
        <w:rPr>
          <w:color w:val="000000"/>
        </w:rPr>
        <w:t>РОБ на националном и покрајинском нивоу. Од почетка п</w:t>
      </w:r>
      <w:r>
        <w:rPr>
          <w:color w:val="000000"/>
        </w:rPr>
        <w:t>римене континуирано се повећава број буџетских корисника који су започели примену ове обавезе. У буџету за 2020. годину 41 директни буџетски корисник на националном нивоу је испунио своју обавезу. РОБ је примењен у 66 програма, 83 програмске активности и 2</w:t>
      </w:r>
      <w:r>
        <w:rPr>
          <w:color w:val="000000"/>
        </w:rPr>
        <w:t xml:space="preserve">1 пројекту, а исказан je кроз 86 циљева и 232 родно осетљива индикатора. У буџету за 2020. на нивоу аутономне покрајине 25 директних буџетских корисника је применило РОБ у </w:t>
      </w:r>
      <w:r>
        <w:rPr>
          <w:color w:val="000000"/>
        </w:rPr>
        <w:lastRenderedPageBreak/>
        <w:t>41 програму, 70 програмских активности, два пројекта кроз 116 родно одговорна циља и</w:t>
      </w:r>
      <w:r>
        <w:rPr>
          <w:color w:val="000000"/>
        </w:rPr>
        <w:t xml:space="preserve"> 288 родно осетљива индикатора. Процес примене РОБ-а тече континуирано, координира се из Министарства финансија и Покрајинског секретаријата за финансије, а у сарадњи са институционалним механизмима и уз додатну експертску подршку.</w:t>
      </w:r>
    </w:p>
    <w:p w:rsidR="00BC3CE6" w:rsidRDefault="009A2DE5">
      <w:pPr>
        <w:spacing w:after="150"/>
      </w:pPr>
      <w:r>
        <w:rPr>
          <w:color w:val="000000"/>
        </w:rPr>
        <w:t>Број буџетских корисника</w:t>
      </w:r>
      <w:r>
        <w:rPr>
          <w:color w:val="000000"/>
        </w:rPr>
        <w:t xml:space="preserve"> и примена по годинама приказана је у следећој табели:</w:t>
      </w:r>
    </w:p>
    <w:p w:rsidR="00BC3CE6" w:rsidRDefault="009A2DE5">
      <w:pPr>
        <w:spacing w:after="150"/>
      </w:pPr>
      <w:r>
        <w:rPr>
          <w:color w:val="000000"/>
        </w:rPr>
        <w:t>Табела 4.</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1620"/>
        <w:gridCol w:w="1501"/>
        <w:gridCol w:w="1501"/>
        <w:gridCol w:w="1502"/>
        <w:gridCol w:w="1502"/>
        <w:gridCol w:w="1502"/>
      </w:tblGrid>
      <w:tr w:rsidR="00BC3CE6">
        <w:trPr>
          <w:trHeight w:val="45"/>
          <w:tblCellSpacing w:w="0" w:type="auto"/>
        </w:trPr>
        <w:tc>
          <w:tcPr>
            <w:tcW w:w="281" w:type="dxa"/>
            <w:tcBorders>
              <w:top w:val="single" w:sz="8" w:space="0" w:color="000000"/>
              <w:left w:val="single" w:sz="8" w:space="0" w:color="000000"/>
              <w:bottom w:val="single" w:sz="8" w:space="0" w:color="000000"/>
              <w:right w:val="single" w:sz="8" w:space="0" w:color="000000"/>
            </w:tcBorders>
            <w:vAlign w:val="center"/>
          </w:tcPr>
          <w:p w:rsidR="00BC3CE6" w:rsidRDefault="00BC3CE6"/>
        </w:tc>
        <w:tc>
          <w:tcPr>
            <w:tcW w:w="282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Број буџетских корисника који су применили РОБ-а у буџету за 2017.</w:t>
            </w:r>
          </w:p>
        </w:tc>
        <w:tc>
          <w:tcPr>
            <w:tcW w:w="282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Број буџетских корисника који су применили РОБ-а у буџету за 2018.</w:t>
            </w:r>
          </w:p>
        </w:tc>
        <w:tc>
          <w:tcPr>
            <w:tcW w:w="282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Број буџетских корисника који су применили РОБ-а у буџет</w:t>
            </w:r>
            <w:r>
              <w:rPr>
                <w:color w:val="000000"/>
              </w:rPr>
              <w:t>у за 2019.</w:t>
            </w:r>
          </w:p>
        </w:tc>
        <w:tc>
          <w:tcPr>
            <w:tcW w:w="282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Број буџетских корисника који су применили РОБ-а у буџету за 2020.</w:t>
            </w:r>
          </w:p>
        </w:tc>
        <w:tc>
          <w:tcPr>
            <w:tcW w:w="282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Број буџетских корисника који су применили РОБ-а у буџету за 2021.</w:t>
            </w:r>
          </w:p>
        </w:tc>
      </w:tr>
      <w:tr w:rsidR="00BC3CE6">
        <w:trPr>
          <w:trHeight w:val="45"/>
          <w:tblCellSpacing w:w="0" w:type="auto"/>
        </w:trPr>
        <w:tc>
          <w:tcPr>
            <w:tcW w:w="28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Национални ниво</w:t>
            </w:r>
          </w:p>
        </w:tc>
        <w:tc>
          <w:tcPr>
            <w:tcW w:w="282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26</w:t>
            </w:r>
          </w:p>
        </w:tc>
        <w:tc>
          <w:tcPr>
            <w:tcW w:w="282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33</w:t>
            </w:r>
          </w:p>
        </w:tc>
        <w:tc>
          <w:tcPr>
            <w:tcW w:w="282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34</w:t>
            </w:r>
          </w:p>
        </w:tc>
        <w:tc>
          <w:tcPr>
            <w:tcW w:w="282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41</w:t>
            </w:r>
          </w:p>
        </w:tc>
        <w:tc>
          <w:tcPr>
            <w:tcW w:w="282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Податак ће бити доступан у јулу</w:t>
            </w:r>
          </w:p>
        </w:tc>
      </w:tr>
      <w:tr w:rsidR="00BC3CE6">
        <w:trPr>
          <w:trHeight w:val="45"/>
          <w:tblCellSpacing w:w="0" w:type="auto"/>
        </w:trPr>
        <w:tc>
          <w:tcPr>
            <w:tcW w:w="28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Аутономна покрајина</w:t>
            </w:r>
          </w:p>
        </w:tc>
        <w:tc>
          <w:tcPr>
            <w:tcW w:w="282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10</w:t>
            </w:r>
          </w:p>
        </w:tc>
        <w:tc>
          <w:tcPr>
            <w:tcW w:w="282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14</w:t>
            </w:r>
          </w:p>
        </w:tc>
        <w:tc>
          <w:tcPr>
            <w:tcW w:w="282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18</w:t>
            </w:r>
          </w:p>
        </w:tc>
        <w:tc>
          <w:tcPr>
            <w:tcW w:w="282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25</w:t>
            </w:r>
          </w:p>
        </w:tc>
        <w:tc>
          <w:tcPr>
            <w:tcW w:w="282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Податак ће бити </w:t>
            </w:r>
            <w:r>
              <w:rPr>
                <w:color w:val="000000"/>
              </w:rPr>
              <w:t>доступан у јулу</w:t>
            </w:r>
          </w:p>
        </w:tc>
      </w:tr>
    </w:tbl>
    <w:p w:rsidR="00BC3CE6" w:rsidRDefault="009A2DE5">
      <w:pPr>
        <w:spacing w:after="150"/>
      </w:pPr>
      <w:r>
        <w:rPr>
          <w:color w:val="000000"/>
        </w:rPr>
        <w:t xml:space="preserve">Од почетка примене преко 1300 државних службеника и службеница је обучено, а код свих буџетских корисника су формирани тимови за РОБ. Обуке и подршка у примени РОБ-а је настаљена и проширује се на индиректне буџетске кориснике. Припремљен </w:t>
      </w:r>
      <w:r>
        <w:rPr>
          <w:color w:val="000000"/>
        </w:rPr>
        <w:t>је и едукативни филм о РОБ. У току је израда обуке о РОБ у оквиру Националне академије за јавну управу која је РОБ уврстила у званичан програм обука, а обука ће бити доступна у 2022. години за све запослене у јавној управи.</w:t>
      </w:r>
    </w:p>
    <w:p w:rsidR="00BC3CE6" w:rsidRDefault="009A2DE5">
      <w:pPr>
        <w:spacing w:after="150"/>
      </w:pPr>
      <w:r>
        <w:rPr>
          <w:color w:val="000000"/>
        </w:rPr>
        <w:t>Државна ревизорска институција к</w:t>
      </w:r>
      <w:r>
        <w:rPr>
          <w:color w:val="000000"/>
        </w:rPr>
        <w:t>роз својe годишње ревизије проверава и примену РОБ-а код буџетских корисника и о томе извештава у својим годишњим извештајима.</w:t>
      </w:r>
    </w:p>
    <w:p w:rsidR="00BC3CE6" w:rsidRDefault="009A2DE5">
      <w:pPr>
        <w:spacing w:after="150"/>
      </w:pPr>
      <w:r>
        <w:rPr>
          <w:color w:val="000000"/>
        </w:rPr>
        <w:t>После пет година примене постигнути су значајни резултати. Међутим, да би РОБ постао одрживи део система управљања јавним финанси</w:t>
      </w:r>
      <w:r>
        <w:rPr>
          <w:color w:val="000000"/>
        </w:rPr>
        <w:t>јама неопходно је у наредним циклусима јачати квалитет РОБ-а, да се препознају и искористе пропуштене шансе за продубљивање РОБ-а кроз артикулацију родно трансформативнијих РОБ циљева и индикатора, односно кроз одлучније усмеравање инвестиција у родну равн</w:t>
      </w:r>
      <w:r>
        <w:rPr>
          <w:color w:val="000000"/>
        </w:rPr>
        <w:t xml:space="preserve">оправност и отклањање документованог родног јаза у секторима. Једна од основних сврха РОБ-а </w:t>
      </w:r>
      <w:r>
        <w:rPr>
          <w:color w:val="000000"/>
        </w:rPr>
        <w:lastRenderedPageBreak/>
        <w:t xml:space="preserve">јесте да скрати време потребно за остваривање пуне родне равноправности кроз реалокацију ресурса за попуњавање родног јаза и отклањање баријера равноправном учешћу </w:t>
      </w:r>
      <w:r>
        <w:rPr>
          <w:color w:val="000000"/>
        </w:rPr>
        <w:t>жена и мушкараца из различитих група. Наставак заједничког и координисаног рада на националном и покрајинском нивоу на институционализацији РОБ процеса и даље представља кључни приоритет у јачању одрживости РОБ процеса. Јачање контролне и надзорне улоге ко</w:t>
      </w:r>
      <w:r>
        <w:rPr>
          <w:color w:val="000000"/>
        </w:rPr>
        <w:t>ју треба да врше национални механизам за родну равноправност (на техничком нивоу и на нивоу укрштања са родном агендом) и Народна скупштина и Скупштина АПВ (у смислу поштовања намере Закона о буџетском систему и антидискриминационих закона) представља најв</w:t>
      </w:r>
      <w:r>
        <w:rPr>
          <w:color w:val="000000"/>
        </w:rPr>
        <w:t>ажнији замајац у правцу изврсности домаћег модела РОБ-а.</w:t>
      </w:r>
    </w:p>
    <w:p w:rsidR="00BC3CE6" w:rsidRDefault="009A2DE5">
      <w:pPr>
        <w:spacing w:after="150"/>
      </w:pPr>
      <w:r>
        <w:rPr>
          <w:color w:val="000000"/>
        </w:rPr>
        <w:t>Потребно је процедурално уредити процес рада на РОБ-у код самих буџетских корисника. И даље често недостаје нужна синергија која настаје укрштањем и адекватним повезивањем родно одговорних политика с</w:t>
      </w:r>
      <w:r>
        <w:rPr>
          <w:color w:val="000000"/>
        </w:rPr>
        <w:t>а секторским политикама. Нема адекватних знања и процедура за препознавање родног јаза у оквиру надлежности буџетског корисника, односно родно одговорно планирање, које се рефлектује код израде приоритетних области финансирања, и касније буџета. Да би се у</w:t>
      </w:r>
      <w:r>
        <w:rPr>
          <w:color w:val="000000"/>
        </w:rPr>
        <w:t>вођењу РОБ-а пружила адекватна подршка, потребно је да се РОБ интегрише у све фазе буџетског процеса што укључује и припрему приоритетних области финансирања, да се израде додатни правилници и процедуре за РОБ, које би сваком појединачном буџетском корисни</w:t>
      </w:r>
      <w:r>
        <w:rPr>
          <w:color w:val="000000"/>
        </w:rPr>
        <w:t>ку помогла препознавање родног јаза и родно одговорно планирање секторских политика и буџета. Уз то, неопходно је даље унапредити информациони систем на националном нивоу како би се олакшала и убрзала консолидација РОБ-а у предлозима буџета, усвојеном буџе</w:t>
      </w:r>
      <w:r>
        <w:rPr>
          <w:color w:val="000000"/>
        </w:rPr>
        <w:t>ту и у извештајима о учинку. На нивоу аутономне покрајине информациони систем је унапређен.</w:t>
      </w:r>
    </w:p>
    <w:p w:rsidR="00BC3CE6" w:rsidRDefault="009A2DE5">
      <w:pPr>
        <w:spacing w:after="150"/>
      </w:pPr>
      <w:r>
        <w:rPr>
          <w:color w:val="000000"/>
        </w:rPr>
        <w:t>Стабилизација РОБ процеса треба да се обезбеди кроз успостављање и јачање стубова подршке: координација РОБ процеса са остатком буџетског процеса коју раде Министар</w:t>
      </w:r>
      <w:r>
        <w:rPr>
          <w:color w:val="000000"/>
        </w:rPr>
        <w:t>ство финансија и Покрајински секретаријат за финансије; координација родних политика и приоритета и квалитета садржаја РОБ циљева и индикатора, што је улога националног механизма за родну равноправност у сарадњи са механизмима на покрајинском и локалном ни</w:t>
      </w:r>
      <w:r>
        <w:rPr>
          <w:color w:val="000000"/>
        </w:rPr>
        <w:t>воу и другим телима и организацијама која имају специфична секторска знања, и контрола ефеката кроз сагледавање и мерење квалитета исхода РОБ процеса, како на нивоу појединачних буџетских корисника, тако и као целина родно одговорног буџета. Ову важну улог</w:t>
      </w:r>
      <w:r>
        <w:rPr>
          <w:color w:val="000000"/>
        </w:rPr>
        <w:t>у могли би да имају различити актери укључујући Народну скупштину, а посебно одбор за финансије, одбор надлежан за родну равноправност и Државна ревизорска институција, Фискални савет Републике Србије и ОЦД, које у статуту имају јачање родне равноправности</w:t>
      </w:r>
      <w:r>
        <w:rPr>
          <w:color w:val="000000"/>
        </w:rPr>
        <w:t xml:space="preserve"> и оснаживање жена као приоритетни циљ. РОБ би додатно требало појачати кроз унапређење система у складу са препорукама датим кроз годишње извештаје о напретку РОБ-а у Републици Србији, али и у складу са међународном добром праксом и препорукама </w:t>
      </w:r>
      <w:r>
        <w:rPr>
          <w:color w:val="000000"/>
        </w:rPr>
        <w:lastRenderedPageBreak/>
        <w:t>датим кроз</w:t>
      </w:r>
      <w:r>
        <w:rPr>
          <w:color w:val="000000"/>
        </w:rPr>
        <w:t xml:space="preserve"> процену јавних расхода и јавних финансија (PEFA) и оквира за РОБ.</w:t>
      </w:r>
    </w:p>
    <w:p w:rsidR="00BC3CE6" w:rsidRDefault="009A2DE5">
      <w:pPr>
        <w:spacing w:after="150"/>
      </w:pPr>
      <w:r>
        <w:rPr>
          <w:color w:val="000000"/>
        </w:rPr>
        <w:t xml:space="preserve">РОБ на нивоу ЈЛС. Подаци о примени на локалном нивоу су непотпуни, а из праксе рада на терену пре свега кроз подршку СКГО у овој области закључује се да се на локалном нивоу знатно касније </w:t>
      </w:r>
      <w:r>
        <w:rPr>
          <w:color w:val="000000"/>
        </w:rPr>
        <w:t>кренуло са применом. Стога је један број ЈЛС започео примену РОБ-а, али значајан број ЈЛС још не примењује РОБ. Такође, ЈЛС немају довољно изграђене капацитете за родно одговорно планирање и буџетирање. Поред овога, сам начин планирања буџета и задата прог</w:t>
      </w:r>
      <w:r>
        <w:rPr>
          <w:color w:val="000000"/>
        </w:rPr>
        <w:t>рамска структура ЈЛС не дају довољно простора за адекватно приказивање родно одговорних циљева и индикатора. Постоје и примери да ЈЛС одвајају средства за унапређење родне равноправности, али те активности нису довољно видљиве у буџетској структури. Како ј</w:t>
      </w:r>
      <w:r>
        <w:rPr>
          <w:color w:val="000000"/>
        </w:rPr>
        <w:t>е РОБ стална обавеза која проистиче из ЗБС, као и да је интегрисање родне перспективе дефинисано Законом о родној равноправности и ЗБС, неопходно би било размотрити увођење програмске активности на нивоу сваког буџетског програма у структури буџета ЈЛС. До</w:t>
      </w:r>
      <w:r>
        <w:rPr>
          <w:color w:val="000000"/>
        </w:rPr>
        <w:t xml:space="preserve">датно, неопходно је стандардизовати обрасце и упутства као и омогућити видљивост РОБ алокација у софтверу који ЈЛС користе како би могла да се врши једноставна консолидација и извештавање на нивоу једне, а онда и свих ЈЛС. Самим тим би се и појачао надзор </w:t>
      </w:r>
      <w:r>
        <w:rPr>
          <w:color w:val="000000"/>
        </w:rPr>
        <w:t>над применом обавезе РОБ-а зато што би подаци били доступни.</w:t>
      </w:r>
    </w:p>
    <w:p w:rsidR="00BC3CE6" w:rsidRDefault="009A2DE5">
      <w:pPr>
        <w:spacing w:after="150"/>
      </w:pPr>
      <w:r>
        <w:rPr>
          <w:color w:val="000000"/>
        </w:rPr>
        <w:t>Потребно је појачати надзор над применом на нивоу ЈЛС и учинити неопходне кораке како би се изградили сви неопходни капацитети за родно одговорно планирање и буџетирање, као и обезбедила неопходн</w:t>
      </w:r>
      <w:r>
        <w:rPr>
          <w:color w:val="000000"/>
        </w:rPr>
        <w:t>а родна статистика и евиденције. Закон о родној равноправности је подршка у том смеру.</w:t>
      </w:r>
    </w:p>
    <w:p w:rsidR="00BC3CE6" w:rsidRDefault="009A2DE5">
      <w:pPr>
        <w:spacing w:after="150"/>
      </w:pPr>
      <w:r>
        <w:rPr>
          <w:color w:val="000000"/>
        </w:rPr>
        <w:t xml:space="preserve">Као подршка буџетским корисницима у примени РОБ-а на нивоу ЈЛС одржане су бројне обуке. СКГО пружа континуирану подршку, а развијени су различити приручници и упутства. </w:t>
      </w:r>
      <w:r>
        <w:rPr>
          <w:color w:val="000000"/>
        </w:rPr>
        <w:t>Поред СКГО, подршку пружа и UN Women, који је развио онлајн платформу са бесплатном обуком и приручницима.</w:t>
      </w:r>
    </w:p>
    <w:p w:rsidR="00BC3CE6" w:rsidRDefault="009A2DE5">
      <w:pPr>
        <w:spacing w:after="120"/>
        <w:jc w:val="center"/>
      </w:pPr>
      <w:r>
        <w:rPr>
          <w:color w:val="000000"/>
        </w:rPr>
        <w:t>6. ВИЗИЈА</w:t>
      </w:r>
    </w:p>
    <w:p w:rsidR="00BC3CE6" w:rsidRDefault="009A2DE5">
      <w:pPr>
        <w:spacing w:after="150"/>
      </w:pPr>
      <w:r>
        <w:rPr>
          <w:color w:val="000000"/>
        </w:rPr>
        <w:t>Визија која се остварује овом стратегијом је родно равноправна Република Србија, у којој су жене и мушкарци, девојчице и дечаци, као и особ</w:t>
      </w:r>
      <w:r>
        <w:rPr>
          <w:color w:val="000000"/>
        </w:rPr>
        <w:t>е другачијих родних идентитета, равноправни, имају једнака права и једнаке могућности за лични развој, пружају равноправан допринос одрживом развоју друштва, уживају једнаке користи од развоја друштва, равноправно учествују у одлучивању о развоју друштва и</w:t>
      </w:r>
      <w:r>
        <w:rPr>
          <w:color w:val="000000"/>
        </w:rPr>
        <w:t xml:space="preserve"> преузимају једнаку одговорност за будућност.</w:t>
      </w:r>
    </w:p>
    <w:p w:rsidR="00BC3CE6" w:rsidRDefault="009A2DE5">
      <w:pPr>
        <w:spacing w:after="120"/>
        <w:jc w:val="center"/>
      </w:pPr>
      <w:r>
        <w:rPr>
          <w:color w:val="000000"/>
        </w:rPr>
        <w:t>7. ЦИЉЕВИ СТРАТЕГИЈЕ И МЕРЕ ЗА ЊИХОВО ОСТВАРИВАЊЕ</w:t>
      </w:r>
    </w:p>
    <w:p w:rsidR="00BC3CE6" w:rsidRDefault="009A2DE5">
      <w:pPr>
        <w:spacing w:after="150"/>
      </w:pPr>
      <w:r>
        <w:rPr>
          <w:color w:val="000000"/>
        </w:rPr>
        <w:lastRenderedPageBreak/>
        <w:t>7.1. Oпшти циљ: Превазилажење родног јаза и остваривање родне равноправности као предуслов за развој друштва и побољшање свакодневног живота жена и мушкараца, д</w:t>
      </w:r>
      <w:r>
        <w:rPr>
          <w:color w:val="000000"/>
        </w:rPr>
        <w:t>евојчица и дечака.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72"/>
        <w:gridCol w:w="2072"/>
        <w:gridCol w:w="1456"/>
        <w:gridCol w:w="1456"/>
        <w:gridCol w:w="2072"/>
      </w:tblGrid>
      <w:tr w:rsidR="00BC3CE6">
        <w:trPr>
          <w:trHeight w:val="45"/>
          <w:tblCellSpacing w:w="0" w:type="auto"/>
        </w:trPr>
        <w:tc>
          <w:tcPr>
            <w:tcW w:w="73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Показатељ исхода</w:t>
            </w:r>
          </w:p>
        </w:tc>
        <w:tc>
          <w:tcPr>
            <w:tcW w:w="142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Јединица мере</w:t>
            </w:r>
          </w:p>
        </w:tc>
        <w:tc>
          <w:tcPr>
            <w:tcW w:w="523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Почетна вредност</w:t>
            </w:r>
          </w:p>
        </w:tc>
        <w:tc>
          <w:tcPr>
            <w:tcW w:w="523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Циљана вредност</w:t>
            </w:r>
          </w:p>
        </w:tc>
        <w:tc>
          <w:tcPr>
            <w:tcW w:w="177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Извор верификације</w:t>
            </w:r>
          </w:p>
        </w:tc>
      </w:tr>
      <w:tr w:rsidR="00BC3CE6">
        <w:trPr>
          <w:trHeight w:val="45"/>
          <w:tblCellSpacing w:w="0" w:type="auto"/>
        </w:trPr>
        <w:tc>
          <w:tcPr>
            <w:tcW w:w="73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Индекс родне</w:t>
            </w:r>
          </w:p>
          <w:p w:rsidR="00BC3CE6" w:rsidRDefault="009A2DE5">
            <w:pPr>
              <w:spacing w:after="150"/>
            </w:pPr>
            <w:r>
              <w:rPr>
                <w:color w:val="000000"/>
              </w:rPr>
              <w:t>родне равноправности</w:t>
            </w:r>
          </w:p>
        </w:tc>
        <w:tc>
          <w:tcPr>
            <w:tcW w:w="142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Вредност индекса родне равноправности</w:t>
            </w:r>
          </w:p>
        </w:tc>
        <w:tc>
          <w:tcPr>
            <w:tcW w:w="523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2021: 58</w:t>
            </w:r>
          </w:p>
        </w:tc>
        <w:tc>
          <w:tcPr>
            <w:tcW w:w="523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2030: 80</w:t>
            </w:r>
          </w:p>
        </w:tc>
        <w:tc>
          <w:tcPr>
            <w:tcW w:w="177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РЗС: Индекс родне равноправности</w:t>
            </w:r>
          </w:p>
        </w:tc>
      </w:tr>
    </w:tbl>
    <w:p w:rsidR="00BC3CE6" w:rsidRDefault="009A2DE5">
      <w:pPr>
        <w:spacing w:after="150"/>
      </w:pPr>
      <w:r>
        <w:rPr>
          <w:color w:val="000000"/>
        </w:rPr>
        <w:t xml:space="preserve">Циљеви Стратегије усаглашени </w:t>
      </w:r>
      <w:r>
        <w:rPr>
          <w:color w:val="000000"/>
        </w:rPr>
        <w:t>су са циљевима и мерама обухваћеним другим националним стратешким документима, првенствено у области правосуђа и унапређења људских права, као и у другим областима обухваћеним овим стратешким документом.</w:t>
      </w:r>
    </w:p>
    <w:p w:rsidR="00BC3CE6" w:rsidRDefault="009A2DE5">
      <w:pPr>
        <w:spacing w:after="150"/>
      </w:pPr>
      <w:r>
        <w:rPr>
          <w:color w:val="000000"/>
        </w:rPr>
        <w:t xml:space="preserve">Стратегија се ослања и на Агенду 2030, усклађена је </w:t>
      </w:r>
      <w:r>
        <w:rPr>
          <w:color w:val="000000"/>
        </w:rPr>
        <w:t>са овом Агендом и процесом приступања ЕУ, а циљеви постављени у Стратегији одговарају циљевима и потциљевима дефинисаним Агендом 2030 и у складу су са препорукама CEDAW комитета. Поред циља 5. који се односи у целини на родну равноправност као фактор разво</w:t>
      </w:r>
      <w:r>
        <w:rPr>
          <w:color w:val="000000"/>
        </w:rPr>
        <w:t>ја то су и: циљ 1. (Свет без сиромаштва) потциљеви 1.б и 1.4; циљ 2. (Свет без глади) потциљеви 2.3, 2.4 и 2.а, циљ 3. (Добро здравље) потциљеви 3.4, 3.7, 3.8 и 3.а, циљ 4. (квалитетно образовање) потциљеви 4.1, 4.2, 4.3, 4.4, 4.5, 4.6 и 4.а, циљ 6. (Чиста</w:t>
      </w:r>
      <w:r>
        <w:rPr>
          <w:color w:val="000000"/>
        </w:rPr>
        <w:t xml:space="preserve"> вода и санитарни услови) потциљеви 6.1, 6.2 и 6.4, циљ 7. (Доступна и обновљива енергија) потциљеви 7.1 и 7.2, циљ 8. (Достојанствен рад и економски раст) потциљеви 8.8 и 8.б, циљ 9. (Индустрија, иновације, инфраструктура) потциљ 9.5, циљ 10. (Смањење неј</w:t>
      </w:r>
      <w:r>
        <w:rPr>
          <w:color w:val="000000"/>
        </w:rPr>
        <w:t>еднакости) потциљеви 10.2, 10.3, 10.4 и 10.7, циљ 11. (Одрживи градови и заједнице) потциљеви 11.1 и 11.7, циљ 12. (Одговорна потрошња и производња) потциљеви 12.8, 12.а и 12.б, циљ 13. (Акција за климу) потциљеви 13.2, 13.3 и 13.а, циљ 15. (Живот на земљи</w:t>
      </w:r>
      <w:r>
        <w:rPr>
          <w:color w:val="000000"/>
        </w:rPr>
        <w:t>) потциљ 15.9 и циљ 16. (Мир, правда и снажније институције) потциљеви 16.1, 16.3, 16.6, 16.7, 16.9, 16.10, 16.а и 16.б). Једна од основних критичких замерки претходној стратегији у евалуацији је била да се та стратегија није бавила развојним питањима, већ</w:t>
      </w:r>
      <w:r>
        <w:rPr>
          <w:color w:val="000000"/>
        </w:rPr>
        <w:t xml:space="preserve"> је била окренута ка секторским стратегијама и да би такав приступ требало мењати).</w:t>
      </w:r>
    </w:p>
    <w:p w:rsidR="00BC3CE6" w:rsidRDefault="009A2DE5">
      <w:pPr>
        <w:spacing w:after="150"/>
      </w:pPr>
      <w:r>
        <w:rPr>
          <w:color w:val="000000"/>
        </w:rPr>
        <w:t>Сагледана је њихова међузависност, те је примена и испуњење овде постављених циљева и мера повезана са испуњавањем других реформских циљева који су дефинисани важећим докум</w:t>
      </w:r>
      <w:r>
        <w:rPr>
          <w:color w:val="000000"/>
        </w:rPr>
        <w:t>ентима јавних политика који се односе на приступање ЕУ, развој и унапређење родне равноправности и људских права у РС.</w:t>
      </w:r>
    </w:p>
    <w:p w:rsidR="00BC3CE6" w:rsidRDefault="009A2DE5">
      <w:pPr>
        <w:spacing w:after="150"/>
      </w:pPr>
      <w:r>
        <w:rPr>
          <w:color w:val="000000"/>
        </w:rPr>
        <w:t>Праћење испуњености општег циља вршиће се кроз праћење и вредновање учинака и ефеката примене првог АП за период 2021–2023. који је саста</w:t>
      </w:r>
      <w:r>
        <w:rPr>
          <w:color w:val="000000"/>
        </w:rPr>
        <w:t xml:space="preserve">вни </w:t>
      </w:r>
      <w:r>
        <w:rPr>
          <w:color w:val="000000"/>
        </w:rPr>
        <w:lastRenderedPageBreak/>
        <w:t>део ове стратегије, као и свих наредних АП-ова, и кроз извештавање о постигнутим резултатима.</w:t>
      </w:r>
    </w:p>
    <w:p w:rsidR="00BC3CE6" w:rsidRDefault="009A2DE5">
      <w:pPr>
        <w:spacing w:after="150"/>
      </w:pPr>
      <w:r>
        <w:rPr>
          <w:color w:val="000000"/>
        </w:rPr>
        <w:t>Ефекти примене јавне политике у области родне равноправности мериће се на основу доступних података о правима и положају жена у различитим сферама живота и ра</w:t>
      </w:r>
      <w:r>
        <w:rPr>
          <w:color w:val="000000"/>
        </w:rPr>
        <w:t>да, на основу извештаја међународних тела која прате стање у области родне равноправности и женских људских права, као и на основу испуњености индикатора на нивоу мера и активности дефинисаних свим АП-овима, који ће регулисати примену ове стратегије.</w:t>
      </w:r>
    </w:p>
    <w:p w:rsidR="00BC3CE6" w:rsidRDefault="009A2DE5">
      <w:pPr>
        <w:spacing w:after="150"/>
      </w:pPr>
      <w:r>
        <w:rPr>
          <w:color w:val="000000"/>
        </w:rPr>
        <w:t>Као и</w:t>
      </w:r>
      <w:r>
        <w:rPr>
          <w:color w:val="000000"/>
        </w:rPr>
        <w:t>звори верификације за постигнуте резултате и ефекте примене мера из овог документа, служиће званичне информације и подаци институција, подаци академске заједнице, као и друге јавно доступне информације и подаци ОЦД које се баве заштитом људских права, посе</w:t>
      </w:r>
      <w:r>
        <w:rPr>
          <w:color w:val="000000"/>
        </w:rPr>
        <w:t>бно женских људских права.</w:t>
      </w:r>
    </w:p>
    <w:p w:rsidR="00BC3CE6" w:rsidRDefault="009A2DE5">
      <w:pPr>
        <w:spacing w:after="150"/>
      </w:pPr>
      <w:r>
        <w:rPr>
          <w:color w:val="000000"/>
        </w:rPr>
        <w:t>За постизање општег циља, у тренутку утврђивања стања и проблема у области родне равноправности у Републици Србији, као и разлога услед којих се приступило изради Стратегије, сагледане су три алтернативне опције које су посматран</w:t>
      </w:r>
      <w:r>
        <w:rPr>
          <w:color w:val="000000"/>
        </w:rPr>
        <w:t>е из угла капацитета државе и других укључених актера за испуњење општег циља.</w:t>
      </w:r>
    </w:p>
    <w:p w:rsidR="00BC3CE6" w:rsidRDefault="009A2DE5">
      <w:pPr>
        <w:spacing w:after="150"/>
      </w:pPr>
      <w:r>
        <w:rPr>
          <w:color w:val="000000"/>
        </w:rPr>
        <w:t>Разматране опције:</w:t>
      </w:r>
    </w:p>
    <w:p w:rsidR="00BC3CE6" w:rsidRDefault="009A2DE5">
      <w:pPr>
        <w:spacing w:after="150"/>
      </w:pPr>
      <w:r>
        <w:rPr>
          <w:color w:val="000000"/>
        </w:rPr>
        <w:t xml:space="preserve">1. STATUS QUO ОПЦИЈА – подразумева да се општи циљ остварује у мери и обиму који одговара затеченом стању у погледу примене међународних норми и националног </w:t>
      </w:r>
      <w:r>
        <w:rPr>
          <w:color w:val="000000"/>
        </w:rPr>
        <w:t>законодавног оквира за остваривање политике родне равноправности, а сагледава кроз примену одредби ратификованих међународних докумената, општеприхваћених правила међународног права, као и праксе међународних тела која надзиру примену међународних докумена</w:t>
      </w:r>
      <w:r>
        <w:rPr>
          <w:color w:val="000000"/>
        </w:rPr>
        <w:t>та и домаћег законодавства.</w:t>
      </w:r>
    </w:p>
    <w:p w:rsidR="00BC3CE6" w:rsidRDefault="009A2DE5">
      <w:pPr>
        <w:spacing w:after="150"/>
      </w:pPr>
      <w:r>
        <w:rPr>
          <w:color w:val="000000"/>
        </w:rPr>
        <w:t>2. ОПЦИЈА 1 – Усвајање нових и измена и допуна постојећих закона и прописа у областима обухваћених Стратегијом треба да омогуће унапређење и усаглашавање низа материјалноправних и процесноправних законских одредаба, чиме би се д</w:t>
      </w:r>
      <w:r>
        <w:rPr>
          <w:color w:val="000000"/>
        </w:rPr>
        <w:t>опринело унапређењу положаја жена у Републици Србији.</w:t>
      </w:r>
    </w:p>
    <w:p w:rsidR="00BC3CE6" w:rsidRDefault="009A2DE5">
      <w:pPr>
        <w:spacing w:after="150"/>
      </w:pPr>
      <w:r>
        <w:rPr>
          <w:color w:val="000000"/>
        </w:rPr>
        <w:t>Све измене и допуне постојећих, као и усвајање нових законских и стратешких докумената у областима које обухвата ова стратегија, а који се односе на родну равноправност и којима се утиче на права и поло</w:t>
      </w:r>
      <w:r>
        <w:rPr>
          <w:color w:val="000000"/>
        </w:rPr>
        <w:t>жај жена у Републици Србији, морају бити усаглашене са међународним стандардима и прописима (Пекиншка декларација и CEDAW конвенција). У оквиру ове опције мора се сагледати и ниво финансијских средстава опредељених из буџета на свим нивоима власти, за реал</w:t>
      </w:r>
      <w:r>
        <w:rPr>
          <w:color w:val="000000"/>
        </w:rPr>
        <w:t>изацију мера и активности дефинисаних овом стратегијом и припадајућим АП-овима, као и износ потенцијалних донаторских средстава.</w:t>
      </w:r>
    </w:p>
    <w:p w:rsidR="00BC3CE6" w:rsidRDefault="009A2DE5">
      <w:pPr>
        <w:spacing w:after="150"/>
      </w:pPr>
      <w:r>
        <w:rPr>
          <w:color w:val="000000"/>
        </w:rPr>
        <w:lastRenderedPageBreak/>
        <w:t>Ова опција обухвата постепено и делимично унапређење стања и решавање проблема уз издвојена довољна буџетска средства, а кроз з</w:t>
      </w:r>
      <w:r>
        <w:rPr>
          <w:color w:val="000000"/>
        </w:rPr>
        <w:t>аједничко деловање одговорних институција и цивилног сектора на остваривању општег и посебних циљева ове стратегије. Како се ова стратегија усваја за период од 2021. до 2030. године, опција 1 обухвата анализу ефеката за период од првих пет година примене С</w:t>
      </w:r>
      <w:r>
        <w:rPr>
          <w:color w:val="000000"/>
        </w:rPr>
        <w:t>тратегије.</w:t>
      </w:r>
    </w:p>
    <w:p w:rsidR="00BC3CE6" w:rsidRDefault="009A2DE5">
      <w:pPr>
        <w:spacing w:after="150"/>
      </w:pPr>
      <w:r>
        <w:rPr>
          <w:color w:val="000000"/>
        </w:rPr>
        <w:t>3. ОПЦИЈА 2 – Свеобухватно испуњавање општег циља ове стратегије огледа се у потпуном испуњавању критеријума из АП за Поглавља 23 – Правосуђе и основна права и Поглавља 19 – социјална политика и запошљавање, усклађивање политика са стандардима Е</w:t>
      </w:r>
      <w:r>
        <w:rPr>
          <w:color w:val="000000"/>
        </w:rPr>
        <w:t>У, ратификованим међународним уговорима у одговарајућим областима, и општеприхваћеним правилима међународног права, као и закључцима и препорукама које је Република Србија добила од релевантних тела: закључци Извештаја ЕК о напретку Републике Србије (2018–</w:t>
      </w:r>
      <w:r>
        <w:rPr>
          <w:color w:val="000000"/>
        </w:rPr>
        <w:t>2020), закључци Европског комитета за социјална права у вези са применом Европске социјалне повеље, Закључна запажања Комитета УН за елиминацију дискриминације жена у вези са Четвртим периодичним извештајем о примени Конвенције УН о елиминацији свих облика</w:t>
      </w:r>
      <w:r>
        <w:rPr>
          <w:color w:val="000000"/>
        </w:rPr>
        <w:t xml:space="preserve"> дискриминације жена, препорукама GREVIO експертске групе о законодавним и другим мерама примене одредби Конвенције Савета Европе о спречавању и борби против насиља над женама и насиља у породици у Србији, Индексом родне равноправности и Извештајима о праћ</w:t>
      </w:r>
      <w:r>
        <w:rPr>
          <w:color w:val="000000"/>
        </w:rPr>
        <w:t>ењу ЦОР, посебно циља број 5.</w:t>
      </w:r>
    </w:p>
    <w:p w:rsidR="00BC3CE6" w:rsidRDefault="009A2DE5">
      <w:pPr>
        <w:spacing w:after="150"/>
      </w:pPr>
      <w:r>
        <w:rPr>
          <w:color w:val="000000"/>
        </w:rPr>
        <w:t>Ова опција обухвата шири и координисани обухват у односу на опцију 1.</w:t>
      </w:r>
    </w:p>
    <w:p w:rsidR="00BC3CE6" w:rsidRDefault="009A2DE5">
      <w:pPr>
        <w:spacing w:after="150"/>
      </w:pPr>
      <w:r>
        <w:rPr>
          <w:color w:val="000000"/>
        </w:rPr>
        <w:t xml:space="preserve">Опција 2 обухвата постепено и делимично испуњавање општег циља и потпуно испуњавање више од половине специфичних циљева стратегије, подразумева континуитет </w:t>
      </w:r>
      <w:r>
        <w:rPr>
          <w:color w:val="000000"/>
        </w:rPr>
        <w:t>у њиховом испуњавању и козистентност резултата, током целог периода примене Стратегије, што представља реалну и могућу опцију за период имплементације од десет година, са пратећим АП-овима.</w:t>
      </w:r>
    </w:p>
    <w:p w:rsidR="00BC3CE6" w:rsidRDefault="009A2DE5">
      <w:pPr>
        <w:spacing w:after="150"/>
      </w:pPr>
      <w:r>
        <w:rPr>
          <w:color w:val="000000"/>
        </w:rPr>
        <w:t>У поређењу опција, коришћена је мултикритеријумска анализа</w:t>
      </w:r>
      <w:r>
        <w:rPr>
          <w:color w:val="000000"/>
          <w:vertAlign w:val="superscript"/>
        </w:rPr>
        <w:t>893</w:t>
      </w:r>
      <w:r>
        <w:rPr>
          <w:color w:val="000000"/>
        </w:rPr>
        <w:t>, кор</w:t>
      </w:r>
      <w:r>
        <w:rPr>
          <w:color w:val="000000"/>
        </w:rPr>
        <w:t>ишћењем следећих критеријума за оцену опција:</w:t>
      </w:r>
    </w:p>
    <w:p w:rsidR="00BC3CE6" w:rsidRDefault="009A2DE5">
      <w:pPr>
        <w:spacing w:after="150"/>
      </w:pPr>
      <w:r>
        <w:rPr>
          <w:color w:val="000000"/>
        </w:rPr>
        <w:t>а) ефективност – у којој мери се постиже општи циљ;</w:t>
      </w:r>
    </w:p>
    <w:p w:rsidR="00BC3CE6" w:rsidRDefault="009A2DE5">
      <w:pPr>
        <w:spacing w:after="150"/>
      </w:pPr>
      <w:r>
        <w:rPr>
          <w:color w:val="000000"/>
        </w:rPr>
        <w:t>б) конзистентност – у којој мери су политике којима се свеобухватно покрива област родне равноправности конзистентне једна са другом, тј. којом опцијом се пос</w:t>
      </w:r>
      <w:r>
        <w:rPr>
          <w:color w:val="000000"/>
        </w:rPr>
        <w:t>тиже највиши ниво усаглашености политика на националном нивоу, као и ниво усаглашености са међународним стандардима у овој области;</w:t>
      </w:r>
    </w:p>
    <w:p w:rsidR="00BC3CE6" w:rsidRDefault="009A2DE5">
      <w:pPr>
        <w:spacing w:after="150"/>
      </w:pPr>
      <w:r>
        <w:rPr>
          <w:color w:val="000000"/>
        </w:rPr>
        <w:t>в) трошкови спровођења – колики су трошкови спровођења опције;</w:t>
      </w:r>
    </w:p>
    <w:p w:rsidR="00BC3CE6" w:rsidRDefault="009A2DE5">
      <w:pPr>
        <w:spacing w:after="150"/>
      </w:pPr>
      <w:r>
        <w:rPr>
          <w:color w:val="000000"/>
        </w:rPr>
        <w:t>г) одрживост – који су изгледи да ће одабрани модел резултира</w:t>
      </w:r>
      <w:r>
        <w:rPr>
          <w:color w:val="000000"/>
        </w:rPr>
        <w:t>ти одрживим напретком;</w:t>
      </w:r>
    </w:p>
    <w:p w:rsidR="00BC3CE6" w:rsidRDefault="009A2DE5">
      <w:pPr>
        <w:spacing w:after="150"/>
      </w:pPr>
      <w:r>
        <w:rPr>
          <w:color w:val="000000"/>
        </w:rPr>
        <w:lastRenderedPageBreak/>
        <w:t>д) степен координације – ефикасност надзора над применом, тј. којом опцијом се обезбеђује најбољи механизам праћења примене овог стратешког документа.</w:t>
      </w:r>
    </w:p>
    <w:p w:rsidR="00BC3CE6" w:rsidRDefault="009A2DE5">
      <w:pPr>
        <w:spacing w:after="150"/>
      </w:pPr>
      <w:r>
        <w:rPr>
          <w:color w:val="000000"/>
        </w:rPr>
        <w:t xml:space="preserve">У анализи је коришћен модел по коме се свака опција у односу на предметни </w:t>
      </w:r>
      <w:r>
        <w:rPr>
          <w:color w:val="000000"/>
        </w:rPr>
        <w:t>критеријум оцењује у односу на друге опције у распону од 1 до 5 (5 највиша оцена). Такође је одређено који критеријуми се сматрају одлучујућим, те су у том смислу ефективност, одрживост, опредељени износ трошкова за спровођење мера, степен координације, ка</w:t>
      </w:r>
      <w:r>
        <w:rPr>
          <w:color w:val="000000"/>
        </w:rPr>
        <w:t>о и конзистентност одређени као најбитнији критеријуми за оцену опције. Пондер је дефинисан у укупном износу од 10, коначан ранг опције се добије множењем пондера са утврђеном оценом сваке опције.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29"/>
        <w:gridCol w:w="1317"/>
        <w:gridCol w:w="2620"/>
        <w:gridCol w:w="1331"/>
        <w:gridCol w:w="1331"/>
      </w:tblGrid>
      <w:tr w:rsidR="00BC3CE6">
        <w:trPr>
          <w:trHeight w:val="45"/>
          <w:tblCellSpacing w:w="0" w:type="auto"/>
        </w:trPr>
        <w:tc>
          <w:tcPr>
            <w:tcW w:w="83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Критеријуми/опције</w:t>
            </w:r>
          </w:p>
        </w:tc>
        <w:tc>
          <w:tcPr>
            <w:tcW w:w="201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Пондер</w:t>
            </w:r>
          </w:p>
        </w:tc>
        <w:tc>
          <w:tcPr>
            <w:tcW w:w="720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Status quo</w:t>
            </w:r>
          </w:p>
        </w:tc>
        <w:tc>
          <w:tcPr>
            <w:tcW w:w="217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Опција 1</w:t>
            </w:r>
          </w:p>
        </w:tc>
        <w:tc>
          <w:tcPr>
            <w:tcW w:w="217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Опција 2</w:t>
            </w:r>
          </w:p>
        </w:tc>
      </w:tr>
      <w:tr w:rsidR="00BC3CE6">
        <w:trPr>
          <w:trHeight w:val="45"/>
          <w:tblCellSpacing w:w="0" w:type="auto"/>
        </w:trPr>
        <w:tc>
          <w:tcPr>
            <w:tcW w:w="83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Ефективност</w:t>
            </w:r>
          </w:p>
        </w:tc>
        <w:tc>
          <w:tcPr>
            <w:tcW w:w="201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3</w:t>
            </w:r>
          </w:p>
        </w:tc>
        <w:tc>
          <w:tcPr>
            <w:tcW w:w="720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х1</w:t>
            </w:r>
          </w:p>
        </w:tc>
        <w:tc>
          <w:tcPr>
            <w:tcW w:w="217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x3</w:t>
            </w:r>
          </w:p>
        </w:tc>
        <w:tc>
          <w:tcPr>
            <w:tcW w:w="217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X4</w:t>
            </w:r>
          </w:p>
        </w:tc>
      </w:tr>
      <w:tr w:rsidR="00BC3CE6">
        <w:trPr>
          <w:trHeight w:val="45"/>
          <w:tblCellSpacing w:w="0" w:type="auto"/>
        </w:trPr>
        <w:tc>
          <w:tcPr>
            <w:tcW w:w="83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Конзистентност</w:t>
            </w:r>
          </w:p>
        </w:tc>
        <w:tc>
          <w:tcPr>
            <w:tcW w:w="201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w:t>
            </w:r>
          </w:p>
        </w:tc>
        <w:tc>
          <w:tcPr>
            <w:tcW w:w="720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Х1</w:t>
            </w:r>
          </w:p>
        </w:tc>
        <w:tc>
          <w:tcPr>
            <w:tcW w:w="217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X3</w:t>
            </w:r>
          </w:p>
        </w:tc>
        <w:tc>
          <w:tcPr>
            <w:tcW w:w="217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x4</w:t>
            </w:r>
          </w:p>
        </w:tc>
      </w:tr>
      <w:tr w:rsidR="00BC3CE6">
        <w:trPr>
          <w:trHeight w:val="45"/>
          <w:tblCellSpacing w:w="0" w:type="auto"/>
        </w:trPr>
        <w:tc>
          <w:tcPr>
            <w:tcW w:w="83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Трошкови спровођења</w:t>
            </w:r>
          </w:p>
        </w:tc>
        <w:tc>
          <w:tcPr>
            <w:tcW w:w="201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w:t>
            </w:r>
          </w:p>
        </w:tc>
        <w:tc>
          <w:tcPr>
            <w:tcW w:w="720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X2</w:t>
            </w:r>
          </w:p>
        </w:tc>
        <w:tc>
          <w:tcPr>
            <w:tcW w:w="217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x3</w:t>
            </w:r>
          </w:p>
        </w:tc>
        <w:tc>
          <w:tcPr>
            <w:tcW w:w="217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Х4</w:t>
            </w:r>
          </w:p>
        </w:tc>
      </w:tr>
      <w:tr w:rsidR="00BC3CE6">
        <w:trPr>
          <w:trHeight w:val="45"/>
          <w:tblCellSpacing w:w="0" w:type="auto"/>
        </w:trPr>
        <w:tc>
          <w:tcPr>
            <w:tcW w:w="83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Одрживост</w:t>
            </w:r>
          </w:p>
        </w:tc>
        <w:tc>
          <w:tcPr>
            <w:tcW w:w="201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w:t>
            </w:r>
          </w:p>
        </w:tc>
        <w:tc>
          <w:tcPr>
            <w:tcW w:w="720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Х2</w:t>
            </w:r>
          </w:p>
        </w:tc>
        <w:tc>
          <w:tcPr>
            <w:tcW w:w="217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x4</w:t>
            </w:r>
          </w:p>
        </w:tc>
        <w:tc>
          <w:tcPr>
            <w:tcW w:w="217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X4</w:t>
            </w:r>
          </w:p>
        </w:tc>
      </w:tr>
      <w:tr w:rsidR="00BC3CE6">
        <w:trPr>
          <w:trHeight w:val="45"/>
          <w:tblCellSpacing w:w="0" w:type="auto"/>
        </w:trPr>
        <w:tc>
          <w:tcPr>
            <w:tcW w:w="83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Степен координације</w:t>
            </w:r>
          </w:p>
        </w:tc>
        <w:tc>
          <w:tcPr>
            <w:tcW w:w="201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w:t>
            </w:r>
          </w:p>
        </w:tc>
        <w:tc>
          <w:tcPr>
            <w:tcW w:w="720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х3</w:t>
            </w:r>
          </w:p>
        </w:tc>
        <w:tc>
          <w:tcPr>
            <w:tcW w:w="217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Х4</w:t>
            </w:r>
          </w:p>
        </w:tc>
        <w:tc>
          <w:tcPr>
            <w:tcW w:w="217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X5</w:t>
            </w:r>
          </w:p>
        </w:tc>
      </w:tr>
      <w:tr w:rsidR="00BC3CE6">
        <w:trPr>
          <w:trHeight w:val="45"/>
          <w:tblCellSpacing w:w="0" w:type="auto"/>
        </w:trPr>
        <w:tc>
          <w:tcPr>
            <w:tcW w:w="83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Резултат</w:t>
            </w:r>
          </w:p>
        </w:tc>
        <w:tc>
          <w:tcPr>
            <w:tcW w:w="201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10</w:t>
            </w:r>
          </w:p>
        </w:tc>
        <w:tc>
          <w:tcPr>
            <w:tcW w:w="720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16</w:t>
            </w:r>
          </w:p>
        </w:tc>
        <w:tc>
          <w:tcPr>
            <w:tcW w:w="217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33</w:t>
            </w:r>
          </w:p>
        </w:tc>
        <w:tc>
          <w:tcPr>
            <w:tcW w:w="217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41</w:t>
            </w:r>
          </w:p>
        </w:tc>
      </w:tr>
    </w:tbl>
    <w:p w:rsidR="00BC3CE6" w:rsidRDefault="009A2DE5">
      <w:pPr>
        <w:spacing w:after="150"/>
      </w:pPr>
      <w:r>
        <w:rPr>
          <w:color w:val="000000"/>
        </w:rPr>
        <w:t xml:space="preserve">Закључци анализе опција су да се само кроз свеобухватни приступ испуњавању међународно </w:t>
      </w:r>
      <w:r>
        <w:rPr>
          <w:color w:val="000000"/>
        </w:rPr>
        <w:t>прихваћених обавеза државе у овој области може постићи највиши ниво испуњења општег циља, узимајући у обзир конзистентност јавних политика, свеобухватност и одрживост ефеката спровођења, као и ниво координације у реформском деловању и праћењу напретка у об</w:t>
      </w:r>
      <w:r>
        <w:rPr>
          <w:color w:val="000000"/>
        </w:rPr>
        <w:t>ласти родне равноправности.</w:t>
      </w:r>
    </w:p>
    <w:p w:rsidR="00BC3CE6" w:rsidRDefault="009A2DE5">
      <w:pPr>
        <w:spacing w:after="150"/>
        <w:jc w:val="both"/>
      </w:pPr>
      <w:r>
        <w:rPr>
          <w:i/>
          <w:color w:val="000000"/>
        </w:rPr>
        <w:t>––––––––</w:t>
      </w:r>
    </w:p>
    <w:p w:rsidR="00BC3CE6" w:rsidRDefault="009A2DE5">
      <w:pPr>
        <w:spacing w:after="150"/>
        <w:jc w:val="both"/>
      </w:pPr>
      <w:r>
        <w:rPr>
          <w:i/>
          <w:color w:val="000000"/>
        </w:rPr>
        <w:t>893 Стратегија регулаторне реформе и унапређења система управљања јавним политикама за период 2016–2020. године, („Службени гласник РС”, број 8/16).</w:t>
      </w:r>
    </w:p>
    <w:p w:rsidR="00BC3CE6" w:rsidRDefault="009A2DE5">
      <w:pPr>
        <w:spacing w:after="120"/>
        <w:jc w:val="center"/>
      </w:pPr>
      <w:r>
        <w:rPr>
          <w:b/>
          <w:color w:val="000000"/>
        </w:rPr>
        <w:t>7.2. Посебни циљеви и мере за њихово остваривање</w:t>
      </w:r>
    </w:p>
    <w:p w:rsidR="00BC3CE6" w:rsidRDefault="009A2DE5">
      <w:pPr>
        <w:spacing w:after="150"/>
      </w:pPr>
      <w:r>
        <w:rPr>
          <w:color w:val="000000"/>
        </w:rPr>
        <w:t>Посебан циљ 1: Смањен</w:t>
      </w:r>
      <w:r>
        <w:rPr>
          <w:color w:val="000000"/>
        </w:rPr>
        <w:t xml:space="preserve"> родни јаз у економији, науци и образовању као предуслов и подстицај социо-економског развоја друштва.</w:t>
      </w:r>
    </w:p>
    <w:p w:rsidR="00BC3CE6" w:rsidRDefault="009A2DE5">
      <w:pPr>
        <w:spacing w:after="150"/>
      </w:pPr>
      <w:r>
        <w:rPr>
          <w:color w:val="000000"/>
        </w:rPr>
        <w:t xml:space="preserve">Овај посебни циљ допринеће смањењу родног јаза у економији кроз повећане шансе и прилике за одрживо запошљавање и самозапошљавање, јачање предузетничких </w:t>
      </w:r>
      <w:r>
        <w:rPr>
          <w:color w:val="000000"/>
        </w:rPr>
        <w:t xml:space="preserve">активности жена и учешћа у иновационој делатности, смањењу платног јаза на тржишту рада, препознавање, вредновање и редистрибуцију неплаћеног рада, повећано учешће жена у </w:t>
      </w:r>
      <w:r>
        <w:rPr>
          <w:color w:val="000000"/>
        </w:rPr>
        <w:lastRenderedPageBreak/>
        <w:t>циркуларној, зеленој и дигиталној економији, као и укључивањем знања и научних потенц</w:t>
      </w:r>
      <w:r>
        <w:rPr>
          <w:color w:val="000000"/>
        </w:rPr>
        <w:t>ијала и друштвено одговорним односом према очувању и унапређењу животне средине и природних развојних ресурса.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101"/>
        <w:gridCol w:w="1280"/>
        <w:gridCol w:w="1827"/>
        <w:gridCol w:w="1848"/>
        <w:gridCol w:w="2072"/>
      </w:tblGrid>
      <w:tr w:rsidR="00BC3CE6">
        <w:trPr>
          <w:trHeight w:val="45"/>
          <w:tblCellSpacing w:w="0" w:type="auto"/>
        </w:trPr>
        <w:tc>
          <w:tcPr>
            <w:tcW w:w="190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Показатељ усхода</w:t>
            </w:r>
          </w:p>
        </w:tc>
        <w:tc>
          <w:tcPr>
            <w:tcW w:w="56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Јединица мере</w:t>
            </w:r>
          </w:p>
        </w:tc>
        <w:tc>
          <w:tcPr>
            <w:tcW w:w="491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Почетна вредност</w:t>
            </w:r>
          </w:p>
        </w:tc>
        <w:tc>
          <w:tcPr>
            <w:tcW w:w="504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Циљана вредност</w:t>
            </w:r>
          </w:p>
        </w:tc>
        <w:tc>
          <w:tcPr>
            <w:tcW w:w="198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Извори верификације</w:t>
            </w:r>
          </w:p>
        </w:tc>
      </w:tr>
      <w:tr w:rsidR="00BC3CE6">
        <w:trPr>
          <w:trHeight w:val="45"/>
          <w:tblCellSpacing w:w="0" w:type="auto"/>
        </w:trPr>
        <w:tc>
          <w:tcPr>
            <w:tcW w:w="190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Индекс родне равноправности у домену рада (партиципација, </w:t>
            </w:r>
            <w:r>
              <w:rPr>
                <w:color w:val="000000"/>
              </w:rPr>
              <w:t>сегрегација и квалитет рада)</w:t>
            </w:r>
          </w:p>
          <w:p w:rsidR="00BC3CE6" w:rsidRDefault="009A2DE5">
            <w:pPr>
              <w:spacing w:after="150"/>
            </w:pPr>
            <w:r>
              <w:rPr>
                <w:color w:val="000000"/>
              </w:rPr>
              <w:t>Индекс родне равноправности у домену новца (финансијски ресурси и економска ситуација)</w:t>
            </w:r>
          </w:p>
        </w:tc>
        <w:tc>
          <w:tcPr>
            <w:tcW w:w="56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Вредност индекса</w:t>
            </w:r>
          </w:p>
        </w:tc>
        <w:tc>
          <w:tcPr>
            <w:tcW w:w="491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2021: 68,2 (77, 62,5),</w:t>
            </w:r>
          </w:p>
          <w:p w:rsidR="00BC3CE6" w:rsidRDefault="009A2DE5">
            <w:pPr>
              <w:spacing w:after="150"/>
            </w:pPr>
            <w:r>
              <w:rPr>
                <w:color w:val="000000"/>
              </w:rPr>
              <w:t>2021.</w:t>
            </w:r>
          </w:p>
          <w:p w:rsidR="00BC3CE6" w:rsidRDefault="009A2DE5">
            <w:pPr>
              <w:spacing w:after="150"/>
            </w:pPr>
            <w:r>
              <w:rPr>
                <w:color w:val="000000"/>
              </w:rPr>
              <w:t>59,760,2 (47,7, 74,8)</w:t>
            </w:r>
          </w:p>
        </w:tc>
        <w:tc>
          <w:tcPr>
            <w:tcW w:w="504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2030: 71,4 (80,9, 62,9);</w:t>
            </w:r>
          </w:p>
          <w:p w:rsidR="00BC3CE6" w:rsidRDefault="009A2DE5">
            <w:pPr>
              <w:spacing w:after="150"/>
            </w:pPr>
            <w:r>
              <w:rPr>
                <w:color w:val="000000"/>
              </w:rPr>
              <w:t>2030: 81,6 (75,5, 88,1)</w:t>
            </w:r>
          </w:p>
        </w:tc>
        <w:tc>
          <w:tcPr>
            <w:tcW w:w="198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РЗС: Индекс родне равно</w:t>
            </w:r>
            <w:r>
              <w:rPr>
                <w:color w:val="000000"/>
              </w:rPr>
              <w:t>правности 2021.</w:t>
            </w:r>
          </w:p>
        </w:tc>
      </w:tr>
      <w:tr w:rsidR="00BC3CE6">
        <w:trPr>
          <w:trHeight w:val="45"/>
          <w:tblCellSpacing w:w="0" w:type="auto"/>
        </w:trPr>
        <w:tc>
          <w:tcPr>
            <w:tcW w:w="190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Платни јаз између мушкараца и жена</w:t>
            </w:r>
          </w:p>
        </w:tc>
        <w:tc>
          <w:tcPr>
            <w:tcW w:w="56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w:t>
            </w:r>
          </w:p>
        </w:tc>
        <w:tc>
          <w:tcPr>
            <w:tcW w:w="491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2018: 9,6 %</w:t>
            </w:r>
          </w:p>
        </w:tc>
        <w:tc>
          <w:tcPr>
            <w:tcW w:w="504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2030: 5%</w:t>
            </w:r>
          </w:p>
        </w:tc>
        <w:tc>
          <w:tcPr>
            <w:tcW w:w="198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Истраживање о структури зарада, РЗС</w:t>
            </w:r>
          </w:p>
        </w:tc>
      </w:tr>
      <w:tr w:rsidR="00BC3CE6">
        <w:trPr>
          <w:trHeight w:val="45"/>
          <w:tblCellSpacing w:w="0" w:type="auto"/>
        </w:trPr>
        <w:tc>
          <w:tcPr>
            <w:tcW w:w="190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Индекс родне равноправности у домену знања (образовно достигнуће и учешће, сегрегација)</w:t>
            </w:r>
          </w:p>
        </w:tc>
        <w:tc>
          <w:tcPr>
            <w:tcW w:w="56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Вредност индекса</w:t>
            </w:r>
          </w:p>
        </w:tc>
        <w:tc>
          <w:tcPr>
            <w:tcW w:w="491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2021: 57,3 (61,1; 53,7)</w:t>
            </w:r>
          </w:p>
        </w:tc>
        <w:tc>
          <w:tcPr>
            <w:tcW w:w="504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2030: 60</w:t>
            </w:r>
          </w:p>
        </w:tc>
        <w:tc>
          <w:tcPr>
            <w:tcW w:w="198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РЗС, </w:t>
            </w:r>
            <w:r>
              <w:rPr>
                <w:color w:val="000000"/>
              </w:rPr>
              <w:t>Индекс родне равноправности</w:t>
            </w:r>
          </w:p>
        </w:tc>
      </w:tr>
    </w:tbl>
    <w:p w:rsidR="00BC3CE6" w:rsidRDefault="009A2DE5">
      <w:pPr>
        <w:spacing w:after="150"/>
      </w:pPr>
      <w:r>
        <w:rPr>
          <w:color w:val="000000"/>
        </w:rPr>
        <w:t>Мера 1.1. Подршка иновативним програмима и услугама за активацију жена на тржишту рада, и њихову повећану запошљивост и самозапошљавање, те креирање радних места за жене са додатно отежаним приступом одрживом запошљавању и само</w:t>
      </w:r>
      <w:r>
        <w:rPr>
          <w:color w:val="000000"/>
        </w:rPr>
        <w:t>запошљавању.</w:t>
      </w:r>
    </w:p>
    <w:p w:rsidR="00BC3CE6" w:rsidRDefault="009A2DE5">
      <w:pPr>
        <w:spacing w:after="150"/>
      </w:pPr>
      <w:r>
        <w:rPr>
          <w:color w:val="000000"/>
        </w:rPr>
        <w:t>Опис и ефекти мере: Ова мера има за циљ да резултира повећаном активацијом жена на тржишту рада, а посебно жена којима је приступ запошљавању и самозапошљавању додатно отежан због дискриминације, места становања, здравственог стања, животних о</w:t>
      </w:r>
      <w:r>
        <w:rPr>
          <w:color w:val="000000"/>
        </w:rPr>
        <w:t>колности или из других разлога, као што су младе жене посебно из NEET групе (особе које нису у образовном систему, запослене или на обуци), жене свих старосних група, које живе на селу, жене ангажоване у неформалној економији, Ромкиње, жене и девојке са ин</w:t>
      </w:r>
      <w:r>
        <w:rPr>
          <w:color w:val="000000"/>
        </w:rPr>
        <w:t xml:space="preserve">валидитетом, старије жене преко 55 година старости, </w:t>
      </w:r>
      <w:r>
        <w:rPr>
          <w:color w:val="000000"/>
        </w:rPr>
        <w:lastRenderedPageBreak/>
        <w:t>самохране мајке, жене које су преживеле родно засновано насиље или су жртве трговине људима. Код активације на тржишту рада важно је обратити посебну пажњу на ЛГБТ заједницу и трансродне жене и мушкарце к</w:t>
      </w:r>
      <w:r>
        <w:rPr>
          <w:color w:val="000000"/>
        </w:rPr>
        <w:t>оји су услед додатне дискриминације принуђени да посао траже често у неформалној економији. Имајући у виду отежано запошљавање жена старијих од 45 година, овом мером ће се пажња у имплементацији усмерити и на њих.</w:t>
      </w:r>
    </w:p>
    <w:p w:rsidR="00BC3CE6" w:rsidRDefault="009A2DE5">
      <w:pPr>
        <w:spacing w:after="150"/>
      </w:pPr>
      <w:r>
        <w:rPr>
          <w:color w:val="000000"/>
        </w:rPr>
        <w:t>Ова мера посебно циља да подржи креирање о</w:t>
      </w:r>
      <w:r>
        <w:rPr>
          <w:color w:val="000000"/>
        </w:rPr>
        <w:t>држивих програма и услуга на националном, покрајинском и локалном нивоу који ће допринети повећаној активацији и запошљивости или самозапошљивости ове групе жена. Ова мера има неколико кластера активности и укључује следеће: подршка осмишљавању, пилотирању</w:t>
      </w:r>
      <w:r>
        <w:rPr>
          <w:color w:val="000000"/>
        </w:rPr>
        <w:t xml:space="preserve"> и реализацији иновативних програма активације, подршка задругарству и социјалном задругарству и социјалном предузетништву, подршка удружењима жена које реализују активности за економско оснаживање жена или пружају услуге које помажу женама да имају присту</w:t>
      </w:r>
      <w:r>
        <w:rPr>
          <w:color w:val="000000"/>
        </w:rPr>
        <w:t>п тржишту рада, подршка програмима и услугама на којима заједно раде послодавци, националне, покрајинске и локалне институције у партнерствима са ОЦД, задругама и социјалним предузећима и академском заједницом, подршка развоју едукативних програма за унапр</w:t>
      </w:r>
      <w:r>
        <w:rPr>
          <w:color w:val="000000"/>
        </w:rPr>
        <w:t>еђење знања и вештина којима се повећава запошљивост, а посебно у домену дигиталних вештина, финансијске писмености, и послова у домену зелене и циркуларне економије.</w:t>
      </w:r>
    </w:p>
    <w:p w:rsidR="00BC3CE6" w:rsidRDefault="009A2DE5">
      <w:pPr>
        <w:spacing w:after="150"/>
      </w:pPr>
      <w:r>
        <w:rPr>
          <w:color w:val="000000"/>
        </w:rPr>
        <w:t>Институција надлежна за спровођење мере: Министарство за рад, запошљавање, борачка и соци</w:t>
      </w:r>
      <w:r>
        <w:rPr>
          <w:color w:val="000000"/>
        </w:rPr>
        <w:t>јална питања.</w:t>
      </w:r>
    </w:p>
    <w:p w:rsidR="00BC3CE6" w:rsidRDefault="009A2DE5">
      <w:pPr>
        <w:spacing w:after="150"/>
      </w:pPr>
      <w:r>
        <w:rPr>
          <w:color w:val="000000"/>
        </w:rPr>
        <w:t>Институције учесници у спровођењу мере: СИПРУ, Министарство привреде, Министарство за бригу о селу, Министарство трговине, туризма и телекомуникација, Министарство пољопривреде, шумарства и водопривреде, Покрајински секретаријат за привреду и</w:t>
      </w:r>
      <w:r>
        <w:rPr>
          <w:color w:val="000000"/>
        </w:rPr>
        <w:t xml:space="preserve"> туризам, Покрајински секретаријат за пољопривреду, водопривреду и шумарство, ЈЛС, ОЦД, задруге, академска заједница, удружења послодаваца.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388"/>
        <w:gridCol w:w="4740"/>
      </w:tblGrid>
      <w:tr w:rsidR="00BC3CE6">
        <w:trPr>
          <w:trHeight w:val="45"/>
          <w:tblCellSpacing w:w="0" w:type="auto"/>
        </w:trPr>
        <w:tc>
          <w:tcPr>
            <w:tcW w:w="678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Показатељи резултата 1.1</w:t>
            </w:r>
          </w:p>
        </w:tc>
        <w:tc>
          <w:tcPr>
            <w:tcW w:w="761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Извори верификације</w:t>
            </w:r>
          </w:p>
        </w:tc>
      </w:tr>
      <w:tr w:rsidR="00BC3CE6">
        <w:trPr>
          <w:trHeight w:val="45"/>
          <w:tblCellSpacing w:w="0" w:type="auto"/>
        </w:trPr>
        <w:tc>
          <w:tcPr>
            <w:tcW w:w="678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1.1.1: Стопа активности жена из циљне групе која је учествовала у </w:t>
            </w:r>
            <w:r>
              <w:rPr>
                <w:color w:val="000000"/>
              </w:rPr>
              <w:t>програмима</w:t>
            </w:r>
          </w:p>
        </w:tc>
        <w:tc>
          <w:tcPr>
            <w:tcW w:w="761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о ефектима програма, подаци Националне службе за запошљавање</w:t>
            </w:r>
          </w:p>
        </w:tc>
      </w:tr>
      <w:tr w:rsidR="00BC3CE6">
        <w:trPr>
          <w:trHeight w:val="45"/>
          <w:tblCellSpacing w:w="0" w:type="auto"/>
        </w:trPr>
        <w:tc>
          <w:tcPr>
            <w:tcW w:w="678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1.1.2: Стопа запослености жена из циљне групе која је учествовала у програмима</w:t>
            </w:r>
          </w:p>
        </w:tc>
        <w:tc>
          <w:tcPr>
            <w:tcW w:w="761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о ефектима програма, подаци Националне службе за запошљавање</w:t>
            </w:r>
          </w:p>
        </w:tc>
      </w:tr>
      <w:tr w:rsidR="00BC3CE6">
        <w:trPr>
          <w:trHeight w:val="45"/>
          <w:tblCellSpacing w:w="0" w:type="auto"/>
        </w:trPr>
        <w:tc>
          <w:tcPr>
            <w:tcW w:w="678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1.1.3: Стопа незапосле</w:t>
            </w:r>
            <w:r>
              <w:rPr>
                <w:color w:val="000000"/>
              </w:rPr>
              <w:t>ности жена из циљне групе која је учествовала у програмима</w:t>
            </w:r>
          </w:p>
        </w:tc>
        <w:tc>
          <w:tcPr>
            <w:tcW w:w="761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о ефектима програма, подаци Националне службе за запошљавање</w:t>
            </w:r>
          </w:p>
        </w:tc>
      </w:tr>
      <w:tr w:rsidR="00BC3CE6">
        <w:trPr>
          <w:trHeight w:val="45"/>
          <w:tblCellSpacing w:w="0" w:type="auto"/>
        </w:trPr>
        <w:tc>
          <w:tcPr>
            <w:tcW w:w="678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1.1.4: Број радних места креиран </w:t>
            </w:r>
            <w:r>
              <w:rPr>
                <w:color w:val="000000"/>
              </w:rPr>
              <w:lastRenderedPageBreak/>
              <w:t>као резултат подршке задругарству и социјалном предузетништву</w:t>
            </w:r>
          </w:p>
        </w:tc>
        <w:tc>
          <w:tcPr>
            <w:tcW w:w="761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Извештаји МРЗБСП, извештаји за</w:t>
            </w:r>
            <w:r>
              <w:rPr>
                <w:color w:val="000000"/>
              </w:rPr>
              <w:t xml:space="preserve">друга </w:t>
            </w:r>
            <w:r>
              <w:rPr>
                <w:color w:val="000000"/>
              </w:rPr>
              <w:lastRenderedPageBreak/>
              <w:t>о креираним новим радним местима, извештаји Министарства за бригу о селу, Министарства привреде и Покрајинског секретаријата за привреду и туризам и Покрајинског секретаријата за пољопривреду, водопривреду и шумарство, извештај о учинку буџета на нац</w:t>
            </w:r>
            <w:r>
              <w:rPr>
                <w:color w:val="000000"/>
              </w:rPr>
              <w:t>ионалном и покрајинском нивоу</w:t>
            </w:r>
          </w:p>
        </w:tc>
      </w:tr>
      <w:tr w:rsidR="00BC3CE6">
        <w:trPr>
          <w:trHeight w:val="45"/>
          <w:tblCellSpacing w:w="0" w:type="auto"/>
        </w:trPr>
        <w:tc>
          <w:tcPr>
            <w:tcW w:w="678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1.1.5: Број програма и услуга које су креиране као подршка активацији жена на тржишту рада, разврстано по циљним групама, старосним групама, територијалној припадности и нивоу на којем се имплементира</w:t>
            </w:r>
          </w:p>
        </w:tc>
        <w:tc>
          <w:tcPr>
            <w:tcW w:w="761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Националне слу</w:t>
            </w:r>
            <w:r>
              <w:rPr>
                <w:color w:val="000000"/>
              </w:rPr>
              <w:t>жбе за запошљавање, извештаји и увид у програме релевантних министарстава и покрајинских секретаријата, Извештај о учинку буџета</w:t>
            </w:r>
          </w:p>
        </w:tc>
      </w:tr>
    </w:tbl>
    <w:p w:rsidR="00BC3CE6" w:rsidRDefault="009A2DE5">
      <w:pPr>
        <w:spacing w:after="150"/>
      </w:pPr>
      <w:r>
        <w:rPr>
          <w:color w:val="000000"/>
        </w:rPr>
        <w:t>Мера 1.2. Препознавање, вредновање и редистрибуција неплаћеног кућног рада и повећање расположивог времена за плаћени рад, лич</w:t>
      </w:r>
      <w:r>
        <w:rPr>
          <w:color w:val="000000"/>
        </w:rPr>
        <w:t>ни развој и слободно време.</w:t>
      </w:r>
    </w:p>
    <w:p w:rsidR="00BC3CE6" w:rsidRDefault="009A2DE5">
      <w:pPr>
        <w:spacing w:after="150"/>
      </w:pPr>
      <w:r>
        <w:rPr>
          <w:color w:val="000000"/>
        </w:rPr>
        <w:t xml:space="preserve">Опис и ефекти мере: Ова мера има за циљ да резултира смањењем неплаћеног кућног рада и повећањем расположивог времена за плаћени рад и лични развој, и слободно време жена и мушкараца кроз препознавање, вредновање и </w:t>
      </w:r>
      <w:r>
        <w:rPr>
          <w:color w:val="000000"/>
        </w:rPr>
        <w:t>редистрибуцију. Мера укључује више група активности као што су: континуирано истраживање и мерење и евидентирање неплаћеног рада, као и анализу ефеката које неплаћени рад има на квалитет свакодневног живота жена и мушкараца, вредновање неплаћеног рада кроз</w:t>
      </w:r>
      <w:r>
        <w:rPr>
          <w:color w:val="000000"/>
        </w:rPr>
        <w:t xml:space="preserve"> различите фискалне и пореске мере, едукативне програме и кампање о равномерној расподели неплаћеног кућног рада и бриге о деци и старијима у породицама, развој услуга неге и бриге за старије чланове домаћинства, развој услуга подршке особама које брину о </w:t>
      </w:r>
      <w:r>
        <w:rPr>
          <w:color w:val="000000"/>
        </w:rPr>
        <w:t>члановима домаћинства који су особе са инвалидитетом, развој услуга бриге о деци у складу са потребама родитеља, а посебно једнородитељских породица, развој услуга подршке деци и породицама, повећање приступа услугама неге за старије и децу у руралним подр</w:t>
      </w:r>
      <w:r>
        <w:rPr>
          <w:color w:val="000000"/>
        </w:rPr>
        <w:t xml:space="preserve">учјима, подршка иновативним услугама које пружају подршку мајкама и очевима у вези са усклађивањем неплаћеног рада и њихових активности на тржишту рада, препознавање добрих примера из праксе, те подршка, како би добре праксе могле да се прошире и на друге </w:t>
      </w:r>
      <w:r>
        <w:rPr>
          <w:color w:val="000000"/>
        </w:rPr>
        <w:t>средине. Ова мера укључује и измене и допуне оквира за стандардизацију и акредитацију услуга у заједници, тако да она препознаје мере које су сложеније, флексибилније и покривају истовремено више сектора, као и тамо где је потребно континуирано прилагођава</w:t>
      </w:r>
      <w:r>
        <w:rPr>
          <w:color w:val="000000"/>
        </w:rPr>
        <w:t xml:space="preserve">ње (на пример услуге које у себи садрже елементе подршке образовању, бриге и неге о деци и старијима, услуге превенције здравља, помоћ у кући итд.) Ово је нарочито </w:t>
      </w:r>
      <w:r>
        <w:rPr>
          <w:color w:val="000000"/>
        </w:rPr>
        <w:lastRenderedPageBreak/>
        <w:t>важно за мање заједнице где нема великог броја корисница и корисника, а постоје велике потре</w:t>
      </w:r>
      <w:r>
        <w:rPr>
          <w:color w:val="000000"/>
        </w:rPr>
        <w:t>бе, као и за област подршке неплаћеном раду где су за сада само неке услуге развијене. Даље, ова мера укључује и рад са послодавцима на подстицању програма који помажу усклађивање рада и родитељства и приватног живота.</w:t>
      </w:r>
    </w:p>
    <w:p w:rsidR="00BC3CE6" w:rsidRDefault="009A2DE5">
      <w:pPr>
        <w:spacing w:after="150"/>
      </w:pPr>
      <w:r>
        <w:rPr>
          <w:color w:val="000000"/>
        </w:rPr>
        <w:t>Институција надлежна за спровођење ме</w:t>
      </w:r>
      <w:r>
        <w:rPr>
          <w:color w:val="000000"/>
        </w:rPr>
        <w:t>ре: Министарство за рад, запошљавање, борачка и социјална питања.</w:t>
      </w:r>
    </w:p>
    <w:p w:rsidR="00BC3CE6" w:rsidRDefault="009A2DE5">
      <w:pPr>
        <w:spacing w:after="150"/>
      </w:pPr>
      <w:r>
        <w:rPr>
          <w:color w:val="000000"/>
        </w:rPr>
        <w:t>Институције учесници у спровођењу мере: Министарство привреде, Министарство за бригу о селу, Министарство за бригу о породици и демографију, Министарство здравља, Министарство државне управе</w:t>
      </w:r>
      <w:r>
        <w:rPr>
          <w:color w:val="000000"/>
        </w:rPr>
        <w:t xml:space="preserve"> и локалне самоуправе, СИПРУ, Републички завод за статистику, удружења послодаваца, привредне коморе, ЈЛС, покрајински секретаријати, ОЦД, академска заједница итд.</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860"/>
        <w:gridCol w:w="4268"/>
      </w:tblGrid>
      <w:tr w:rsidR="00BC3CE6">
        <w:trPr>
          <w:trHeight w:val="45"/>
          <w:tblCellSpacing w:w="0" w:type="auto"/>
        </w:trPr>
        <w:tc>
          <w:tcPr>
            <w:tcW w:w="778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Показатељи резултата 1.2</w:t>
            </w:r>
          </w:p>
        </w:tc>
        <w:tc>
          <w:tcPr>
            <w:tcW w:w="661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Извори верификације</w:t>
            </w:r>
          </w:p>
        </w:tc>
      </w:tr>
      <w:tr w:rsidR="00BC3CE6">
        <w:trPr>
          <w:trHeight w:val="45"/>
          <w:tblCellSpacing w:w="0" w:type="auto"/>
        </w:trPr>
        <w:tc>
          <w:tcPr>
            <w:tcW w:w="778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1.2.1: Број доступних услуга неге и бриге о </w:t>
            </w:r>
            <w:r>
              <w:rPr>
                <w:color w:val="000000"/>
              </w:rPr>
              <w:t>старијима, болеснима и деци, разврстано по општини, броју корисника у односу на број становника и оптерећеност, врсту пружалаца услуга</w:t>
            </w:r>
          </w:p>
        </w:tc>
        <w:tc>
          <w:tcPr>
            <w:tcW w:w="661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МРЗБСП о услугама, извештаји локалних самоуправа о доступности услуга, независне анализе доступности услуга,</w:t>
            </w:r>
          </w:p>
          <w:p w:rsidR="00BC3CE6" w:rsidRDefault="009A2DE5">
            <w:pPr>
              <w:spacing w:after="150"/>
            </w:pPr>
            <w:r>
              <w:rPr>
                <w:color w:val="000000"/>
              </w:rPr>
              <w:t>Из</w:t>
            </w:r>
            <w:r>
              <w:rPr>
                <w:color w:val="000000"/>
              </w:rPr>
              <w:t>вештај СИПРУ: Мапирање услуга социјалне заштите и материјалне подршке у надлежности ЈЛС у Републици Србији</w:t>
            </w:r>
          </w:p>
        </w:tc>
      </w:tr>
      <w:tr w:rsidR="00BC3CE6">
        <w:trPr>
          <w:trHeight w:val="45"/>
          <w:tblCellSpacing w:w="0" w:type="auto"/>
        </w:trPr>
        <w:tc>
          <w:tcPr>
            <w:tcW w:w="778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1.2.2: Број доступних програма које помажу усклађивање рада и родитељства од стране послодаваца</w:t>
            </w:r>
          </w:p>
        </w:tc>
        <w:tc>
          <w:tcPr>
            <w:tcW w:w="661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МРЗБСП о услугама, извештаји ЈЛС о доступн</w:t>
            </w:r>
            <w:r>
              <w:rPr>
                <w:color w:val="000000"/>
              </w:rPr>
              <w:t>ости услуга, анкете о задовољству корисника/ца, извештаји удружења послодаваца, информације из поднетих планова за унапређење родне равноправности из Закона о родној равноправности</w:t>
            </w:r>
          </w:p>
        </w:tc>
      </w:tr>
      <w:tr w:rsidR="00BC3CE6">
        <w:trPr>
          <w:trHeight w:val="45"/>
          <w:tblCellSpacing w:w="0" w:type="auto"/>
        </w:trPr>
        <w:tc>
          <w:tcPr>
            <w:tcW w:w="778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1.2.3: Број сати и промене у коришћењу времена у правцу смањења сати непла</w:t>
            </w:r>
            <w:r>
              <w:rPr>
                <w:color w:val="000000"/>
              </w:rPr>
              <w:t>ћеног рада</w:t>
            </w:r>
          </w:p>
        </w:tc>
        <w:tc>
          <w:tcPr>
            <w:tcW w:w="661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Истраживање о коришћењу времена, РЗС</w:t>
            </w:r>
          </w:p>
          <w:p w:rsidR="00BC3CE6" w:rsidRDefault="009A2DE5">
            <w:pPr>
              <w:spacing w:after="150"/>
            </w:pPr>
            <w:r>
              <w:rPr>
                <w:color w:val="000000"/>
              </w:rPr>
              <w:t>Истраживање спроводити на три године, што би значило три истраживања током периода спровођења Стратегије</w:t>
            </w:r>
          </w:p>
        </w:tc>
      </w:tr>
      <w:tr w:rsidR="00BC3CE6">
        <w:trPr>
          <w:trHeight w:val="45"/>
          <w:tblCellSpacing w:w="0" w:type="auto"/>
        </w:trPr>
        <w:tc>
          <w:tcPr>
            <w:tcW w:w="778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1.2.4: Број законских и подзаконских аката и механизама за одговарајући </w:t>
            </w:r>
            <w:r>
              <w:rPr>
                <w:color w:val="000000"/>
              </w:rPr>
              <w:lastRenderedPageBreak/>
              <w:t>институционални оквир за станд</w:t>
            </w:r>
            <w:r>
              <w:rPr>
                <w:color w:val="000000"/>
              </w:rPr>
              <w:t>ардизацију и акредитацију интегрисаних услуга</w:t>
            </w:r>
          </w:p>
        </w:tc>
        <w:tc>
          <w:tcPr>
            <w:tcW w:w="661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 xml:space="preserve">Увид у садржај законских и подзаконских аката, анализа </w:t>
            </w:r>
            <w:r>
              <w:rPr>
                <w:color w:val="000000"/>
              </w:rPr>
              <w:lastRenderedPageBreak/>
              <w:t>садржаја оквира за стандардизацију и акредитацију услуга, извештаји МРЗБСП, извештаји ЈЛС о постојању и функционисању интегрисаних услуга</w:t>
            </w:r>
          </w:p>
        </w:tc>
      </w:tr>
      <w:tr w:rsidR="00BC3CE6">
        <w:trPr>
          <w:trHeight w:val="45"/>
          <w:tblCellSpacing w:w="0" w:type="auto"/>
        </w:trPr>
        <w:tc>
          <w:tcPr>
            <w:tcW w:w="778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 xml:space="preserve">1.2.5: Број </w:t>
            </w:r>
            <w:r>
              <w:rPr>
                <w:color w:val="000000"/>
              </w:rPr>
              <w:t>јавних информативних кампања о равноправном коришћењу времена</w:t>
            </w:r>
          </w:p>
        </w:tc>
        <w:tc>
          <w:tcPr>
            <w:tcW w:w="661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о ефектима јавних кампања, увид у штампање, видео, аудио, дигиталне материјале, испитивање јавног мњења, истраживање о коришћењу времена</w:t>
            </w:r>
          </w:p>
        </w:tc>
      </w:tr>
      <w:tr w:rsidR="00BC3CE6">
        <w:trPr>
          <w:trHeight w:val="45"/>
          <w:tblCellSpacing w:w="0" w:type="auto"/>
        </w:trPr>
        <w:tc>
          <w:tcPr>
            <w:tcW w:w="778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1.2.6: Број законских и подзаконских аката и м</w:t>
            </w:r>
            <w:r>
              <w:rPr>
                <w:color w:val="000000"/>
              </w:rPr>
              <w:t>еханизама за вредновање неплаћеног рада</w:t>
            </w:r>
          </w:p>
        </w:tc>
        <w:tc>
          <w:tcPr>
            <w:tcW w:w="661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Увид у садржај законских и подзаконских аката, анализа садржаја</w:t>
            </w:r>
          </w:p>
        </w:tc>
      </w:tr>
    </w:tbl>
    <w:p w:rsidR="00BC3CE6" w:rsidRDefault="009A2DE5">
      <w:pPr>
        <w:spacing w:after="150"/>
      </w:pPr>
      <w:r>
        <w:rPr>
          <w:color w:val="000000"/>
        </w:rPr>
        <w:t>Мера 1.3. Смањење платног јаза између жена и мушкараца на тржишту рада у свим секторима и повећање учешћа жена у високо плаћеним пословима.</w:t>
      </w:r>
    </w:p>
    <w:p w:rsidR="00BC3CE6" w:rsidRDefault="009A2DE5">
      <w:pPr>
        <w:spacing w:after="150"/>
      </w:pPr>
      <w:r>
        <w:rPr>
          <w:color w:val="000000"/>
        </w:rPr>
        <w:t>Опис и ефек</w:t>
      </w:r>
      <w:r>
        <w:rPr>
          <w:color w:val="000000"/>
        </w:rPr>
        <w:t>ти мере: Ова мера има за циљ да допринесе смањењу платног јаза између жена и мушкараца, све до његовог потпуног елиминисања. Ова мера укључује измену и допуну одговарајуће легислативе, истраживања и анализе о узроцима платног јаза по секторима привреде и в</w:t>
      </w:r>
      <w:r>
        <w:rPr>
          <w:color w:val="000000"/>
        </w:rPr>
        <w:t>рстама занимања, и препоруке за смањење платног јаза, рад са послодавцима у јавном и приватном сектору, информативно едукативне кампање и активности које подижу свест о овом проблему међу послодавцима и запосленима и активности које препознају примере добр</w:t>
      </w:r>
      <w:r>
        <w:rPr>
          <w:color w:val="000000"/>
        </w:rPr>
        <w:t>е праксе. Ова мера укључује и анализу вредновања различитих послова, а нарочито послова који припадају такозваној социјалној инфраструктури (здравство, школство, наука, култура и уметност, послови неге и бриге за децу, старије, болесне, особе са инвалидите</w:t>
      </w:r>
      <w:r>
        <w:rPr>
          <w:color w:val="000000"/>
        </w:rPr>
        <w:t>том и др.) и њихово поновно вредновање у складу са значајем које ти послови имају за друштво. Ова мера биће усмерена и ка отклањању баријера које жене имају за напредовање у послу и каријери у различитим секторима, а нарочито у најпрофитабилнијим гранама п</w:t>
      </w:r>
      <w:r>
        <w:rPr>
          <w:color w:val="000000"/>
        </w:rPr>
        <w:t xml:space="preserve">ривреде и секторима где су подзаступљене попут ИКТ, финансијског сектора, енергетике итд. Ова мера укључује и родну анализу пензијског и пореског система, и реализацију препорука за унапређење тих система из родне перспективе на начин да допринесу смањењу </w:t>
      </w:r>
      <w:r>
        <w:rPr>
          <w:color w:val="000000"/>
        </w:rPr>
        <w:t>платног јаза.</w:t>
      </w:r>
    </w:p>
    <w:p w:rsidR="00BC3CE6" w:rsidRDefault="009A2DE5">
      <w:pPr>
        <w:spacing w:after="150"/>
      </w:pPr>
      <w:r>
        <w:rPr>
          <w:color w:val="000000"/>
        </w:rPr>
        <w:t>Институција надлежна за спровођење мере: Министарство за рад, запошљавање, борачка и социјална питања.</w:t>
      </w:r>
    </w:p>
    <w:p w:rsidR="00BC3CE6" w:rsidRDefault="009A2DE5">
      <w:pPr>
        <w:spacing w:after="150"/>
      </w:pPr>
      <w:r>
        <w:rPr>
          <w:color w:val="000000"/>
        </w:rPr>
        <w:t>Институције учесници у спровођењу мере: Министарство финансија, Министарство привреде, Пореска управа, удружење послодаваца, синдикати, РФП</w:t>
      </w:r>
      <w:r>
        <w:rPr>
          <w:color w:val="000000"/>
        </w:rPr>
        <w:t>ИО.</w:t>
      </w:r>
    </w:p>
    <w:p w:rsidR="00BC3CE6" w:rsidRDefault="00BC3CE6">
      <w:pPr>
        <w:spacing w:after="150"/>
      </w:pP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810"/>
        <w:gridCol w:w="4318"/>
      </w:tblGrid>
      <w:tr w:rsidR="00BC3CE6">
        <w:trPr>
          <w:trHeight w:val="45"/>
          <w:tblCellSpacing w:w="0" w:type="auto"/>
        </w:trPr>
        <w:tc>
          <w:tcPr>
            <w:tcW w:w="763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Показатељи резултата 1.3</w:t>
            </w:r>
          </w:p>
        </w:tc>
        <w:tc>
          <w:tcPr>
            <w:tcW w:w="67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Извори верификације</w:t>
            </w:r>
          </w:p>
        </w:tc>
      </w:tr>
      <w:tr w:rsidR="00BC3CE6">
        <w:trPr>
          <w:trHeight w:val="45"/>
          <w:tblCellSpacing w:w="0" w:type="auto"/>
        </w:trPr>
        <w:tc>
          <w:tcPr>
            <w:tcW w:w="763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1.3.1: Просечан платни јаз између мушкараца и жена по секторима</w:t>
            </w:r>
          </w:p>
        </w:tc>
        <w:tc>
          <w:tcPr>
            <w:tcW w:w="67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Извештаји МРЗБСП, независне студије и анализе института, организација, академске заједнице, статистички подаци РЗС, Индекс родне </w:t>
            </w:r>
            <w:r>
              <w:rPr>
                <w:color w:val="000000"/>
              </w:rPr>
              <w:t>равноправности</w:t>
            </w:r>
          </w:p>
        </w:tc>
      </w:tr>
      <w:tr w:rsidR="00BC3CE6">
        <w:trPr>
          <w:trHeight w:val="45"/>
          <w:tblCellSpacing w:w="0" w:type="auto"/>
        </w:trPr>
        <w:tc>
          <w:tcPr>
            <w:tcW w:w="763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1.3.2: Измењени закони и подзаконска акта и програми и унапређен систем тако да доприноси смањењу платног јаза</w:t>
            </w:r>
          </w:p>
        </w:tc>
        <w:tc>
          <w:tcPr>
            <w:tcW w:w="67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Увид у садржај законских и подзаконских аката, извештаји актера који спроводе меру, предлози и садржаји програма Министарства фин</w:t>
            </w:r>
            <w:r>
              <w:rPr>
                <w:color w:val="000000"/>
              </w:rPr>
              <w:t>ансија, Министарства привреде</w:t>
            </w:r>
          </w:p>
          <w:p w:rsidR="00BC3CE6" w:rsidRDefault="009A2DE5">
            <w:pPr>
              <w:spacing w:after="150"/>
            </w:pPr>
            <w:r>
              <w:rPr>
                <w:i/>
                <w:color w:val="000000"/>
              </w:rPr>
              <w:t>Ex-post</w:t>
            </w:r>
            <w:r>
              <w:rPr>
                <w:color w:val="000000"/>
              </w:rPr>
              <w:t xml:space="preserve"> анализа измена</w:t>
            </w:r>
          </w:p>
        </w:tc>
      </w:tr>
      <w:tr w:rsidR="00BC3CE6">
        <w:trPr>
          <w:trHeight w:val="45"/>
          <w:tblCellSpacing w:w="0" w:type="auto"/>
        </w:trPr>
        <w:tc>
          <w:tcPr>
            <w:tcW w:w="763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1.3.3: Измењени закони и подзаконски акти и програми и унапређен пензијски систем који доприноси смањењу платног јаза</w:t>
            </w:r>
          </w:p>
        </w:tc>
        <w:tc>
          <w:tcPr>
            <w:tcW w:w="67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Увид у садржај законских и подзаконских аката, извештаји актера који спроводе меру, </w:t>
            </w:r>
            <w:r>
              <w:rPr>
                <w:color w:val="000000"/>
              </w:rPr>
              <w:t>предлози и садржаји програма МРЗБСП, ПИО фонда</w:t>
            </w:r>
          </w:p>
          <w:p w:rsidR="00BC3CE6" w:rsidRDefault="009A2DE5">
            <w:pPr>
              <w:spacing w:after="150"/>
            </w:pPr>
            <w:r>
              <w:rPr>
                <w:i/>
                <w:color w:val="000000"/>
              </w:rPr>
              <w:t>Ex-post</w:t>
            </w:r>
            <w:r>
              <w:rPr>
                <w:color w:val="000000"/>
              </w:rPr>
              <w:t xml:space="preserve"> анализа измена</w:t>
            </w:r>
          </w:p>
        </w:tc>
      </w:tr>
      <w:tr w:rsidR="00BC3CE6">
        <w:trPr>
          <w:trHeight w:val="45"/>
          <w:tblCellSpacing w:w="0" w:type="auto"/>
        </w:trPr>
        <w:tc>
          <w:tcPr>
            <w:tcW w:w="763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1.3.4: Усвојени акти којима се унапређује институционални оквир и стварање механизама за постизање равноправности у зарадама</w:t>
            </w:r>
          </w:p>
        </w:tc>
        <w:tc>
          <w:tcPr>
            <w:tcW w:w="67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Увид у садржај законских и подзаконских аката, извештаји акт</w:t>
            </w:r>
            <w:r>
              <w:rPr>
                <w:color w:val="000000"/>
              </w:rPr>
              <w:t>ера који спроводе меру</w:t>
            </w:r>
          </w:p>
        </w:tc>
      </w:tr>
      <w:tr w:rsidR="00BC3CE6">
        <w:trPr>
          <w:trHeight w:val="45"/>
          <w:tblCellSpacing w:w="0" w:type="auto"/>
        </w:trPr>
        <w:tc>
          <w:tcPr>
            <w:tcW w:w="763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1.3.5: Удео жена у највишим зарадама</w:t>
            </w:r>
          </w:p>
        </w:tc>
        <w:tc>
          <w:tcPr>
            <w:tcW w:w="676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Подаци о зарадама</w:t>
            </w:r>
          </w:p>
        </w:tc>
      </w:tr>
    </w:tbl>
    <w:p w:rsidR="00BC3CE6" w:rsidRDefault="009A2DE5">
      <w:pPr>
        <w:spacing w:after="150"/>
      </w:pPr>
      <w:r>
        <w:rPr>
          <w:color w:val="000000"/>
        </w:rPr>
        <w:t>Мера 1.4. Успостављање системске подршке за започињање, развој и раст бизниса у већинском власништву жена и повећање профитабилности њихових предузетничких активности.</w:t>
      </w:r>
    </w:p>
    <w:p w:rsidR="00BC3CE6" w:rsidRDefault="009A2DE5">
      <w:pPr>
        <w:spacing w:after="150"/>
      </w:pPr>
      <w:r>
        <w:rPr>
          <w:color w:val="000000"/>
        </w:rPr>
        <w:t xml:space="preserve">Опис и </w:t>
      </w:r>
      <w:r>
        <w:rPr>
          <w:color w:val="000000"/>
        </w:rPr>
        <w:t>ефекти мере: Ова мера има за циљ да смањи родни јаз у предузетништву, повећа учешће жена у предузетништву која је резултат прилике/шансе на тржишту, олакша излазак из неформалне економије, повећа приступ информацијама, знању, капиталу, ресурсима финансијск</w:t>
      </w:r>
      <w:r>
        <w:rPr>
          <w:color w:val="000000"/>
        </w:rPr>
        <w:t>е и не финансијске подршке, повећа приходе, профитабилност, одрживост и стопу преживљавања бизниса у власништву жена.</w:t>
      </w:r>
    </w:p>
    <w:p w:rsidR="00BC3CE6" w:rsidRDefault="009A2DE5">
      <w:pPr>
        <w:spacing w:after="150"/>
      </w:pPr>
      <w:r>
        <w:rPr>
          <w:color w:val="000000"/>
        </w:rPr>
        <w:t>Циљ ове мере је да створи континуирани систем подршке, који препознаје фазе у развоју пословања (започињање, развој и раст) и, сходно потр</w:t>
      </w:r>
      <w:r>
        <w:rPr>
          <w:color w:val="000000"/>
        </w:rPr>
        <w:t xml:space="preserve">ебама сваке фазе, пружа одговарајућу подршку у континуитету, препознаје области у којима су груписана предузећа у власништву жена и подржава њихов одрживи развој и раст; препознаје области економије у којима су </w:t>
      </w:r>
      <w:r>
        <w:rPr>
          <w:color w:val="000000"/>
        </w:rPr>
        <w:lastRenderedPageBreak/>
        <w:t xml:space="preserve">предузетнице мање заступљене, а перспективне </w:t>
      </w:r>
      <w:r>
        <w:rPr>
          <w:color w:val="000000"/>
        </w:rPr>
        <w:t>су, и помаже у повећању учешћа жена у тим областима (на пример: зелена и циркуларна економија, обновљиви извори енергије, дигитална економија и економија знања и др.); препознаје родне аспекте предузетничке активности и предлаже начине за балансирање преду</w:t>
      </w:r>
      <w:r>
        <w:rPr>
          <w:color w:val="000000"/>
        </w:rPr>
        <w:t>зетничке активности са породичним и приватним животом. Ова мера укључује и анализу закона који обликују преудзетничко пословање, а посебно када се ради о паушалним предузетницима и предузетницама и начину остваривања права на породиљско, одсуство ради неге</w:t>
      </w:r>
      <w:r>
        <w:rPr>
          <w:color w:val="000000"/>
        </w:rPr>
        <w:t xml:space="preserve"> детета и/ли родитељски додатак, право за случај незапослености и др.</w:t>
      </w:r>
    </w:p>
    <w:p w:rsidR="00BC3CE6" w:rsidRDefault="009A2DE5">
      <w:pPr>
        <w:spacing w:after="150"/>
      </w:pPr>
      <w:r>
        <w:rPr>
          <w:color w:val="000000"/>
        </w:rPr>
        <w:t>Ова мера има неколико кластера активности које укључују: унапређење родне статистике у областима пословне статистике и регистара о привредним друштвима, кредитима и финансијским производ</w:t>
      </w:r>
      <w:r>
        <w:rPr>
          <w:color w:val="000000"/>
        </w:rPr>
        <w:t>има, као и вођење евиденција о учешћу жена у мерама подршке привреди, редовно праћење и анализу пословања предузећа према полу власника, сектору, региону итд. на годишњем нивоу; креирање едукативних програма и кампања које циљају да приближе женама предузе</w:t>
      </w:r>
      <w:r>
        <w:rPr>
          <w:color w:val="000000"/>
        </w:rPr>
        <w:t>тништво, као начин за остваривање прихода, повећање приступа информацијама и знањима од значаја за развој бизниса, програмима који доприносе повећаном учешћу жена у јавним набавкама и ланцима добављача, приступ стартап програмима подршке програмима за разв</w:t>
      </w:r>
      <w:r>
        <w:rPr>
          <w:color w:val="000000"/>
        </w:rPr>
        <w:t>ој и раст бизниса који ће посебно циљати жене, приступ програмима финансијске подршке за развој и раст предузећа у проценту већем од учешћа у предузетништву, иновативне и друге финансијске производе који одговарају на потребе предузетница у различитим сект</w:t>
      </w:r>
      <w:r>
        <w:rPr>
          <w:color w:val="000000"/>
        </w:rPr>
        <w:t>орима привреде, програме развоја пословне инфраструктуре, која погађа посебно жене, као што су, на пример, пословни инкубатори и други слични системи подршке, као и подршку програмима организација жена и других ОЦД које су посебно усмерене на предузетничке</w:t>
      </w:r>
      <w:r>
        <w:rPr>
          <w:color w:val="000000"/>
        </w:rPr>
        <w:t xml:space="preserve"> активности жена.</w:t>
      </w:r>
    </w:p>
    <w:p w:rsidR="00BC3CE6" w:rsidRDefault="009A2DE5">
      <w:pPr>
        <w:spacing w:after="150"/>
      </w:pPr>
      <w:r>
        <w:rPr>
          <w:color w:val="000000"/>
        </w:rPr>
        <w:t>Институција надлежна за спровођење мере: Министарство привреде и Привредна комора Србије.</w:t>
      </w:r>
    </w:p>
    <w:p w:rsidR="00BC3CE6" w:rsidRDefault="009A2DE5">
      <w:pPr>
        <w:spacing w:after="150"/>
      </w:pPr>
      <w:r>
        <w:rPr>
          <w:color w:val="000000"/>
        </w:rPr>
        <w:t>Институције учесници у спровођењу мере: Министарство за рад, запошљавање, борачка и социјална питања; Министарство државне управе и локалне самоупра</w:t>
      </w:r>
      <w:r>
        <w:rPr>
          <w:color w:val="000000"/>
        </w:rPr>
        <w:t>ве, Покрајински секретаријат за привреду и туризам, Развојна агенција Србије (РАС), мрежа регионалних развојних агенција, ЈЛС, Народна Банка Србије, пословни инкубатори, РЗС, Агенција за привредне регистре (АПР), привредне коморе и удружења послодаваца.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818"/>
        <w:gridCol w:w="4310"/>
      </w:tblGrid>
      <w:tr w:rsidR="00BC3CE6">
        <w:trPr>
          <w:trHeight w:val="45"/>
          <w:tblCellSpacing w:w="0" w:type="auto"/>
        </w:trPr>
        <w:tc>
          <w:tcPr>
            <w:tcW w:w="762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w:t>
            </w:r>
            <w:r>
              <w:rPr>
                <w:color w:val="000000"/>
              </w:rPr>
              <w:t>казатељи резултата 1.4</w:t>
            </w:r>
          </w:p>
        </w:tc>
        <w:tc>
          <w:tcPr>
            <w:tcW w:w="677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Извори верификације</w:t>
            </w:r>
          </w:p>
        </w:tc>
      </w:tr>
      <w:tr w:rsidR="00BC3CE6">
        <w:trPr>
          <w:trHeight w:val="45"/>
          <w:tblCellSpacing w:w="0" w:type="auto"/>
        </w:trPr>
        <w:tc>
          <w:tcPr>
            <w:tcW w:w="762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1.4.1: Учешће жена у предузетништву</w:t>
            </w:r>
          </w:p>
        </w:tc>
        <w:tc>
          <w:tcPr>
            <w:tcW w:w="677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Министарства привреде, Привредне коморе Србије, статистички подаци РЗС, базе АПР-а</w:t>
            </w:r>
          </w:p>
        </w:tc>
      </w:tr>
      <w:tr w:rsidR="00BC3CE6">
        <w:trPr>
          <w:trHeight w:val="45"/>
          <w:tblCellSpacing w:w="0" w:type="auto"/>
        </w:trPr>
        <w:tc>
          <w:tcPr>
            <w:tcW w:w="762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1.4.2: Стопа преживљавања </w:t>
            </w:r>
            <w:r>
              <w:rPr>
                <w:color w:val="000000"/>
              </w:rPr>
              <w:lastRenderedPageBreak/>
              <w:t>новооснованих предузећа у већинском власништву жена по с</w:t>
            </w:r>
            <w:r>
              <w:rPr>
                <w:color w:val="000000"/>
              </w:rPr>
              <w:t>екторима</w:t>
            </w:r>
          </w:p>
        </w:tc>
        <w:tc>
          <w:tcPr>
            <w:tcW w:w="677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 xml:space="preserve">Извештаји Министарства </w:t>
            </w:r>
            <w:r>
              <w:rPr>
                <w:color w:val="000000"/>
              </w:rPr>
              <w:lastRenderedPageBreak/>
              <w:t>привреде, Привредне коморе Србије, статистички подаци РЗС, базе АПР-а</w:t>
            </w:r>
          </w:p>
        </w:tc>
      </w:tr>
      <w:tr w:rsidR="00BC3CE6">
        <w:trPr>
          <w:trHeight w:val="45"/>
          <w:tblCellSpacing w:w="0" w:type="auto"/>
        </w:trPr>
        <w:tc>
          <w:tcPr>
            <w:tcW w:w="762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1.4.3: Стопа раста предузећа у већинском власништву жена по секторима</w:t>
            </w:r>
          </w:p>
        </w:tc>
        <w:tc>
          <w:tcPr>
            <w:tcW w:w="677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Извештаји Министарства привреде, Привредне коморе Србије, статистички подаци РЗС, </w:t>
            </w:r>
            <w:r>
              <w:rPr>
                <w:color w:val="000000"/>
              </w:rPr>
              <w:t>базе АПР-а</w:t>
            </w:r>
          </w:p>
        </w:tc>
      </w:tr>
      <w:tr w:rsidR="00BC3CE6">
        <w:trPr>
          <w:trHeight w:val="45"/>
          <w:tblCellSpacing w:w="0" w:type="auto"/>
        </w:trPr>
        <w:tc>
          <w:tcPr>
            <w:tcW w:w="762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1.4.4: Стопа профитабилности предузећа у већинском власништву жена по секторима</w:t>
            </w:r>
          </w:p>
        </w:tc>
        <w:tc>
          <w:tcPr>
            <w:tcW w:w="677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Министарства привреде, Привредне коморе Србије, статистички подаци РЗС, базе АПР-а</w:t>
            </w:r>
          </w:p>
        </w:tc>
      </w:tr>
      <w:tr w:rsidR="00BC3CE6">
        <w:trPr>
          <w:trHeight w:val="45"/>
          <w:tblCellSpacing w:w="0" w:type="auto"/>
        </w:trPr>
        <w:tc>
          <w:tcPr>
            <w:tcW w:w="762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1.4.5: Број и врста стално успостављених програма подршке </w:t>
            </w:r>
            <w:r>
              <w:rPr>
                <w:color w:val="000000"/>
              </w:rPr>
              <w:t>предузетништву жена</w:t>
            </w:r>
          </w:p>
        </w:tc>
        <w:tc>
          <w:tcPr>
            <w:tcW w:w="677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Увид у садржај програма које успостављају актери релевантни за реализацију мере</w:t>
            </w:r>
          </w:p>
        </w:tc>
      </w:tr>
      <w:tr w:rsidR="00BC3CE6">
        <w:trPr>
          <w:trHeight w:val="45"/>
          <w:tblCellSpacing w:w="0" w:type="auto"/>
        </w:trPr>
        <w:tc>
          <w:tcPr>
            <w:tcW w:w="762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1.4.6: Проценат буџетских средстава одвојен за подршку предузетништву жена</w:t>
            </w:r>
          </w:p>
        </w:tc>
        <w:tc>
          <w:tcPr>
            <w:tcW w:w="677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Увид у буџетске планове и извештаје о потрошњи</w:t>
            </w:r>
          </w:p>
        </w:tc>
      </w:tr>
      <w:tr w:rsidR="00BC3CE6">
        <w:trPr>
          <w:trHeight w:val="45"/>
          <w:tblCellSpacing w:w="0" w:type="auto"/>
        </w:trPr>
        <w:tc>
          <w:tcPr>
            <w:tcW w:w="762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1.4.7: Проценат учешћа жена у се</w:t>
            </w:r>
            <w:r>
              <w:rPr>
                <w:color w:val="000000"/>
              </w:rPr>
              <w:t>кторима дигиталне, циркуларне и зелене економије</w:t>
            </w:r>
            <w:r>
              <w:rPr>
                <w:color w:val="000000"/>
                <w:vertAlign w:val="superscript"/>
              </w:rPr>
              <w:t>894</w:t>
            </w:r>
          </w:p>
          <w:p w:rsidR="00BC3CE6" w:rsidRDefault="00BC3CE6">
            <w:pPr>
              <w:spacing w:after="150"/>
            </w:pPr>
          </w:p>
        </w:tc>
        <w:tc>
          <w:tcPr>
            <w:tcW w:w="677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и анализе актера задужених за примену мере, анализе Координационог тела за родну равноправност, независне процене и извештаји института, ОЦД</w:t>
            </w:r>
          </w:p>
        </w:tc>
      </w:tr>
      <w:tr w:rsidR="00BC3CE6">
        <w:trPr>
          <w:trHeight w:val="45"/>
          <w:tblCellSpacing w:w="0" w:type="auto"/>
        </w:trPr>
        <w:tc>
          <w:tcPr>
            <w:tcW w:w="762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1.4.8.: Удео предузећа у власништву жена у високора</w:t>
            </w:r>
            <w:r>
              <w:rPr>
                <w:color w:val="000000"/>
              </w:rPr>
              <w:t>стућим</w:t>
            </w:r>
            <w:r>
              <w:rPr>
                <w:color w:val="000000"/>
                <w:vertAlign w:val="superscript"/>
              </w:rPr>
              <w:t>895</w:t>
            </w:r>
            <w:r>
              <w:rPr>
                <w:color w:val="000000"/>
              </w:rPr>
              <w:t xml:space="preserve"> секторима</w:t>
            </w:r>
          </w:p>
        </w:tc>
        <w:tc>
          <w:tcPr>
            <w:tcW w:w="677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Министарства привреде, статистички подаци РЗС, базе АПР-а</w:t>
            </w:r>
          </w:p>
        </w:tc>
      </w:tr>
    </w:tbl>
    <w:p w:rsidR="00BC3CE6" w:rsidRDefault="009A2DE5">
      <w:pPr>
        <w:spacing w:after="150"/>
      </w:pPr>
      <w:r>
        <w:rPr>
          <w:color w:val="000000"/>
        </w:rPr>
        <w:t>Мера 1.5. Успостављање системске подршке за подстицање учешћа жена у друштвеним и технолошким иновацијама и повећању користи од иновационе делатности.</w:t>
      </w:r>
    </w:p>
    <w:p w:rsidR="00BC3CE6" w:rsidRDefault="009A2DE5">
      <w:pPr>
        <w:spacing w:after="150"/>
      </w:pPr>
      <w:r>
        <w:rPr>
          <w:color w:val="000000"/>
        </w:rPr>
        <w:t>Опис и ефекти ме</w:t>
      </w:r>
      <w:r>
        <w:rPr>
          <w:color w:val="000000"/>
        </w:rPr>
        <w:t>ре: Ова мера има за циљ да смањи родни јаз у учешћу и добитима које проистичу из иновационе делатности. У оквиру ове мере је кластер различитих активности, које укључују: развој институционалног оквира за укључивање жена и девојака у технолошке и друштвене</w:t>
      </w:r>
      <w:r>
        <w:rPr>
          <w:color w:val="000000"/>
        </w:rPr>
        <w:t xml:space="preserve"> иновације, повећање учешћа жена и девојака у областима истраживања и развоја, повећање учешће жена у програмима подршке иновацијама, повећање приступа информацијама, знању, капиталу, ресурсима за подршку иновацијама, подстицање, препознавање и промоција и</w:t>
      </w:r>
      <w:r>
        <w:rPr>
          <w:color w:val="000000"/>
        </w:rPr>
        <w:t>новаторки у друштву, промоција и подршка друштвеним и технолошким иновацијама и подстицање улагања у иновативност и у оним секторима у којима су жене на тржишту рада и предузећима у већинском власништву жена више заступљене. Даље, ова мера укључује подстиц</w:t>
      </w:r>
      <w:r>
        <w:rPr>
          <w:color w:val="000000"/>
        </w:rPr>
        <w:t xml:space="preserve">ање жена и девојака на </w:t>
      </w:r>
      <w:r>
        <w:rPr>
          <w:color w:val="000000"/>
        </w:rPr>
        <w:lastRenderedPageBreak/>
        <w:t>учешће у иновационој делатности повезаној са дигиталном, циркуларном и зеленом економијом, кроз истраживачке тимове, у својству стручњакиња, односно предузетница у овим областима. Ова мера подразумева и повећање учешћа жена у заштити</w:t>
      </w:r>
      <w:r>
        <w:rPr>
          <w:color w:val="000000"/>
        </w:rPr>
        <w:t xml:space="preserve"> интелектуалне својине и патената, повећање знања и информација о заштити интелектуалне својине и иновационој делатности. Поред тога, ова мера подстиче на посебно укључивање жена и девојака у научно-технолошке паркове, иновационе инкубаторе и сличне центре</w:t>
      </w:r>
      <w:r>
        <w:rPr>
          <w:color w:val="000000"/>
        </w:rPr>
        <w:t xml:space="preserve">, као и формирање и подршку постојећим мултидисциплинарним мрежама иноваторки и научница уз подршку њиховом раду и активностима. Додатно, ова мера усмерена је и на успостављање континуираног финансирања развоја, пилотирања и скалирања иновативних решења и </w:t>
      </w:r>
      <w:r>
        <w:rPr>
          <w:color w:val="000000"/>
        </w:rPr>
        <w:t>производа иноваторки. Ова мера укључује и повећање родних компетенција у сектору науке и технологије и интегрисање родне перспективе у све стратешке документе који се односе на иновациону делатност.</w:t>
      </w:r>
    </w:p>
    <w:p w:rsidR="00BC3CE6" w:rsidRDefault="009A2DE5">
      <w:pPr>
        <w:spacing w:after="150"/>
      </w:pPr>
      <w:r>
        <w:rPr>
          <w:color w:val="000000"/>
        </w:rPr>
        <w:t xml:space="preserve">Институција надлежна за спровођење мере: Министарство </w:t>
      </w:r>
      <w:r>
        <w:rPr>
          <w:color w:val="000000"/>
        </w:rPr>
        <w:t>просвете, науке и технолошког развоја.</w:t>
      </w:r>
    </w:p>
    <w:p w:rsidR="00BC3CE6" w:rsidRDefault="009A2DE5">
      <w:pPr>
        <w:spacing w:after="150"/>
      </w:pPr>
      <w:r>
        <w:rPr>
          <w:color w:val="000000"/>
        </w:rPr>
        <w:t>Институције учесници у спровођењу мере: Министарство привреде, Фонд за иновациону делатност, пословни инкубатори и технолошки паркови, СИПРУ, Завод за интелектуалну својину Републике Србије, привредне коморе, удружења</w:t>
      </w:r>
      <w:r>
        <w:rPr>
          <w:color w:val="000000"/>
        </w:rPr>
        <w:t xml:space="preserve"> послодаваца, РАС и мрежа развојних агенција.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569"/>
        <w:gridCol w:w="3559"/>
      </w:tblGrid>
      <w:tr w:rsidR="00BC3CE6">
        <w:trPr>
          <w:trHeight w:val="45"/>
          <w:tblCellSpacing w:w="0" w:type="auto"/>
        </w:trPr>
        <w:tc>
          <w:tcPr>
            <w:tcW w:w="920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Показатељи резултата 1.5</w:t>
            </w:r>
          </w:p>
        </w:tc>
        <w:tc>
          <w:tcPr>
            <w:tcW w:w="51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Извори верификације</w:t>
            </w:r>
          </w:p>
        </w:tc>
      </w:tr>
      <w:tr w:rsidR="00BC3CE6">
        <w:trPr>
          <w:trHeight w:val="45"/>
          <w:tblCellSpacing w:w="0" w:type="auto"/>
        </w:trPr>
        <w:tc>
          <w:tcPr>
            <w:tcW w:w="920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1.5.1: Број законских и стратешких докумената за развој друштвених иновација</w:t>
            </w:r>
          </w:p>
        </w:tc>
        <w:tc>
          <w:tcPr>
            <w:tcW w:w="51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Увид у садржај законских и стратешких докумената, анализа уродњавања законских и страте</w:t>
            </w:r>
            <w:r>
              <w:rPr>
                <w:color w:val="000000"/>
              </w:rPr>
              <w:t>шких докумената за развој друштвених иновација</w:t>
            </w:r>
          </w:p>
        </w:tc>
      </w:tr>
      <w:tr w:rsidR="00BC3CE6">
        <w:trPr>
          <w:trHeight w:val="45"/>
          <w:tblCellSpacing w:w="0" w:type="auto"/>
        </w:trPr>
        <w:tc>
          <w:tcPr>
            <w:tcW w:w="920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1.5.2: Степен уродњавања области иновационе делатности</w:t>
            </w:r>
          </w:p>
        </w:tc>
        <w:tc>
          <w:tcPr>
            <w:tcW w:w="51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Увид у садржај законских и стратешких докумената, анализа уродњавања законских и стратешких докумената за развој друштвених иновација, Жене и мушкарци у </w:t>
            </w:r>
            <w:r>
              <w:rPr>
                <w:color w:val="000000"/>
              </w:rPr>
              <w:t>Републици Србији</w:t>
            </w:r>
          </w:p>
        </w:tc>
      </w:tr>
      <w:tr w:rsidR="00BC3CE6">
        <w:trPr>
          <w:trHeight w:val="45"/>
          <w:tblCellSpacing w:w="0" w:type="auto"/>
        </w:trPr>
        <w:tc>
          <w:tcPr>
            <w:tcW w:w="920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1.5.3: Број програма обуке за јачање родне компетенције националног иновационог система (скуп организација, институција и њихових веза у функцији генерисања, дифузије и примене научних знања у Републици Србији) на свим нивоима</w:t>
            </w:r>
          </w:p>
        </w:tc>
        <w:tc>
          <w:tcPr>
            <w:tcW w:w="51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о</w:t>
            </w:r>
            <w:r>
              <w:rPr>
                <w:color w:val="000000"/>
              </w:rPr>
              <w:t xml:space="preserve"> ефектима обука, независне процене и анализе капацитета националног иновационог система</w:t>
            </w:r>
          </w:p>
        </w:tc>
      </w:tr>
      <w:tr w:rsidR="00BC3CE6">
        <w:trPr>
          <w:trHeight w:val="45"/>
          <w:tblCellSpacing w:w="0" w:type="auto"/>
        </w:trPr>
        <w:tc>
          <w:tcPr>
            <w:tcW w:w="920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1.5.4: Проценат жена у заштити интелектуалне својине и патената, по врсти заштите</w:t>
            </w:r>
          </w:p>
        </w:tc>
        <w:tc>
          <w:tcPr>
            <w:tcW w:w="51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и подаци Завода за интелектуалну својину Републике Србије</w:t>
            </w:r>
          </w:p>
        </w:tc>
      </w:tr>
      <w:tr w:rsidR="00BC3CE6">
        <w:trPr>
          <w:trHeight w:val="45"/>
          <w:tblCellSpacing w:w="0" w:type="auto"/>
        </w:trPr>
        <w:tc>
          <w:tcPr>
            <w:tcW w:w="920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1.5.5: Проценат </w:t>
            </w:r>
            <w:r>
              <w:rPr>
                <w:color w:val="000000"/>
              </w:rPr>
              <w:t>жена у иновационој делатности на свим нивоима које имају приступ буџетској подршци</w:t>
            </w:r>
          </w:p>
        </w:tc>
        <w:tc>
          <w:tcPr>
            <w:tcW w:w="51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Увид у буџетска планирања и извештаје, независне анализе и студије, извештаји Фонда за иновациону делатност</w:t>
            </w:r>
          </w:p>
        </w:tc>
      </w:tr>
      <w:tr w:rsidR="00BC3CE6">
        <w:trPr>
          <w:trHeight w:val="45"/>
          <w:tblCellSpacing w:w="0" w:type="auto"/>
        </w:trPr>
        <w:tc>
          <w:tcPr>
            <w:tcW w:w="920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1.5.6. Број и врста програма подршке друштвеним и технолошким </w:t>
            </w:r>
            <w:r>
              <w:rPr>
                <w:color w:val="000000"/>
              </w:rPr>
              <w:t>иновацијама који посебно циљају жене</w:t>
            </w:r>
          </w:p>
        </w:tc>
        <w:tc>
          <w:tcPr>
            <w:tcW w:w="519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Програми подршке</w:t>
            </w:r>
          </w:p>
        </w:tc>
      </w:tr>
    </w:tbl>
    <w:p w:rsidR="00BC3CE6" w:rsidRDefault="009A2DE5">
      <w:pPr>
        <w:spacing w:after="150"/>
      </w:pPr>
      <w:r>
        <w:rPr>
          <w:color w:val="000000"/>
        </w:rPr>
        <w:t>Мера 1.6: Уродњавање јавних политика и законодавства у области предшколског и основношколског васпитања и образовања, јачање капацитета свих релевантних актера и институција и подизања нивоа свести о з</w:t>
      </w:r>
      <w:r>
        <w:rPr>
          <w:color w:val="000000"/>
        </w:rPr>
        <w:t>начају остваривања родне равноправности.</w:t>
      </w:r>
    </w:p>
    <w:p w:rsidR="00BC3CE6" w:rsidRDefault="009A2DE5">
      <w:pPr>
        <w:spacing w:after="150"/>
      </w:pPr>
      <w:r>
        <w:rPr>
          <w:color w:val="000000"/>
        </w:rPr>
        <w:t>Опис и ефекти мере: Основни циљ ове мере јесте допринос смањењу родног јаза у образовању кроз уродњавање предшколског и основношколског васпитања и образовања. Уродњавање је процес који је потребно спроводити контин</w:t>
      </w:r>
      <w:r>
        <w:rPr>
          <w:color w:val="000000"/>
        </w:rPr>
        <w:t>уирано кроз унапређење јавних политика и правног оквира, јачање капацитета свих релевантних актера и институција и подизања нивоа свести о значају остваривања принципа родне равноправности. Ова мера је веома широка и комплексна и спроводиће се кроз неколик</w:t>
      </w:r>
      <w:r>
        <w:rPr>
          <w:color w:val="000000"/>
        </w:rPr>
        <w:t>о кластера активности. Најпре, ова мера подразумева увођење обавезних родно осетљивих и антидискриминаторних образовних програма и наставних садржаја у предшколско и основношколско образовање и васпитање, који укључују нове исходе и програме наставе и учењ</w:t>
      </w:r>
      <w:r>
        <w:rPr>
          <w:color w:val="000000"/>
        </w:rPr>
        <w:t>а за основне школе са садржајима који афирмишу родну равноправност и повећавају видљивост женског доприноса у науци и култури. Мера укључује и ревизију наставних садржаја и уџбеника ради елиминисања родних стереотипа, дискриминаторних садржаја и дискримина</w:t>
      </w:r>
      <w:r>
        <w:rPr>
          <w:color w:val="000000"/>
        </w:rPr>
        <w:t>торског језика, као и исправљање ових садржаја уз увођење родно осетљивог језика у све наставне садржаје. Поред тога, мера укључује увођење образовања о сексуалном и репродуктивном здрављу и правима у складу са узрастом. Такође, ова мера подразумева успост</w:t>
      </w:r>
      <w:r>
        <w:rPr>
          <w:color w:val="000000"/>
        </w:rPr>
        <w:t>ављање регулаторног оквира за унапређивање компетенција запослених у образовању и васпитању путем увођења обавезних образовних програма о родној равноправности и укључивање садржаја о родној равноправности и дискриминацији у испит за добијање лиценце за ра</w:t>
      </w:r>
      <w:r>
        <w:rPr>
          <w:color w:val="000000"/>
        </w:rPr>
        <w:t>д у предшколским установама, школама/настави, односно, остваривању програма васпитно-образовног рада. Такође, да би се ова мера остварила, неопходно је унапредити прописе у области предшколског и основношколског образовања, као и јачати компетенције свих р</w:t>
      </w:r>
      <w:r>
        <w:rPr>
          <w:color w:val="000000"/>
        </w:rPr>
        <w:t xml:space="preserve">елевантних актера и институција у предшколском и основношколском образовању. Неопходно је изменити родно стереотипне и дискриминаторне </w:t>
      </w:r>
      <w:r>
        <w:rPr>
          <w:color w:val="000000"/>
        </w:rPr>
        <w:lastRenderedPageBreak/>
        <w:t>садржаје из наставних планова, програма и уџбеника и увести нове родно осетљиве и недискриминаторне садржаје. Такође, нео</w:t>
      </w:r>
      <w:r>
        <w:rPr>
          <w:color w:val="000000"/>
        </w:rPr>
        <w:t>пходне су и бројне активности за превазилажење родних стереотипа и предрасуда, стереотипних схватања родних улога, измену постојећих друштвених образаца понашања, као и сензибилисање свих актера и институција у предшколском и основношколском васпитању и об</w:t>
      </w:r>
      <w:r>
        <w:rPr>
          <w:color w:val="000000"/>
        </w:rPr>
        <w:t>разовању. Посебну пажњу је потребно обратити на девојчице и дечаке из осетљивих група (са инвалидитетом, из ромске заједнице, из сеоских и депривираних крајева, сиромашне), како у наставним плановима, програмима и уџбеницима, тако и кроз подизање нивоа све</w:t>
      </w:r>
      <w:r>
        <w:rPr>
          <w:color w:val="000000"/>
        </w:rPr>
        <w:t xml:space="preserve">сти у сарадњи са ОЦД и другим актерима који се баве заштитом права појединих група које су у већем ризику од дискриминације. Поред тога, неопходно је унапредити инклузивно васпитање и образовање и осигурати да девојчице ромске националности и девојчице са </w:t>
      </w:r>
      <w:r>
        <w:rPr>
          <w:color w:val="000000"/>
        </w:rPr>
        <w:t>инвалидитетом имају једнаке шансе у образовању.</w:t>
      </w:r>
    </w:p>
    <w:p w:rsidR="00BC3CE6" w:rsidRDefault="009A2DE5">
      <w:pPr>
        <w:spacing w:after="150"/>
      </w:pPr>
      <w:r>
        <w:rPr>
          <w:color w:val="000000"/>
        </w:rPr>
        <w:t>Институција надлежна за спровођење мере: Министарство просвете, науке и технолошког развоја, Завод за унапређивање образовања и васпитања.</w:t>
      </w:r>
    </w:p>
    <w:p w:rsidR="00BC3CE6" w:rsidRDefault="009A2DE5">
      <w:pPr>
        <w:spacing w:after="150"/>
      </w:pPr>
      <w:r>
        <w:rPr>
          <w:color w:val="000000"/>
        </w:rPr>
        <w:t>Институције учесници у спровођењу мере: школске управе, органи аутоно</w:t>
      </w:r>
      <w:r>
        <w:rPr>
          <w:color w:val="000000"/>
        </w:rPr>
        <w:t>мних покрајина и ЈЛС, предшколске установе, основне школе, СКГО.</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877"/>
        <w:gridCol w:w="4251"/>
      </w:tblGrid>
      <w:tr w:rsidR="00BC3CE6">
        <w:trPr>
          <w:trHeight w:val="45"/>
          <w:tblCellSpacing w:w="0" w:type="auto"/>
        </w:trPr>
        <w:tc>
          <w:tcPr>
            <w:tcW w:w="752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Показатељ резултата мере 1.6</w:t>
            </w:r>
          </w:p>
        </w:tc>
        <w:tc>
          <w:tcPr>
            <w:tcW w:w="687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Извори верификације</w:t>
            </w:r>
          </w:p>
        </w:tc>
      </w:tr>
      <w:tr w:rsidR="00BC3CE6">
        <w:trPr>
          <w:trHeight w:val="45"/>
          <w:tblCellSpacing w:w="0" w:type="auto"/>
        </w:trPr>
        <w:tc>
          <w:tcPr>
            <w:tcW w:w="752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1.6.1: Број ревидираних програма наставе и учења и уџбеника из којих су уклоњени родно засновани стереотипи, дискриминаторни садржаји и </w:t>
            </w:r>
            <w:r>
              <w:rPr>
                <w:color w:val="000000"/>
              </w:rPr>
              <w:t>дискриминаторни језик.</w:t>
            </w:r>
          </w:p>
        </w:tc>
        <w:tc>
          <w:tcPr>
            <w:tcW w:w="687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Родна анализа наставних садржаја и уџбеника, извештаји Завода за унапређивање образовања и васпитања и Министарства просвете, науке и технолошког развоја, извештаји Завода за вредновање квалитета образовања и васпитања.</w:t>
            </w:r>
          </w:p>
        </w:tc>
      </w:tr>
      <w:tr w:rsidR="00BC3CE6">
        <w:trPr>
          <w:trHeight w:val="45"/>
          <w:tblCellSpacing w:w="0" w:type="auto"/>
        </w:trPr>
        <w:tc>
          <w:tcPr>
            <w:tcW w:w="752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1 6.2: Број </w:t>
            </w:r>
            <w:r>
              <w:rPr>
                <w:color w:val="000000"/>
              </w:rPr>
              <w:t>исхода и програма наставе и учења који афирмишу родну равноправност и повећавају видљивост женског доприноса на нивоу предшколског и основношколског васпитања и образовања.</w:t>
            </w:r>
          </w:p>
        </w:tc>
        <w:tc>
          <w:tcPr>
            <w:tcW w:w="687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Родна анализа исхода и програма наставе и учења Министарства просвете, науке и техн</w:t>
            </w:r>
            <w:r>
              <w:rPr>
                <w:color w:val="000000"/>
              </w:rPr>
              <w:t>олошког развоја, Завода за вредновање квалитета образовања и васпитања и Завода за унапређење образовања и васпитања.</w:t>
            </w:r>
          </w:p>
        </w:tc>
      </w:tr>
      <w:tr w:rsidR="00BC3CE6">
        <w:trPr>
          <w:trHeight w:val="45"/>
          <w:tblCellSpacing w:w="0" w:type="auto"/>
        </w:trPr>
        <w:tc>
          <w:tcPr>
            <w:tcW w:w="752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1.6.3: Број програма стручног усавршавања који укључују унапређивање компетенција запослених у образовању и васпитању о сексуалном и репр</w:t>
            </w:r>
            <w:r>
              <w:rPr>
                <w:color w:val="000000"/>
              </w:rPr>
              <w:t xml:space="preserve">одуктивном здрављу и правима у основношколском </w:t>
            </w:r>
            <w:r>
              <w:rPr>
                <w:color w:val="000000"/>
              </w:rPr>
              <w:lastRenderedPageBreak/>
              <w:t>образовању.</w:t>
            </w:r>
          </w:p>
        </w:tc>
        <w:tc>
          <w:tcPr>
            <w:tcW w:w="687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Извештаји Министарства просвете, науке и технолошког развоја о спровођењу програма образовања о сексуалном и репродуктивном здрављу, на годишњем нивоу.</w:t>
            </w:r>
          </w:p>
        </w:tc>
      </w:tr>
      <w:tr w:rsidR="00BC3CE6">
        <w:trPr>
          <w:trHeight w:val="45"/>
          <w:tblCellSpacing w:w="0" w:type="auto"/>
        </w:trPr>
        <w:tc>
          <w:tcPr>
            <w:tcW w:w="752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1.6.4: Број подзаконских аката за предшколск</w:t>
            </w:r>
            <w:r>
              <w:rPr>
                <w:color w:val="000000"/>
              </w:rPr>
              <w:t>о и основношколско образовање који укључују унапређивање компетенција запослених у образовању и васпитању у области родне равноправности.</w:t>
            </w:r>
          </w:p>
        </w:tc>
        <w:tc>
          <w:tcPr>
            <w:tcW w:w="687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Увид у садржај подзаконских аката.</w:t>
            </w:r>
          </w:p>
        </w:tc>
      </w:tr>
      <w:tr w:rsidR="00BC3CE6">
        <w:trPr>
          <w:trHeight w:val="45"/>
          <w:tblCellSpacing w:w="0" w:type="auto"/>
        </w:trPr>
        <w:tc>
          <w:tcPr>
            <w:tcW w:w="752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1.6.5: Број запослених у предуниверзитетском образовању који су похађали обуке у </w:t>
            </w:r>
            <w:r>
              <w:rPr>
                <w:color w:val="000000"/>
              </w:rPr>
              <w:t>области родне равноправности, разврстано по полу, нивоу образовања, школској управи/региону.</w:t>
            </w:r>
          </w:p>
        </w:tc>
        <w:tc>
          <w:tcPr>
            <w:tcW w:w="687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и евалуације ефеката обука, које припремају реализатори и Завод за унапређење образовања и васпитања.</w:t>
            </w:r>
          </w:p>
        </w:tc>
      </w:tr>
      <w:tr w:rsidR="00BC3CE6">
        <w:trPr>
          <w:trHeight w:val="45"/>
          <w:tblCellSpacing w:w="0" w:type="auto"/>
        </w:trPr>
        <w:tc>
          <w:tcPr>
            <w:tcW w:w="752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1.6.6: Број акредитованих обука у области родне ра</w:t>
            </w:r>
            <w:r>
              <w:rPr>
                <w:color w:val="000000"/>
              </w:rPr>
              <w:t>вноправности.</w:t>
            </w:r>
          </w:p>
        </w:tc>
        <w:tc>
          <w:tcPr>
            <w:tcW w:w="687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Увид у садржај каталога акредитованих програма за стручно усавршавање запослених у образовању, на годишњем нивоу; извештаји Завода за унапређење образовања и васпитања о реализованим обука на годишњем нивоу.</w:t>
            </w:r>
          </w:p>
        </w:tc>
      </w:tr>
      <w:tr w:rsidR="00BC3CE6">
        <w:trPr>
          <w:trHeight w:val="45"/>
          <w:tblCellSpacing w:w="0" w:type="auto"/>
        </w:trPr>
        <w:tc>
          <w:tcPr>
            <w:tcW w:w="752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1.6.7: Број одраслих жена из </w:t>
            </w:r>
            <w:r>
              <w:rPr>
                <w:color w:val="000000"/>
              </w:rPr>
              <w:t>осетљивих група које су укључене у програм функционалног основног образовања одраслих (ФООО).</w:t>
            </w:r>
          </w:p>
        </w:tc>
        <w:tc>
          <w:tcPr>
            <w:tcW w:w="687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 Министарства просвете, науке и технолошког развоја.</w:t>
            </w:r>
          </w:p>
        </w:tc>
      </w:tr>
    </w:tbl>
    <w:p w:rsidR="00BC3CE6" w:rsidRDefault="009A2DE5">
      <w:pPr>
        <w:spacing w:after="150"/>
      </w:pPr>
      <w:r>
        <w:rPr>
          <w:color w:val="000000"/>
        </w:rPr>
        <w:t>Мера 1.7. Уродњавање јавних политика и законодавства у области средњег образовања и васпитања, јачањ</w:t>
      </w:r>
      <w:r>
        <w:rPr>
          <w:color w:val="000000"/>
        </w:rPr>
        <w:t>е капацитета свих релевантних актера и институција, подизање нивоа свести о значају остваривања родне равноправности и промоција инклузивног родно сензитивног доживотног учења.</w:t>
      </w:r>
    </w:p>
    <w:p w:rsidR="00BC3CE6" w:rsidRDefault="009A2DE5">
      <w:pPr>
        <w:spacing w:after="150"/>
      </w:pPr>
      <w:r>
        <w:rPr>
          <w:color w:val="000000"/>
        </w:rPr>
        <w:t>Опис и ефекти мере: Основни циљ ове мере јесте допринос смањењу родног јаза у о</w:t>
      </w:r>
      <w:r>
        <w:rPr>
          <w:color w:val="000000"/>
        </w:rPr>
        <w:t>бразовању кроз уродњавање средњошколског образовања. Уродњавање је процес који је потребно спроводити континуирано кроз унапређење јавних политика и правног оквира, јачање капацитета свих релевантних актера и институција и подизања нивоа свести о значају о</w:t>
      </w:r>
      <w:r>
        <w:rPr>
          <w:color w:val="000000"/>
        </w:rPr>
        <w:t>стваривања принципа родне равноправности. Ова мера је веома широка и комплексна и спроводиће се кроз неколико кластера активности. Између осталог, ова мера подразумева увођење обавезних родно осетљивих и антидискриминаторних образовних програма и наставних</w:t>
      </w:r>
      <w:r>
        <w:rPr>
          <w:color w:val="000000"/>
        </w:rPr>
        <w:t xml:space="preserve"> садржаја у средњошколско образовање, као и креирање нових исхода и програма наставе и учења за средње школе са садржајима који афирмишу родну равноправност и повећавају видљивост женског доприноса у науци и </w:t>
      </w:r>
      <w:r>
        <w:rPr>
          <w:color w:val="000000"/>
        </w:rPr>
        <w:lastRenderedPageBreak/>
        <w:t>култури. Такође, мера подразумева успостављање р</w:t>
      </w:r>
      <w:r>
        <w:rPr>
          <w:color w:val="000000"/>
        </w:rPr>
        <w:t>егулаторног оквира за унапређивање компетенција запослених у средњошколском образовању путем увођења обавезних образовних програма о родној равноправности и укључивање садржаја о родној равноправности у испит за добијање лиценце за рад у школама и настави.</w:t>
      </w:r>
      <w:r>
        <w:rPr>
          <w:color w:val="000000"/>
        </w:rPr>
        <w:t xml:space="preserve"> Поред тога, мера укључује и ревизију наставних садржаја и уџбеника за средње школе ради елиминисања родних стереотипа, дискриминаторних садржаја и дискриминаторског језика, а након тога и њихову измену. Мера укључује увођење образовања о сексуалном и репр</w:t>
      </w:r>
      <w:r>
        <w:rPr>
          <w:color w:val="000000"/>
        </w:rPr>
        <w:t>одуктивном здрављу и правима, укључујући и питања родних односа, родних улога и одговорног сексуалног понашања, са посебним акцентом на развијању програма рада са дечацима и младићима о њиховој одговорности и улози у чувању репродуктивног здравља и употреб</w:t>
      </w:r>
      <w:r>
        <w:rPr>
          <w:color w:val="000000"/>
        </w:rPr>
        <w:t>е контрацепције. Надаље, мера подразумева сет активности за смањење родне сегрегације у средњошколском образовању, укључујући и охрабривање девојчица и дечака за образовање за нетрадиционална занимања, што подразумева рад са ученицима/цама у основној школи</w:t>
      </w:r>
      <w:r>
        <w:rPr>
          <w:color w:val="000000"/>
        </w:rPr>
        <w:t xml:space="preserve"> кроз програме професионалне оријентације. Потребно је, такође, радити на ојачавању механизама за задржавање девојчица ромске националности у образовном систему, као и обезбеђивање равноправног приступа средњошколском образовању за девојчице из осетљивих г</w:t>
      </w:r>
      <w:r>
        <w:rPr>
          <w:color w:val="000000"/>
        </w:rPr>
        <w:t>рупа. Такође, мера укључује и активности подршке младим женама које су напустиле образовање, као и младим и малолетним мајкама за наставак школовања. Поред тога, један сет активности се односи на образовање одраслих и целоживотно учење.</w:t>
      </w:r>
    </w:p>
    <w:p w:rsidR="00BC3CE6" w:rsidRDefault="009A2DE5">
      <w:pPr>
        <w:spacing w:after="150"/>
      </w:pPr>
      <w:r>
        <w:rPr>
          <w:color w:val="000000"/>
        </w:rPr>
        <w:t>Да би се ова мера о</w:t>
      </w:r>
      <w:r>
        <w:rPr>
          <w:color w:val="000000"/>
        </w:rPr>
        <w:t>стварила, неопходно је унапредити прописе у области средњошколског образовања и упоредо радити на јачању компетенција свих релевантних актера и институција у средњошколском образовању. Неопходно је изменити родно стереотипне и дискриминаторне садржаје из н</w:t>
      </w:r>
      <w:r>
        <w:rPr>
          <w:color w:val="000000"/>
        </w:rPr>
        <w:t>аставних планова, програма и уџбеника и увести нове садржаје, који ће бити родно осетљиви и недискриминаторни. Такође, неопходне су и бројне активности за превазилажење родних стереотипа и предрасуда, стереотипних схватања родних улога, измену постојећих д</w:t>
      </w:r>
      <w:r>
        <w:rPr>
          <w:color w:val="000000"/>
        </w:rPr>
        <w:t>руштвених образаца понашања, као и сензибилисање свих актера и институција у средњошколском образовању. Посебну пажњу потребно је обратити на девојчице и дечаке из осетљивих група, како у програмима наставе и учења и у уџбеницима, тако и кроз подизање ниво</w:t>
      </w:r>
      <w:r>
        <w:rPr>
          <w:color w:val="000000"/>
        </w:rPr>
        <w:t>а свести у сарадњи са ОЦД и другим актерима који се баве заштитом права појединих група које су у већем ризику од дискриминације. Поред тога, посебну пажњу је потребно усмерити на девојке и младе мајке које су напустиле образовање, те радити на подизању њи</w:t>
      </w:r>
      <w:r>
        <w:rPr>
          <w:color w:val="000000"/>
        </w:rPr>
        <w:t>хове свети и информисаности о могућностима наставка образовања, уз истовремено креирање посебних мера за наставак њиховог образовања. Надаље, неопходно је активно и координисано деловање свих релевантних актера и институција средњошколског образовања, како</w:t>
      </w:r>
      <w:r>
        <w:rPr>
          <w:color w:val="000000"/>
        </w:rPr>
        <w:t xml:space="preserve"> би се удруженим снагама радило на уродњавању средњошколског образовања. То, између осталог, укључује и широке националне кампање за оснаживање </w:t>
      </w:r>
      <w:r>
        <w:rPr>
          <w:color w:val="000000"/>
        </w:rPr>
        <w:lastRenderedPageBreak/>
        <w:t>девојчица и дечака да бирају нетрадиционална „женска” и „мушка” занимања, како би се смањила родна сегрегација у</w:t>
      </w:r>
      <w:r>
        <w:rPr>
          <w:color w:val="000000"/>
        </w:rPr>
        <w:t xml:space="preserve"> образовању.</w:t>
      </w:r>
    </w:p>
    <w:p w:rsidR="00BC3CE6" w:rsidRDefault="009A2DE5">
      <w:pPr>
        <w:spacing w:after="150"/>
      </w:pPr>
      <w:r>
        <w:rPr>
          <w:color w:val="000000"/>
        </w:rPr>
        <w:t>Институција надлежна за спровођење мере: Министарство просвете, науке и технолошког развоја.</w:t>
      </w:r>
    </w:p>
    <w:p w:rsidR="00BC3CE6" w:rsidRDefault="009A2DE5">
      <w:pPr>
        <w:spacing w:after="150"/>
      </w:pPr>
      <w:r>
        <w:rPr>
          <w:color w:val="000000"/>
        </w:rPr>
        <w:t>Институције учесници у спровођењу мере: Школске управе, средње школе, Национална служба за запошљавање.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854"/>
        <w:gridCol w:w="4274"/>
      </w:tblGrid>
      <w:tr w:rsidR="00BC3CE6">
        <w:trPr>
          <w:trHeight w:val="45"/>
          <w:tblCellSpacing w:w="0" w:type="auto"/>
        </w:trPr>
        <w:tc>
          <w:tcPr>
            <w:tcW w:w="766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Показатељ резултата мере 1.7.</w:t>
            </w:r>
          </w:p>
        </w:tc>
        <w:tc>
          <w:tcPr>
            <w:tcW w:w="673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Извори верификац</w:t>
            </w:r>
            <w:r>
              <w:rPr>
                <w:color w:val="000000"/>
              </w:rPr>
              <w:t>ије</w:t>
            </w:r>
          </w:p>
        </w:tc>
      </w:tr>
      <w:tr w:rsidR="00BC3CE6">
        <w:trPr>
          <w:trHeight w:val="45"/>
          <w:tblCellSpacing w:w="0" w:type="auto"/>
        </w:trPr>
        <w:tc>
          <w:tcPr>
            <w:tcW w:w="766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1.7.1: Број исхода програма наставе и учења са садржајима који афирмишу родну равноправност и повећавају видљивост женског доприноса у науци и култури.</w:t>
            </w:r>
          </w:p>
        </w:tc>
        <w:tc>
          <w:tcPr>
            <w:tcW w:w="673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Родна анализа исхода програма наставе и учења, извештаји Министарства просвете, науке и технолошког</w:t>
            </w:r>
            <w:r>
              <w:rPr>
                <w:color w:val="000000"/>
              </w:rPr>
              <w:t xml:space="preserve"> развоја и Завода за вредновање квалитета образовања и васпитања.</w:t>
            </w:r>
          </w:p>
        </w:tc>
      </w:tr>
      <w:tr w:rsidR="00BC3CE6">
        <w:trPr>
          <w:trHeight w:val="45"/>
          <w:tblCellSpacing w:w="0" w:type="auto"/>
        </w:trPr>
        <w:tc>
          <w:tcPr>
            <w:tcW w:w="766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1.7.2: Број ревидираних уџбеника за средње школе ради елиминисања родних стереотипа, дискриминаторних садржаја и дискриминаторног језика.</w:t>
            </w:r>
          </w:p>
        </w:tc>
        <w:tc>
          <w:tcPr>
            <w:tcW w:w="673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Родна анализа наставних садржаја и уџбеника, извешт</w:t>
            </w:r>
            <w:r>
              <w:rPr>
                <w:color w:val="000000"/>
              </w:rPr>
              <w:t>аји Завода за унапређивање образовања и васпитања, Министарства просвете, науке и технолошког развоја и извештаји Завода за вредновање квалитета образовања и васпитања.</w:t>
            </w:r>
          </w:p>
        </w:tc>
      </w:tr>
      <w:tr w:rsidR="00BC3CE6">
        <w:trPr>
          <w:trHeight w:val="45"/>
          <w:tblCellSpacing w:w="0" w:type="auto"/>
        </w:trPr>
        <w:tc>
          <w:tcPr>
            <w:tcW w:w="766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1.7.3: Број садржаја о сексуалном и репродуктивном здрављу и правима, као обавезних у </w:t>
            </w:r>
            <w:r>
              <w:rPr>
                <w:color w:val="000000"/>
              </w:rPr>
              <w:t>програмима средњих школа.</w:t>
            </w:r>
          </w:p>
        </w:tc>
        <w:tc>
          <w:tcPr>
            <w:tcW w:w="673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Министарства просвете, науке и технолошког развоја о спровођењу програма образовања о сексуалном и репродуктивном здрављу у средњим школама, на годишњем нивоу.</w:t>
            </w:r>
          </w:p>
        </w:tc>
      </w:tr>
      <w:tr w:rsidR="00BC3CE6">
        <w:trPr>
          <w:trHeight w:val="45"/>
          <w:tblCellSpacing w:w="0" w:type="auto"/>
        </w:trPr>
        <w:tc>
          <w:tcPr>
            <w:tcW w:w="766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1.7.4: Број информисаних младих жена и младих мајки, које с</w:t>
            </w:r>
            <w:r>
              <w:rPr>
                <w:color w:val="000000"/>
              </w:rPr>
              <w:t>у напустиле образовање о могућностима наставка образовања.</w:t>
            </w:r>
          </w:p>
        </w:tc>
        <w:tc>
          <w:tcPr>
            <w:tcW w:w="673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и евалуације ефеката; увид у информативни материјал (штампани, видео, аудио, дигитални), повратна информација од младих жена (анкета о задовољству корисница).</w:t>
            </w:r>
          </w:p>
        </w:tc>
      </w:tr>
      <w:tr w:rsidR="00BC3CE6">
        <w:trPr>
          <w:trHeight w:val="45"/>
          <w:tblCellSpacing w:w="0" w:type="auto"/>
        </w:trPr>
        <w:tc>
          <w:tcPr>
            <w:tcW w:w="766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1.7.5: Удео девојчица и деч</w:t>
            </w:r>
            <w:r>
              <w:rPr>
                <w:color w:val="000000"/>
              </w:rPr>
              <w:t>ака у образовним профилима у којима учествују испод 40%.</w:t>
            </w:r>
          </w:p>
        </w:tc>
        <w:tc>
          <w:tcPr>
            <w:tcW w:w="673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Министарства просвете, науке и технолошког развоја, статистички подаци РЗС</w:t>
            </w:r>
          </w:p>
        </w:tc>
      </w:tr>
      <w:tr w:rsidR="00BC3CE6">
        <w:trPr>
          <w:trHeight w:val="45"/>
          <w:tblCellSpacing w:w="0" w:type="auto"/>
        </w:trPr>
        <w:tc>
          <w:tcPr>
            <w:tcW w:w="766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1.7.6: Обухват девојчица и дечака из осетљивих група (Рома/Ромкиња, девојчица/дечака са инвалидитетом) са </w:t>
            </w:r>
            <w:r>
              <w:rPr>
                <w:color w:val="000000"/>
              </w:rPr>
              <w:lastRenderedPageBreak/>
              <w:t>средњим</w:t>
            </w:r>
            <w:r>
              <w:rPr>
                <w:color w:val="000000"/>
              </w:rPr>
              <w:t xml:space="preserve"> образовањем заснованим на начелима доступног инклузивног образовања.</w:t>
            </w:r>
          </w:p>
        </w:tc>
        <w:tc>
          <w:tcPr>
            <w:tcW w:w="673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 xml:space="preserve">Извештаји Министарства просвете, науке и технолошког развоја, </w:t>
            </w:r>
            <w:r>
              <w:rPr>
                <w:color w:val="000000"/>
              </w:rPr>
              <w:lastRenderedPageBreak/>
              <w:t>МИЦС подаци.</w:t>
            </w:r>
          </w:p>
        </w:tc>
      </w:tr>
    </w:tbl>
    <w:p w:rsidR="00BC3CE6" w:rsidRDefault="009A2DE5">
      <w:pPr>
        <w:spacing w:after="150"/>
      </w:pPr>
      <w:r>
        <w:rPr>
          <w:color w:val="000000"/>
        </w:rPr>
        <w:lastRenderedPageBreak/>
        <w:t xml:space="preserve">Мера 1.8. Уродњавање јавних политика и законодавства у области образовања и науке, јачање капацитета свих </w:t>
      </w:r>
      <w:r>
        <w:rPr>
          <w:color w:val="000000"/>
        </w:rPr>
        <w:t>релевантних актера и институција, подизања нивоа свести о значају остваривања родне равноправности и успостављање једнаких могућности за каријерно напредовање запослених жена и мушкараца.</w:t>
      </w:r>
    </w:p>
    <w:p w:rsidR="00BC3CE6" w:rsidRDefault="009A2DE5">
      <w:pPr>
        <w:spacing w:after="150"/>
      </w:pPr>
      <w:r>
        <w:rPr>
          <w:color w:val="000000"/>
        </w:rPr>
        <w:t>Опис и ефекти мере: Основни циљ ове мере јесте допринос смањењу родн</w:t>
      </w:r>
      <w:r>
        <w:rPr>
          <w:color w:val="000000"/>
        </w:rPr>
        <w:t xml:space="preserve">ог јаза у образовању кроз уродњавање високошколског образовања и науке. Уродњавање је процес који је потребно спроводити континуирано кроз унапређење јавних политика и законодавног оквира, јачање капацитета свих релевантних актера и институција и подизања </w:t>
      </w:r>
      <w:r>
        <w:rPr>
          <w:color w:val="000000"/>
        </w:rPr>
        <w:t>нивоа свести о значају остваривања принципа родне равноправности. Ова мера је веома широка и комплексна и спроводиће се кроз неколико кластера активности. Један сет активности односи се на уродњавање прописа у области високог образовања и науке, односно, н</w:t>
      </w:r>
      <w:r>
        <w:rPr>
          <w:color w:val="000000"/>
        </w:rPr>
        <w:t>аучних истраживања, укључујући и прописе који се односе на стандарде за акредитацију високошколских установа, као и стандарде за самовредновање и оцењивање квалитета високошколских установа. Такође, мера подразумева анализе којима ће се утврдити родно неос</w:t>
      </w:r>
      <w:r>
        <w:rPr>
          <w:color w:val="000000"/>
        </w:rPr>
        <w:t>етљиви, родно стереотипни и дискриминаторни садржаји у силабусима и универзитетским уџбеницима, те њихову измену. Ова мера укључује сет активности које се односе на унапређивање и подржавање родних студија као извора знања о родним односима у сврху развија</w:t>
      </w:r>
      <w:r>
        <w:rPr>
          <w:color w:val="000000"/>
        </w:rPr>
        <w:t>ња критичне масе људског потенцијала у овој области и обезбеђивања стручног усавршавања људских ресурса за спровођење и унапређивање политике једнаких могућности, родне равноправности и елиминисање родно засноване дискриминације. Поред тога, подразумева ак</w:t>
      </w:r>
      <w:r>
        <w:rPr>
          <w:color w:val="000000"/>
        </w:rPr>
        <w:t>тивности за повећање видљивости родних студија и јачање утицаја родних студија на ширу академску заједницу, подстицање и подржавање интердисциплинарности у академским студијским програмима, уз увођење нових предмета из родних студија на универзитетима. Так</w:t>
      </w:r>
      <w:r>
        <w:rPr>
          <w:color w:val="000000"/>
        </w:rPr>
        <w:t>ође, мера се односи и на подстицање и подржавање студирања на специјалистичким, мастер и докторским студијама родних студија, нарочито припадница рањивих група, као и на повећање броја студената и студенткиња ових студија који се финансирају из буџета. Над</w:t>
      </w:r>
      <w:r>
        <w:rPr>
          <w:color w:val="000000"/>
        </w:rPr>
        <w:t xml:space="preserve">аље, мера подразумева активности подстицања и финансијског подржавања циљаних научних теоријских и емпиријских истраживања и пројеката у области родне равноправности, укључујући и подршку истраживањима о специфичностима положаја вишеструко дискриминисаних </w:t>
      </w:r>
      <w:r>
        <w:rPr>
          <w:color w:val="000000"/>
        </w:rPr>
        <w:t>група жена.</w:t>
      </w:r>
    </w:p>
    <w:p w:rsidR="00BC3CE6" w:rsidRDefault="009A2DE5">
      <w:pPr>
        <w:spacing w:after="150"/>
      </w:pPr>
      <w:r>
        <w:rPr>
          <w:color w:val="000000"/>
        </w:rPr>
        <w:t xml:space="preserve">Да би се ова мера остварила, неопходно је предузети бројне активности на измени прописа, јачању капацитета запослених у високом образовању и науци. То, између осталог, укључује и сврставање научних истраживања у </w:t>
      </w:r>
      <w:r>
        <w:rPr>
          <w:color w:val="000000"/>
        </w:rPr>
        <w:lastRenderedPageBreak/>
        <w:t>области родне равноправности у п</w:t>
      </w:r>
      <w:r>
        <w:rPr>
          <w:color w:val="000000"/>
        </w:rPr>
        <w:t>риоритетне теме основних и основних усмерених истраживања у области друштвених и хуманистичких наука, увођење квота за финансирање научних истраживања у области родне равноправности, прописивање да заступљеност родне перспективе у научно-истраживачким прој</w:t>
      </w:r>
      <w:r>
        <w:rPr>
          <w:color w:val="000000"/>
        </w:rPr>
        <w:t>ектима и родни баланс истраживачких тимова представљају критеријуме за њихово вредновање и слично.</w:t>
      </w:r>
    </w:p>
    <w:p w:rsidR="00BC3CE6" w:rsidRDefault="009A2DE5">
      <w:pPr>
        <w:spacing w:after="150"/>
      </w:pPr>
      <w:r>
        <w:rPr>
          <w:color w:val="000000"/>
        </w:rPr>
        <w:t>Институција надлежна за спровођење мере: Министарство просвете, науке и технолошког развоја.</w:t>
      </w:r>
    </w:p>
    <w:p w:rsidR="00BC3CE6" w:rsidRDefault="009A2DE5">
      <w:pPr>
        <w:spacing w:after="150"/>
      </w:pPr>
      <w:r>
        <w:rPr>
          <w:color w:val="000000"/>
        </w:rPr>
        <w:t>Институције учесници у спровођењу мере: Национални савет за висо</w:t>
      </w:r>
      <w:r>
        <w:rPr>
          <w:color w:val="000000"/>
        </w:rPr>
        <w:t>ко образовање, високошколске установе, Фонд за науку Републике Србије, научни институти.</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506"/>
        <w:gridCol w:w="3622"/>
      </w:tblGrid>
      <w:tr w:rsidR="00BC3CE6">
        <w:trPr>
          <w:trHeight w:val="45"/>
          <w:tblCellSpacing w:w="0" w:type="auto"/>
        </w:trPr>
        <w:tc>
          <w:tcPr>
            <w:tcW w:w="911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Показатељи резултата 1.8</w:t>
            </w:r>
          </w:p>
        </w:tc>
        <w:tc>
          <w:tcPr>
            <w:tcW w:w="528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Извори верификације</w:t>
            </w:r>
          </w:p>
        </w:tc>
      </w:tr>
      <w:tr w:rsidR="00BC3CE6">
        <w:trPr>
          <w:trHeight w:val="45"/>
          <w:tblCellSpacing w:w="0" w:type="auto"/>
        </w:trPr>
        <w:tc>
          <w:tcPr>
            <w:tcW w:w="911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1.8.1: Број подзаконских аката који садрже родно осетљиве стандарде и поступке за акредитацију студијских програма и </w:t>
            </w:r>
            <w:r>
              <w:rPr>
                <w:color w:val="000000"/>
              </w:rPr>
              <w:t>високошколских установа.</w:t>
            </w:r>
          </w:p>
        </w:tc>
        <w:tc>
          <w:tcPr>
            <w:tcW w:w="528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Увид у подзаконске акте за акредитацију студијских програма и високошколских установа.</w:t>
            </w:r>
          </w:p>
        </w:tc>
      </w:tr>
      <w:tr w:rsidR="00BC3CE6">
        <w:trPr>
          <w:trHeight w:val="45"/>
          <w:tblCellSpacing w:w="0" w:type="auto"/>
        </w:trPr>
        <w:tc>
          <w:tcPr>
            <w:tcW w:w="911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1.8.2: Удео жена и мушкараца, студенткиња и студената, на високошколским установама на којима су мање заступљени, разврстано по региону, универ</w:t>
            </w:r>
            <w:r>
              <w:rPr>
                <w:color w:val="000000"/>
              </w:rPr>
              <w:t>зитетима, степену високошколског образовања.</w:t>
            </w:r>
          </w:p>
        </w:tc>
        <w:tc>
          <w:tcPr>
            <w:tcW w:w="528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универзитета, Министарства просвете, науке и технолошког развоја о упису; извештаји са подацима високошколских установа на годишњем нивоу.</w:t>
            </w:r>
          </w:p>
        </w:tc>
      </w:tr>
      <w:tr w:rsidR="00BC3CE6">
        <w:trPr>
          <w:trHeight w:val="45"/>
          <w:tblCellSpacing w:w="0" w:type="auto"/>
        </w:trPr>
        <w:tc>
          <w:tcPr>
            <w:tcW w:w="911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1.8.3: Број студенткиња и студената на родним студијама чије </w:t>
            </w:r>
            <w:r>
              <w:rPr>
                <w:color w:val="000000"/>
              </w:rPr>
              <w:t>се образовање финансира из буџета.</w:t>
            </w:r>
          </w:p>
        </w:tc>
        <w:tc>
          <w:tcPr>
            <w:tcW w:w="528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Министарства просвете, науке и технолошког развоја о упису.</w:t>
            </w:r>
          </w:p>
        </w:tc>
      </w:tr>
      <w:tr w:rsidR="00BC3CE6">
        <w:trPr>
          <w:trHeight w:val="45"/>
          <w:tblCellSpacing w:w="0" w:type="auto"/>
        </w:trPr>
        <w:tc>
          <w:tcPr>
            <w:tcW w:w="911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1.8.4: Број студија и анализа у којима су утврђени и кориговани родно стереотипни и дискриминаторни садржаји у силабусима и универзитетским уџбеницима</w:t>
            </w:r>
            <w:r>
              <w:rPr>
                <w:color w:val="000000"/>
              </w:rPr>
              <w:t>.</w:t>
            </w:r>
          </w:p>
        </w:tc>
        <w:tc>
          <w:tcPr>
            <w:tcW w:w="528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Преглед студија и анализа на годишњем нивоу.</w:t>
            </w:r>
          </w:p>
        </w:tc>
      </w:tr>
      <w:tr w:rsidR="00BC3CE6">
        <w:trPr>
          <w:trHeight w:val="45"/>
          <w:tblCellSpacing w:w="0" w:type="auto"/>
        </w:trPr>
        <w:tc>
          <w:tcPr>
            <w:tcW w:w="911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1.8.5: Број научно-истраживачких пројеката у области родне равноправности.</w:t>
            </w:r>
          </w:p>
        </w:tc>
        <w:tc>
          <w:tcPr>
            <w:tcW w:w="528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научних института, високошколских установа, Националног савета за високо школство.</w:t>
            </w:r>
          </w:p>
        </w:tc>
      </w:tr>
    </w:tbl>
    <w:p w:rsidR="00BC3CE6" w:rsidRDefault="009A2DE5">
      <w:pPr>
        <w:spacing w:after="150"/>
      </w:pPr>
      <w:r>
        <w:rPr>
          <w:color w:val="000000"/>
        </w:rPr>
        <w:t>Посебан циљ 2. Обезбеђене једнаке могућ</w:t>
      </w:r>
      <w:r>
        <w:rPr>
          <w:color w:val="000000"/>
        </w:rPr>
        <w:t>ности за остваривање и заштиту људских права као претпоставка развоја и безбедног друштва.</w:t>
      </w:r>
    </w:p>
    <w:p w:rsidR="00BC3CE6" w:rsidRDefault="009A2DE5">
      <w:pPr>
        <w:spacing w:after="150"/>
      </w:pPr>
      <w:r>
        <w:rPr>
          <w:color w:val="000000"/>
        </w:rPr>
        <w:t>Остваривањем овог посебног циља биће створене нормативне и друштвене претпоставке за равноправно остваривање и заштиту основних људских права, посебно људске безбедн</w:t>
      </w:r>
      <w:r>
        <w:rPr>
          <w:color w:val="000000"/>
        </w:rPr>
        <w:t xml:space="preserve">ости, родно засноване дискриминације, </w:t>
      </w:r>
      <w:r>
        <w:rPr>
          <w:color w:val="000000"/>
        </w:rPr>
        <w:lastRenderedPageBreak/>
        <w:t>родно заснованог насиља, насиља према женама и у породици, равноправности жена и мушкараца у политичком животу и одлучивању о јавним пословима као предуслова за развој безбедног друштва у коме ће бити обезбеђена владав</w:t>
      </w:r>
      <w:r>
        <w:rPr>
          <w:color w:val="000000"/>
        </w:rPr>
        <w:t xml:space="preserve">ина права, равноправност у приступу правди за жене и мушкарце, а посебно за рањиве групе, у складу са међународним стандардима, делотворни инструменти заштите права и ефикасна заштита права, у складу са начелом владавине права и неотуђивим људским правима </w:t>
      </w:r>
      <w:r>
        <w:rPr>
          <w:color w:val="000000"/>
        </w:rPr>
        <w:t>на којима почива уставни поредак Републике Србије (члан 3. Устава).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383"/>
        <w:gridCol w:w="2071"/>
        <w:gridCol w:w="1246"/>
        <w:gridCol w:w="1714"/>
        <w:gridCol w:w="1714"/>
      </w:tblGrid>
      <w:tr w:rsidR="00BC3CE6">
        <w:trPr>
          <w:trHeight w:val="45"/>
          <w:tblCellSpacing w:w="0" w:type="auto"/>
        </w:trPr>
        <w:tc>
          <w:tcPr>
            <w:tcW w:w="267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Показатељ исхода</w:t>
            </w:r>
          </w:p>
        </w:tc>
        <w:tc>
          <w:tcPr>
            <w:tcW w:w="38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Јединица мере</w:t>
            </w:r>
          </w:p>
        </w:tc>
        <w:tc>
          <w:tcPr>
            <w:tcW w:w="315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Почетна вредност</w:t>
            </w:r>
          </w:p>
        </w:tc>
        <w:tc>
          <w:tcPr>
            <w:tcW w:w="537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Циљана вредност</w:t>
            </w:r>
          </w:p>
        </w:tc>
        <w:tc>
          <w:tcPr>
            <w:tcW w:w="281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Извори верификације</w:t>
            </w:r>
          </w:p>
        </w:tc>
      </w:tr>
      <w:tr w:rsidR="00BC3CE6">
        <w:trPr>
          <w:trHeight w:val="45"/>
          <w:tblCellSpacing w:w="0" w:type="auto"/>
        </w:trPr>
        <w:tc>
          <w:tcPr>
            <w:tcW w:w="267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Индекс родне равноправности у домену моћи.</w:t>
            </w:r>
          </w:p>
        </w:tc>
        <w:tc>
          <w:tcPr>
            <w:tcW w:w="38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Вредност индекса</w:t>
            </w:r>
          </w:p>
        </w:tc>
        <w:tc>
          <w:tcPr>
            <w:tcW w:w="315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2021: 37,3</w:t>
            </w:r>
          </w:p>
        </w:tc>
        <w:tc>
          <w:tcPr>
            <w:tcW w:w="537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2030: 40</w:t>
            </w:r>
          </w:p>
        </w:tc>
        <w:tc>
          <w:tcPr>
            <w:tcW w:w="281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РЗС: Индекс родне </w:t>
            </w:r>
            <w:r>
              <w:rPr>
                <w:color w:val="000000"/>
              </w:rPr>
              <w:t>равноправности</w:t>
            </w:r>
          </w:p>
        </w:tc>
      </w:tr>
      <w:tr w:rsidR="00BC3CE6">
        <w:trPr>
          <w:trHeight w:val="45"/>
          <w:tblCellSpacing w:w="0" w:type="auto"/>
        </w:trPr>
        <w:tc>
          <w:tcPr>
            <w:tcW w:w="267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Обезбеђена владавина права кроз несметану примену антидискриминаторних закона и политика ради постизања одрживог развоја и приступа правди за све.</w:t>
            </w:r>
          </w:p>
        </w:tc>
        <w:tc>
          <w:tcPr>
            <w:tcW w:w="38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Делимична/потпуна примена</w:t>
            </w:r>
          </w:p>
        </w:tc>
        <w:tc>
          <w:tcPr>
            <w:tcW w:w="315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2020: Делимична примена</w:t>
            </w:r>
          </w:p>
        </w:tc>
        <w:tc>
          <w:tcPr>
            <w:tcW w:w="537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2030: Потпуна примена</w:t>
            </w:r>
          </w:p>
        </w:tc>
        <w:tc>
          <w:tcPr>
            <w:tcW w:w="281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Извештаји </w:t>
            </w:r>
            <w:r>
              <w:rPr>
                <w:color w:val="000000"/>
              </w:rPr>
              <w:t>међународних тела за људска права, извештаји надлежних министарстава и независних механизама и тела, анализе и истраживања</w:t>
            </w:r>
          </w:p>
        </w:tc>
      </w:tr>
      <w:tr w:rsidR="00BC3CE6">
        <w:trPr>
          <w:trHeight w:val="45"/>
          <w:tblCellSpacing w:w="0" w:type="auto"/>
        </w:trPr>
        <w:tc>
          <w:tcPr>
            <w:tcW w:w="267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грађана и грађанки који су били дискриминисани због неког личног својства и % грађана и грађанки који нема поверења у рад независн</w:t>
            </w:r>
            <w:r>
              <w:rPr>
                <w:color w:val="000000"/>
              </w:rPr>
              <w:t>их институција.</w:t>
            </w:r>
          </w:p>
        </w:tc>
        <w:tc>
          <w:tcPr>
            <w:tcW w:w="38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w:t>
            </w:r>
          </w:p>
        </w:tc>
        <w:tc>
          <w:tcPr>
            <w:tcW w:w="315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2020: 25%; 34%</w:t>
            </w:r>
          </w:p>
        </w:tc>
        <w:tc>
          <w:tcPr>
            <w:tcW w:w="537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2030: 20%; 30%</w:t>
            </w:r>
          </w:p>
        </w:tc>
        <w:tc>
          <w:tcPr>
            <w:tcW w:w="281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међународних тела за људска права, извештаји надлежних министарстава и независних механизама и тела, истраживањ</w:t>
            </w:r>
            <w:r>
              <w:rPr>
                <w:color w:val="000000"/>
              </w:rPr>
              <w:lastRenderedPageBreak/>
              <w:t>а и анализе</w:t>
            </w:r>
          </w:p>
        </w:tc>
      </w:tr>
      <w:tr w:rsidR="00BC3CE6">
        <w:trPr>
          <w:trHeight w:val="45"/>
          <w:tblCellSpacing w:w="0" w:type="auto"/>
        </w:trPr>
        <w:tc>
          <w:tcPr>
            <w:tcW w:w="267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Заступљеност жена у систему безбедности (МО и ВС, МУП)</w:t>
            </w:r>
          </w:p>
        </w:tc>
        <w:tc>
          <w:tcPr>
            <w:tcW w:w="38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w:t>
            </w:r>
          </w:p>
        </w:tc>
        <w:tc>
          <w:tcPr>
            <w:tcW w:w="315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2020: 22,94% МО и</w:t>
            </w:r>
            <w:r>
              <w:rPr>
                <w:color w:val="000000"/>
              </w:rPr>
              <w:t xml:space="preserve"> ВС; 26% МУП</w:t>
            </w:r>
          </w:p>
        </w:tc>
        <w:tc>
          <w:tcPr>
            <w:tcW w:w="537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2030: 50%</w:t>
            </w:r>
          </w:p>
          <w:p w:rsidR="00BC3CE6" w:rsidRDefault="009A2DE5">
            <w:pPr>
              <w:spacing w:after="150"/>
            </w:pPr>
            <w:r>
              <w:rPr>
                <w:color w:val="000000"/>
              </w:rPr>
              <w:t>(у МО и ВС, као и у МУП )</w:t>
            </w:r>
          </w:p>
        </w:tc>
        <w:tc>
          <w:tcPr>
            <w:tcW w:w="281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Министарства одбране и Војске Србије о примени НАП 1325, Независни извештаји о примени НАП 1325</w:t>
            </w:r>
          </w:p>
        </w:tc>
      </w:tr>
      <w:tr w:rsidR="00BC3CE6">
        <w:trPr>
          <w:trHeight w:val="45"/>
          <w:tblCellSpacing w:w="0" w:type="auto"/>
        </w:trPr>
        <w:tc>
          <w:tcPr>
            <w:tcW w:w="267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Индекса родне равноправности за сателитски домен насиља</w:t>
            </w:r>
          </w:p>
        </w:tc>
        <w:tc>
          <w:tcPr>
            <w:tcW w:w="385"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Вредност индекса</w:t>
            </w:r>
          </w:p>
        </w:tc>
        <w:tc>
          <w:tcPr>
            <w:tcW w:w="315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2018. Нешто више од петине </w:t>
            </w:r>
            <w:r>
              <w:rPr>
                <w:color w:val="000000"/>
              </w:rPr>
              <w:t>жена са навршених 15 година доживело физичко и/или сексуално насиље било од стране партнера или других особа.</w:t>
            </w:r>
          </w:p>
        </w:tc>
        <w:tc>
          <w:tcPr>
            <w:tcW w:w="537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2030: Вредност индекса родне равноправности за сателитски домен насиља; за 20% смањена стопа свих облика насиља према женама са навршених 15 годин</w:t>
            </w:r>
            <w:r>
              <w:rPr>
                <w:color w:val="000000"/>
              </w:rPr>
              <w:t>а живота, посебно физичког и/или сексуалног насиља било од стране партнера или других особа и насиља у породици.</w:t>
            </w:r>
          </w:p>
        </w:tc>
        <w:tc>
          <w:tcPr>
            <w:tcW w:w="281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Индекс родне равноправности за Републику Србију</w:t>
            </w:r>
          </w:p>
        </w:tc>
      </w:tr>
    </w:tbl>
    <w:p w:rsidR="00BC3CE6" w:rsidRDefault="009A2DE5">
      <w:pPr>
        <w:spacing w:after="150"/>
      </w:pPr>
      <w:r>
        <w:rPr>
          <w:color w:val="000000"/>
        </w:rPr>
        <w:lastRenderedPageBreak/>
        <w:t>Мера 2.1. Успостављање институционалних претпоставки и нормативних гаранција за владавину прав</w:t>
      </w:r>
      <w:r>
        <w:rPr>
          <w:color w:val="000000"/>
        </w:rPr>
        <w:t>а, једнаке могућности приступа правди и обезбеђивање ефикасне и делотворне заштите људских права и родне равноправности.</w:t>
      </w:r>
    </w:p>
    <w:p w:rsidR="00BC3CE6" w:rsidRDefault="009A2DE5">
      <w:pPr>
        <w:spacing w:after="150"/>
      </w:pPr>
      <w:r>
        <w:rPr>
          <w:color w:val="000000"/>
        </w:rPr>
        <w:t>Опис мере. Мера је усмерена на успостављање и унапређење институционалног, нормативног и стратешког оквира као и праксе, у складу са ме</w:t>
      </w:r>
      <w:r>
        <w:rPr>
          <w:color w:val="000000"/>
        </w:rPr>
        <w:t>ђународним стандардима ЕУ, УН, СЕ, као претпоставки за владавину права, унапређење приступа правди, обезбеђење ефикасне и делотворне заштите права и подизање капацитета актера који суделују у заштити људских права. Мера укључује, усвајање и/или измену проп</w:t>
      </w:r>
      <w:r>
        <w:rPr>
          <w:color w:val="000000"/>
        </w:rPr>
        <w:t>иса који регулишу независност судства, самосталност тужилаштва, бесплатну правну помоћ посебно услове за стицање овог права, круг корисника ове помоћи нарочито лица из рањивих и вишеструко дискриминисаних група, пружаоце бесплатне правне помоћи као и ускла</w:t>
      </w:r>
      <w:r>
        <w:rPr>
          <w:color w:val="000000"/>
        </w:rPr>
        <w:t>ђивање аката о унутрашњој организацији и уређењу институција чија надлежност је везана за заштиту права, што су основни услови да грађани/ке у пуном капацитету и без било ког вида родно засноване дискриминације имају приступ правди, правично суђење и ефика</w:t>
      </w:r>
      <w:r>
        <w:rPr>
          <w:color w:val="000000"/>
        </w:rPr>
        <w:t>сно остваре и заштите своја права. Поред тога, мера се односи и на успостављање једнаких могућности приступа правди и отклањање препрека као што су доступност инструмената заштите права, физичка приступачност, високи трошкови судског поступка, неинформисан</w:t>
      </w:r>
      <w:r>
        <w:rPr>
          <w:color w:val="000000"/>
        </w:rPr>
        <w:t>ост грађана/ки о људским правима и заштити права и др. које грађанима/кама, а посебно рањивим групама, отежавају приступ правди, укључујући и предузимање мера и активности које промовишу владавину права и доприносе остваривању права на приступ правди и ефи</w:t>
      </w:r>
      <w:r>
        <w:rPr>
          <w:color w:val="000000"/>
        </w:rPr>
        <w:t>касној заштити права.</w:t>
      </w:r>
    </w:p>
    <w:p w:rsidR="00BC3CE6" w:rsidRDefault="009A2DE5">
      <w:pPr>
        <w:spacing w:after="150"/>
      </w:pPr>
      <w:r>
        <w:rPr>
          <w:color w:val="000000"/>
        </w:rPr>
        <w:t>Мера укључује и подизање капацитета институција, континуирано унапређење знања и компетенција актера чије надлежности су везане за остваривање и заштиту људских права и родне равноправности, посебно права рањивих група, кроз различите</w:t>
      </w:r>
      <w:r>
        <w:rPr>
          <w:color w:val="000000"/>
        </w:rPr>
        <w:t xml:space="preserve"> облике систематске едукације о родној равноправности, међународним стандардима у овој области, родним стереотипима и предрасудама, као и континуирано информисање грађана/ки о њиховим правима и заштити права и промовисање владавине права.</w:t>
      </w:r>
    </w:p>
    <w:p w:rsidR="00BC3CE6" w:rsidRDefault="009A2DE5">
      <w:pPr>
        <w:spacing w:after="150"/>
      </w:pPr>
      <w:r>
        <w:rPr>
          <w:color w:val="000000"/>
        </w:rPr>
        <w:t>Циљ ове мере је у</w:t>
      </w:r>
      <w:r>
        <w:rPr>
          <w:color w:val="000000"/>
        </w:rPr>
        <w:t>становљавање нормативних и институционалних претпоставки као и гаранција које обезбеђују владавину права, отклањају препреке у приступу правди, и осигуравају ефикасну заштиту људских права без родно засноване дискриминације, а у складу са међународним стан</w:t>
      </w:r>
      <w:r>
        <w:rPr>
          <w:color w:val="000000"/>
        </w:rPr>
        <w:t>дардима. Мера укључује и јачање капацитета, подизање нивоа знања о родној равноправности, родним стереотипима и предрасудама и стицање компетенција свих актера који, у оквиру својих надлежности, делују на унапређењу родне равноправности и заштити права, ук</w:t>
      </w:r>
      <w:r>
        <w:rPr>
          <w:color w:val="000000"/>
        </w:rPr>
        <w:t xml:space="preserve">ључујући и сва права у вези са родном равноправношћу, као и промовисање владавине права и информисање најшире јавности, грађана/ки, посебно рањивих група о </w:t>
      </w:r>
      <w:r>
        <w:rPr>
          <w:color w:val="000000"/>
        </w:rPr>
        <w:lastRenderedPageBreak/>
        <w:t xml:space="preserve">родној равноправности, људским правима и владавини права и значају ових питања за развој целокупног </w:t>
      </w:r>
      <w:r>
        <w:rPr>
          <w:color w:val="000000"/>
        </w:rPr>
        <w:t>друштва као и за њихов свакодневни живот.</w:t>
      </w:r>
    </w:p>
    <w:p w:rsidR="00BC3CE6" w:rsidRDefault="009A2DE5">
      <w:pPr>
        <w:spacing w:after="150"/>
      </w:pPr>
      <w:r>
        <w:rPr>
          <w:color w:val="000000"/>
        </w:rPr>
        <w:t>Ефекти ове мере огледаће се у успостављању системских гаранција које су претпоставка за владавину права у складу са међународним стандардима, а које укључују поделу власти, независност судства, самосталност тужилаш</w:t>
      </w:r>
      <w:r>
        <w:rPr>
          <w:color w:val="000000"/>
        </w:rPr>
        <w:t>тва, доступне и делотворне инструменте заштите права и ефикасну заштиту права, као и јачањем капацитета и подизањем знања и компетенција не само институција које надлежних за заштиту људских права и родне равноправности, већ и најшире јавности, грађана/ки,</w:t>
      </w:r>
      <w:r>
        <w:rPr>
          <w:color w:val="000000"/>
        </w:rPr>
        <w:t xml:space="preserve"> посебно рањивих група, кроз информисање значају, владавине права и родне равноправности развој друштва и њихов свакодневни живот.</w:t>
      </w:r>
    </w:p>
    <w:p w:rsidR="00BC3CE6" w:rsidRDefault="009A2DE5">
      <w:pPr>
        <w:spacing w:after="150"/>
      </w:pPr>
      <w:r>
        <w:rPr>
          <w:color w:val="000000"/>
        </w:rPr>
        <w:t>Меру потребно је континуирано спроводити током целокупног периода за који се доноси ова стратегија.</w:t>
      </w:r>
    </w:p>
    <w:p w:rsidR="00BC3CE6" w:rsidRDefault="009A2DE5">
      <w:pPr>
        <w:spacing w:after="150"/>
      </w:pPr>
      <w:r>
        <w:rPr>
          <w:color w:val="000000"/>
        </w:rPr>
        <w:t>Институција надлежна за с</w:t>
      </w:r>
      <w:r>
        <w:rPr>
          <w:color w:val="000000"/>
        </w:rPr>
        <w:t>провођење мере: Министарство правде.</w:t>
      </w:r>
    </w:p>
    <w:p w:rsidR="00BC3CE6" w:rsidRDefault="009A2DE5">
      <w:pPr>
        <w:spacing w:after="150"/>
      </w:pPr>
      <w:r>
        <w:rPr>
          <w:color w:val="000000"/>
        </w:rPr>
        <w:t>Институције учесници у спровођењу мере: Координационо тело за родну равноправност, Министарство за људска и мањинска права и друштвени дијалог, Високи савет судства, Државно веће тужилаца, Правосудна академија, Адвокатс</w:t>
      </w:r>
      <w:r>
        <w:rPr>
          <w:color w:val="000000"/>
        </w:rPr>
        <w:t>ка комора Србије.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060"/>
        <w:gridCol w:w="4068"/>
      </w:tblGrid>
      <w:tr w:rsidR="00BC3CE6">
        <w:trPr>
          <w:trHeight w:val="45"/>
          <w:tblCellSpacing w:w="0" w:type="auto"/>
        </w:trPr>
        <w:tc>
          <w:tcPr>
            <w:tcW w:w="78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Показатељ резултата 2.1</w:t>
            </w:r>
          </w:p>
        </w:tc>
        <w:tc>
          <w:tcPr>
            <w:tcW w:w="653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Извори верификације</w:t>
            </w:r>
          </w:p>
        </w:tc>
      </w:tr>
      <w:tr w:rsidR="00BC3CE6">
        <w:trPr>
          <w:trHeight w:val="45"/>
          <w:tblCellSpacing w:w="0" w:type="auto"/>
        </w:trPr>
        <w:tc>
          <w:tcPr>
            <w:tcW w:w="78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2.1.1: Број усвојених или измењених прописа који регулишу независност судства, самосталност тужилаштва, бесплатну правну помоћ, доступне и делотворне инструменте за ефикасну заштиту права у </w:t>
            </w:r>
            <w:r>
              <w:rPr>
                <w:color w:val="000000"/>
              </w:rPr>
              <w:t>складу са међународним стандардима ЕУ, УН, СЕ</w:t>
            </w:r>
          </w:p>
        </w:tc>
        <w:tc>
          <w:tcPr>
            <w:tcW w:w="653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Увид у усвојене или измењене прописе и њихову усклађеност са међународним стандардима (ЕУ, УН, СЕ).</w:t>
            </w:r>
          </w:p>
        </w:tc>
      </w:tr>
      <w:tr w:rsidR="00BC3CE6">
        <w:trPr>
          <w:trHeight w:val="45"/>
          <w:tblCellSpacing w:w="0" w:type="auto"/>
        </w:trPr>
        <w:tc>
          <w:tcPr>
            <w:tcW w:w="78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2.1.2: Број корисника услуге бесплатне правне помоћи, разврстано по полу, и основу захтева за добијање услуге</w:t>
            </w:r>
            <w:r>
              <w:rPr>
                <w:color w:val="000000"/>
              </w:rPr>
              <w:t>, на годишњем нивоу</w:t>
            </w:r>
          </w:p>
        </w:tc>
        <w:tc>
          <w:tcPr>
            <w:tcW w:w="653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Увид у измене закона и подзаконских аката; извештаји пружалаца бесплатне правне помоћи, разврстани по полу, територијалној припадности, оптерећености и извештаји Министарства правде.</w:t>
            </w:r>
          </w:p>
        </w:tc>
      </w:tr>
      <w:tr w:rsidR="00BC3CE6">
        <w:trPr>
          <w:trHeight w:val="45"/>
          <w:tblCellSpacing w:w="0" w:type="auto"/>
        </w:trPr>
        <w:tc>
          <w:tcPr>
            <w:tcW w:w="78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2.1.3: Број пружалаца бесплатне правне помоћи, развр</w:t>
            </w:r>
            <w:r>
              <w:rPr>
                <w:color w:val="000000"/>
              </w:rPr>
              <w:t>станих по броју и типу oвe помоћи, и територијалној распоређености</w:t>
            </w:r>
          </w:p>
        </w:tc>
        <w:tc>
          <w:tcPr>
            <w:tcW w:w="653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Регистар пружалаца бесплатне правне помоћи и бесплатне правне подршке, извештаји Министарства правде на годишњем нивоу, увид у законе и подзаконске акте.</w:t>
            </w:r>
          </w:p>
        </w:tc>
      </w:tr>
      <w:tr w:rsidR="00BC3CE6">
        <w:trPr>
          <w:trHeight w:val="45"/>
          <w:tblCellSpacing w:w="0" w:type="auto"/>
        </w:trPr>
        <w:tc>
          <w:tcPr>
            <w:tcW w:w="78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2.1.4: Број аката којима се обезбе</w:t>
            </w:r>
            <w:r>
              <w:rPr>
                <w:color w:val="000000"/>
              </w:rPr>
              <w:t xml:space="preserve">ђује </w:t>
            </w:r>
            <w:r>
              <w:rPr>
                <w:color w:val="000000"/>
              </w:rPr>
              <w:lastRenderedPageBreak/>
              <w:t>приступ правди и правичном суђењу, и унапређује ефикасност институција у заштити права у складу са међународним стандардима и прописима</w:t>
            </w:r>
          </w:p>
        </w:tc>
        <w:tc>
          <w:tcPr>
            <w:tcW w:w="653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 xml:space="preserve">Увид у усклађене акте о </w:t>
            </w:r>
            <w:r>
              <w:rPr>
                <w:color w:val="000000"/>
              </w:rPr>
              <w:lastRenderedPageBreak/>
              <w:t>организацији и уређењу институција; обједињене анализе, студије и евалуације института, ОЦД</w:t>
            </w:r>
            <w:r>
              <w:rPr>
                <w:color w:val="000000"/>
              </w:rPr>
              <w:t>, Координационог тела за родну равноправност и Министарства за људска и мањинска права и друштвени дијалог.</w:t>
            </w:r>
          </w:p>
        </w:tc>
      </w:tr>
      <w:tr w:rsidR="00BC3CE6">
        <w:trPr>
          <w:trHeight w:val="45"/>
          <w:tblCellSpacing w:w="0" w:type="auto"/>
        </w:trPr>
        <w:tc>
          <w:tcPr>
            <w:tcW w:w="78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 xml:space="preserve">2.1.5: Број аката којима се обезбеђују стандарди и право на приступ правди и правичном суђењу, приступачност судова и тужилаштава, посебно особама </w:t>
            </w:r>
            <w:r>
              <w:rPr>
                <w:color w:val="000000"/>
              </w:rPr>
              <w:t>из вишеструко дискриминисаних група како би се осигурала делотворна и ефикасна заштита права.</w:t>
            </w:r>
          </w:p>
        </w:tc>
        <w:tc>
          <w:tcPr>
            <w:tcW w:w="653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Увид у подзаконске акте и јавне политике; извештаји Министарства правде о обезбеђивању стандарда доступности и судова и тужилаштва; независни извештаји, студије и</w:t>
            </w:r>
            <w:r>
              <w:rPr>
                <w:color w:val="000000"/>
              </w:rPr>
              <w:t xml:space="preserve"> евалуације института, ОЦД; извештаји Високог савета судства и Државног већа тужилаца.</w:t>
            </w:r>
          </w:p>
        </w:tc>
      </w:tr>
      <w:tr w:rsidR="00BC3CE6">
        <w:trPr>
          <w:trHeight w:val="45"/>
          <w:tblCellSpacing w:w="0" w:type="auto"/>
        </w:trPr>
        <w:tc>
          <w:tcPr>
            <w:tcW w:w="78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2.1.6: Број обучених професионалаца/ки из области правосуђа и адвокатуре на теме остваривања и заштите људских права, антидискриминационог законодавства и родне равнопр</w:t>
            </w:r>
            <w:r>
              <w:rPr>
                <w:color w:val="000000"/>
              </w:rPr>
              <w:t>авности, посебно права рањивих група, разврстано по полу, територијалној припадности, типу институције</w:t>
            </w:r>
          </w:p>
        </w:tc>
        <w:tc>
          <w:tcPr>
            <w:tcW w:w="653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и евалуације ефеката различитих типова обука на теме остваривања и заштите људских права и родне равноправности; извештаји Правосудне академије</w:t>
            </w:r>
            <w:r>
              <w:rPr>
                <w:color w:val="000000"/>
              </w:rPr>
              <w:t xml:space="preserve"> и Адвокатске коморе Србије о реализованим обукама.</w:t>
            </w:r>
          </w:p>
        </w:tc>
      </w:tr>
      <w:tr w:rsidR="00BC3CE6">
        <w:trPr>
          <w:trHeight w:val="45"/>
          <w:tblCellSpacing w:w="0" w:type="auto"/>
        </w:trPr>
        <w:tc>
          <w:tcPr>
            <w:tcW w:w="78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2.1.7: Проценат обучених професионалаца и професионалки који имају унапређена знања и вештине везане за заштиту људских права, посебно права рањивих група, антидискриминационо законодавство и родну </w:t>
            </w:r>
            <w:r>
              <w:rPr>
                <w:color w:val="000000"/>
              </w:rPr>
              <w:t>равноправност</w:t>
            </w:r>
          </w:p>
        </w:tc>
        <w:tc>
          <w:tcPr>
            <w:tcW w:w="653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и евалуације ефеката различитих врста обука на теме остваривања и заштите људских права и родне равноправности, улазни и излазни упитници.</w:t>
            </w:r>
          </w:p>
        </w:tc>
      </w:tr>
      <w:tr w:rsidR="00BC3CE6">
        <w:trPr>
          <w:trHeight w:val="45"/>
          <w:tblCellSpacing w:w="0" w:type="auto"/>
        </w:trPr>
        <w:tc>
          <w:tcPr>
            <w:tcW w:w="78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2.1.8: Број информативних јавних кампања о остваривању и заштити људских права и родне равно</w:t>
            </w:r>
            <w:r>
              <w:rPr>
                <w:color w:val="000000"/>
              </w:rPr>
              <w:t>правности као и заштити од дискриминације</w:t>
            </w:r>
          </w:p>
        </w:tc>
        <w:tc>
          <w:tcPr>
            <w:tcW w:w="653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Евалуације ефеката јавних кампања, информативни материјали (штампани, аудио, видео, дигитални), покривеност и утицај кампања на ширу јавност, резултати испитивања јавног мњења, медијски извештаји.</w:t>
            </w:r>
          </w:p>
        </w:tc>
      </w:tr>
    </w:tbl>
    <w:p w:rsidR="00BC3CE6" w:rsidRDefault="009A2DE5">
      <w:pPr>
        <w:spacing w:after="150"/>
      </w:pPr>
      <w:r>
        <w:rPr>
          <w:color w:val="000000"/>
        </w:rPr>
        <w:lastRenderedPageBreak/>
        <w:t>Мера 2.2. Унапре</w:t>
      </w:r>
      <w:r>
        <w:rPr>
          <w:color w:val="000000"/>
        </w:rPr>
        <w:t>ђена безбедност жена у миру, конфликту и постконфликтном опоравку друштва, кризним и ванредним ситуацијама, кроз интегралну примену Резолуције 1325 СБ УН – Жене, мир и безбедност у Републици Србији.</w:t>
      </w:r>
    </w:p>
    <w:p w:rsidR="00BC3CE6" w:rsidRDefault="009A2DE5">
      <w:pPr>
        <w:spacing w:after="150"/>
      </w:pPr>
      <w:r>
        <w:rPr>
          <w:color w:val="000000"/>
        </w:rPr>
        <w:t>Опис мере: Мера је усмерена на унапређивање институционал</w:t>
      </w:r>
      <w:r>
        <w:rPr>
          <w:color w:val="000000"/>
        </w:rPr>
        <w:t>ног и нормативног оквира којим се обезбеђује повећана заступљеност, укљученост и одлучивање жена у свим процесима који се тичу очувања мира и безбедности, развијање механизама превенције ради повећања безбедности жена у миру, конфликту и постконфликтном оп</w:t>
      </w:r>
      <w:r>
        <w:rPr>
          <w:color w:val="000000"/>
        </w:rPr>
        <w:t>оравку друштва, кризним и ванредним ситуацијама, доступну и делотворну заштиту жена, као и унапређен систем подршке опоравку жена, које су претрпеле било који облик угрожавања безбедности, у складу са Законом о родној равноправности (члан 39), CEDAW конвен</w:t>
      </w:r>
      <w:r>
        <w:rPr>
          <w:color w:val="000000"/>
        </w:rPr>
        <w:t>цијом, Резолуција СБ УН 1325, као и релевантним документима ЕУ у овој области (АП за родну равноправност ЕУ III 2021–2025. и АП ЕУ Жене, мир и безбедност 2019–2024.). Ова мера подразумева процену утицаја другог НАП 1325 (2017–2020.) и услуга које се пружај</w:t>
      </w:r>
      <w:r>
        <w:rPr>
          <w:color w:val="000000"/>
        </w:rPr>
        <w:t>у женама и девојчицама жртвама насиља повезаног са сукобом, кризама и ванредним ситуацијама, као и израду и усвајање нових стратешких докумената у области безбедности (нови НАП 1325), имајући у виду Резолуција СБ УН 1325 (2000) о женама, миру и безбедности</w:t>
      </w:r>
      <w:r>
        <w:rPr>
          <w:color w:val="000000"/>
        </w:rPr>
        <w:t xml:space="preserve"> и накнадних повезаних резолуција, општу препоруку бр. 30 CEDAW комитета о женама у сукобу, превенцији сукоба и постконфликтним ситуацијама, као и закључна запажања CEDAW комитета у вези са Четвртим периодичним извештајем Републике Србије. Мера обухвата и </w:t>
      </w:r>
      <w:r>
        <w:rPr>
          <w:color w:val="000000"/>
        </w:rPr>
        <w:t>усклађивање аката из области безбедности са обавезама које проистичу из примене Закона о родној равноправности (област 5. Родна равноправност у области одбране и безбедности, члан 39).</w:t>
      </w:r>
    </w:p>
    <w:p w:rsidR="00BC3CE6" w:rsidRDefault="009A2DE5">
      <w:pPr>
        <w:spacing w:after="150"/>
      </w:pPr>
      <w:r>
        <w:rPr>
          <w:color w:val="000000"/>
        </w:rPr>
        <w:t>Циљ мере је обезбеђивање равноправног учествовања жена у свим областима</w:t>
      </w:r>
      <w:r>
        <w:rPr>
          <w:color w:val="000000"/>
        </w:rPr>
        <w:t xml:space="preserve"> везаним за мир и безбедност и свим активностима везаним за спречавање и решавање сукоба и у постконфликтном јавном животу, кризним и ванредним ситуацијама, уз остваривање потпуне безбедности жена и девојчица у јавној и приватној сфери живота, кроз елимина</w:t>
      </w:r>
      <w:r>
        <w:rPr>
          <w:color w:val="000000"/>
        </w:rPr>
        <w:t>цију свих облика насиља, укључујући трговину људима, сексуалне и друге облике експлоатације, посебно у време криза и ванредних ситуација.</w:t>
      </w:r>
    </w:p>
    <w:p w:rsidR="00BC3CE6" w:rsidRDefault="009A2DE5">
      <w:pPr>
        <w:spacing w:after="150"/>
      </w:pPr>
      <w:r>
        <w:rPr>
          <w:color w:val="000000"/>
        </w:rPr>
        <w:t>Ефекти мере огледају се у издвајању довољних средства за примену политике родне равноправности у области одбране и без</w:t>
      </w:r>
      <w:r>
        <w:rPr>
          <w:color w:val="000000"/>
        </w:rPr>
        <w:t>бедности; успостављању механизама за ефикасно спровођење, праћење и процену утицаја НАП-а за спровођење Резолуције 1325, како на националном тако и на локалном нивоу; активно укључивање цивилног друштва, укључујући жене погођене сукобом и организације које</w:t>
      </w:r>
      <w:r>
        <w:rPr>
          <w:color w:val="000000"/>
        </w:rPr>
        <w:t xml:space="preserve"> раде са преживелима, у спровођење, праћење и процену утицаја НАП-а за спровођење Резолуције 1325, као и у развој било којег стратешког документа, мировних преговора, обнове и реконструкције након сукоба; у повећању заступљености и промоцији жена међу особ</w:t>
      </w:r>
      <w:r>
        <w:rPr>
          <w:color w:val="000000"/>
        </w:rPr>
        <w:t xml:space="preserve">љем за мировне преговоре и посредовање, </w:t>
      </w:r>
      <w:r>
        <w:rPr>
          <w:color w:val="000000"/>
        </w:rPr>
        <w:lastRenderedPageBreak/>
        <w:t>укључујући и на вишим нивоима; у прикупљању података о учешћу жена у спровођењу НАП-а за спровођење Резолуције 1325 на законодавном, извршном и судском нивоу; у обезбеђивању процене потреба и ефикасном приступу правн</w:t>
      </w:r>
      <w:r>
        <w:rPr>
          <w:color w:val="000000"/>
        </w:rPr>
        <w:t xml:space="preserve">им, здравственим и психо социјалним услугама за све жене и девојке жртве насиља у вези са сукобом, укључујући жене и девојке из руралних подручја и жена и девојака из других друштвено осетљивих група; у предузимању мера за заштиту интерно расељених жена и </w:t>
      </w:r>
      <w:r>
        <w:rPr>
          <w:color w:val="000000"/>
        </w:rPr>
        <w:t>девојака од присилног расељавања и насиља; и кроз унапређено стандардизовано прикупљање података о насиљу према женама и девојкама у вези са сукобом, кризним и ванредним ситуацијама.</w:t>
      </w:r>
    </w:p>
    <w:p w:rsidR="00BC3CE6" w:rsidRDefault="009A2DE5">
      <w:pPr>
        <w:spacing w:after="150"/>
      </w:pPr>
      <w:r>
        <w:rPr>
          <w:color w:val="000000"/>
        </w:rPr>
        <w:t>Иако кризне ситуације различито утичу на мушкарце и жене, дечаке и девојч</w:t>
      </w:r>
      <w:r>
        <w:rPr>
          <w:color w:val="000000"/>
        </w:rPr>
        <w:t>ице, а сагледавање њихових родних димензија представља предуслов за потпуније разумевање изазова са којима се жене и мушкарци, а посебно рањиве групе суочавају, током епидемије болести COVID-19 није у довољној мери препозната родно условљена динамика кризе</w:t>
      </w:r>
      <w:r>
        <w:rPr>
          <w:color w:val="000000"/>
        </w:rPr>
        <w:t>, чиме је ограничена превенција ескалације насиља и делотворност рада на безбедносним ризицима по жене и девојчице. Ефекти мере сагледавају се и кроз унапређење система заштите и подршке, који ће и током евентуалних будућих криза моћи адекватно да одговори</w:t>
      </w:r>
      <w:r>
        <w:rPr>
          <w:color w:val="000000"/>
        </w:rPr>
        <w:t xml:space="preserve"> на потребе жена и мушкараца.</w:t>
      </w:r>
    </w:p>
    <w:p w:rsidR="00BC3CE6" w:rsidRDefault="009A2DE5">
      <w:pPr>
        <w:spacing w:after="150"/>
      </w:pPr>
      <w:r>
        <w:rPr>
          <w:color w:val="000000"/>
        </w:rPr>
        <w:t>Меру је потребно континуирано спроводити током целокупног периода за који се доноси ова стратегија.</w:t>
      </w:r>
    </w:p>
    <w:p w:rsidR="00BC3CE6" w:rsidRDefault="009A2DE5">
      <w:pPr>
        <w:spacing w:after="150"/>
      </w:pPr>
      <w:r>
        <w:rPr>
          <w:color w:val="000000"/>
        </w:rPr>
        <w:t>Институција надлежна за спровођење мере: Министарство одбране.</w:t>
      </w:r>
    </w:p>
    <w:p w:rsidR="00BC3CE6" w:rsidRDefault="009A2DE5">
      <w:pPr>
        <w:spacing w:after="150"/>
      </w:pPr>
      <w:r>
        <w:rPr>
          <w:color w:val="000000"/>
        </w:rPr>
        <w:t>Институције учесници у спровођењу мере: Координационо тело за р</w:t>
      </w:r>
      <w:r>
        <w:rPr>
          <w:color w:val="000000"/>
        </w:rPr>
        <w:t>одну равноправност, МУП, Министарство државне управе и локалне самоуправе, Министарство за људска и мањинска права и друштвени дијалог, механизми РР и механизми за безбедност на националном, покрајинском и локалном нивоу.</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759"/>
        <w:gridCol w:w="4369"/>
      </w:tblGrid>
      <w:tr w:rsidR="00BC3CE6">
        <w:trPr>
          <w:trHeight w:val="45"/>
          <w:tblCellSpacing w:w="0" w:type="auto"/>
        </w:trPr>
        <w:tc>
          <w:tcPr>
            <w:tcW w:w="801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Показатељ резултата 2.2</w:t>
            </w:r>
          </w:p>
        </w:tc>
        <w:tc>
          <w:tcPr>
            <w:tcW w:w="638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Извори вер</w:t>
            </w:r>
            <w:r>
              <w:rPr>
                <w:color w:val="000000"/>
              </w:rPr>
              <w:t>ификације</w:t>
            </w:r>
          </w:p>
        </w:tc>
      </w:tr>
      <w:tr w:rsidR="00BC3CE6">
        <w:trPr>
          <w:trHeight w:val="45"/>
          <w:tblCellSpacing w:w="0" w:type="auto"/>
        </w:trPr>
        <w:tc>
          <w:tcPr>
            <w:tcW w:w="801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2.2.1. Број усвојених или измењених прописа којима се регулише родна равноправност у области одбране и безбедности на свим нивоима власти</w:t>
            </w:r>
          </w:p>
        </w:tc>
        <w:tc>
          <w:tcPr>
            <w:tcW w:w="638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Увид у усвојене или измењене прописе и њихову усклађеност са међународним стандардима (ЕУ, УН, СЕ), усвојен</w:t>
            </w:r>
            <w:r>
              <w:rPr>
                <w:color w:val="000000"/>
              </w:rPr>
              <w:t xml:space="preserve"> НАП 1325, ЛАП-ови за родну равноправност и ЛАП-ови за безбедност.</w:t>
            </w:r>
          </w:p>
        </w:tc>
      </w:tr>
      <w:tr w:rsidR="00BC3CE6">
        <w:trPr>
          <w:trHeight w:val="45"/>
          <w:tblCellSpacing w:w="0" w:type="auto"/>
        </w:trPr>
        <w:tc>
          <w:tcPr>
            <w:tcW w:w="801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2.2.2. Број/проценат жена које равноправно учествују у свим областима у вези са миром и безбедношћу, активностима у вези са спречавањем и решавањем сукоба, постконфликтним, кризним и ванре</w:t>
            </w:r>
            <w:r>
              <w:rPr>
                <w:color w:val="000000"/>
              </w:rPr>
              <w:t xml:space="preserve">дним ситуацијама на </w:t>
            </w:r>
            <w:r>
              <w:rPr>
                <w:color w:val="000000"/>
              </w:rPr>
              <w:lastRenderedPageBreak/>
              <w:t>националном и локалном нивоу</w:t>
            </w:r>
          </w:p>
        </w:tc>
        <w:tc>
          <w:tcPr>
            <w:tcW w:w="638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Извештаји Политичког савета Владе, Оперативног тела Владе, Комисије за праћење спровођења НАП-а, Аналитичке групе МО о примени НАП 1325, Извештаји ресорних институција, КТРР.</w:t>
            </w:r>
          </w:p>
        </w:tc>
      </w:tr>
      <w:tr w:rsidR="00BC3CE6">
        <w:trPr>
          <w:trHeight w:val="45"/>
          <w:tblCellSpacing w:w="0" w:type="auto"/>
        </w:trPr>
        <w:tc>
          <w:tcPr>
            <w:tcW w:w="801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2.2.3. Број именованих особа од</w:t>
            </w:r>
            <w:r>
              <w:rPr>
                <w:color w:val="000000"/>
              </w:rPr>
              <w:t xml:space="preserve"> поверења, саветника/ца за спровођење НАП-а, саветника/ца за род у свим цивилним и војним мисијама УН и ЕУ</w:t>
            </w:r>
          </w:p>
        </w:tc>
        <w:tc>
          <w:tcPr>
            <w:tcW w:w="638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Извештаји Политичког савета Владе, Оперативног тела Владе, Комисије за праћење спровођења НАП-а, Аналитичке групе МО о примени НАП 1325, Извештаји о </w:t>
            </w:r>
            <w:r>
              <w:rPr>
                <w:color w:val="000000"/>
              </w:rPr>
              <w:t>примени НАП 1325.</w:t>
            </w:r>
          </w:p>
        </w:tc>
      </w:tr>
      <w:tr w:rsidR="00BC3CE6">
        <w:trPr>
          <w:trHeight w:val="45"/>
          <w:tblCellSpacing w:w="0" w:type="auto"/>
        </w:trPr>
        <w:tc>
          <w:tcPr>
            <w:tcW w:w="801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2.2.4. Број одржаних обука и број обучених особа од поверења, саветника/ца за спровођење НАП-а, саветника/ца за род у свим цивилним и војним мисијама о родно заснованом насиљу и примени антидискриминационог законодавства</w:t>
            </w:r>
          </w:p>
        </w:tc>
        <w:tc>
          <w:tcPr>
            <w:tcW w:w="638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са реа</w:t>
            </w:r>
            <w:r>
              <w:rPr>
                <w:color w:val="000000"/>
              </w:rPr>
              <w:t>лизованих обука, евалуације ефеката обука на годишњем нивоу, евалуације дугорочних ефеката и примене знања и вештина са обука,</w:t>
            </w:r>
          </w:p>
          <w:p w:rsidR="00BC3CE6" w:rsidRDefault="009A2DE5">
            <w:pPr>
              <w:spacing w:after="150"/>
            </w:pPr>
            <w:r>
              <w:rPr>
                <w:color w:val="000000"/>
              </w:rPr>
              <w:t>Извештаји Аналитичке групе МО о примени НАП 1325; Извештаји ресорних институција, Извештаји о примени НАП 1325.</w:t>
            </w:r>
          </w:p>
        </w:tc>
      </w:tr>
      <w:tr w:rsidR="00BC3CE6">
        <w:trPr>
          <w:trHeight w:val="45"/>
          <w:tblCellSpacing w:w="0" w:type="auto"/>
        </w:trPr>
        <w:tc>
          <w:tcPr>
            <w:tcW w:w="801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2.2.5. Број обук</w:t>
            </w:r>
            <w:r>
              <w:rPr>
                <w:color w:val="000000"/>
              </w:rPr>
              <w:t>а и број представника из сектора правосуђа, одбране и безбедности који су похађали обуке за реформу сектора безбедности, разоружање и реинтеграцију, хуманитарну помоћ, добру управу, људска права и транзициону правду.</w:t>
            </w:r>
          </w:p>
        </w:tc>
        <w:tc>
          <w:tcPr>
            <w:tcW w:w="638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са реализованих обука, евалуа</w:t>
            </w:r>
            <w:r>
              <w:rPr>
                <w:color w:val="000000"/>
              </w:rPr>
              <w:t>ције ефеката обука на годишњем нивоу, евалуације дугорочних ефеката и примене знања и вештина са обука;</w:t>
            </w:r>
          </w:p>
          <w:p w:rsidR="00BC3CE6" w:rsidRDefault="009A2DE5">
            <w:pPr>
              <w:spacing w:after="150"/>
            </w:pPr>
            <w:r>
              <w:rPr>
                <w:color w:val="000000"/>
              </w:rPr>
              <w:t>Извештаји МО, Војске РС, МП, Извештаји о примени НАП 1325.</w:t>
            </w:r>
          </w:p>
        </w:tc>
      </w:tr>
      <w:tr w:rsidR="00BC3CE6">
        <w:trPr>
          <w:trHeight w:val="45"/>
          <w:tblCellSpacing w:w="0" w:type="auto"/>
        </w:trPr>
        <w:tc>
          <w:tcPr>
            <w:tcW w:w="801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2.2.6. Број именованих и обучених контакт особа за примену НАП 1325 у органима државне </w:t>
            </w:r>
            <w:r>
              <w:rPr>
                <w:color w:val="000000"/>
              </w:rPr>
              <w:t>управе и локалне самоуправе на свим нивоима</w:t>
            </w:r>
          </w:p>
        </w:tc>
        <w:tc>
          <w:tcPr>
            <w:tcW w:w="638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Подаци органа државне управе и локалне самоуправе,</w:t>
            </w:r>
          </w:p>
          <w:p w:rsidR="00BC3CE6" w:rsidRDefault="009A2DE5">
            <w:pPr>
              <w:spacing w:after="150"/>
            </w:pPr>
            <w:r>
              <w:rPr>
                <w:color w:val="000000"/>
              </w:rPr>
              <w:t>Извештаји о примени НАП 1325, КТРР .</w:t>
            </w:r>
          </w:p>
        </w:tc>
      </w:tr>
      <w:tr w:rsidR="00BC3CE6">
        <w:trPr>
          <w:trHeight w:val="45"/>
          <w:tblCellSpacing w:w="0" w:type="auto"/>
        </w:trPr>
        <w:tc>
          <w:tcPr>
            <w:tcW w:w="801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2.2.7. Број израђених и усвојених ЛАП-ова и уграђених мера које подржавају специфичне безбедносне потребе жена, девојака и </w:t>
            </w:r>
            <w:r>
              <w:rPr>
                <w:color w:val="000000"/>
              </w:rPr>
              <w:t>девојчица у локалним заједницама посебно из вишеструко дискриминисаних и рањивих група</w:t>
            </w:r>
          </w:p>
        </w:tc>
        <w:tc>
          <w:tcPr>
            <w:tcW w:w="638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ЛАП-ови за родну равноправност, ЛАП-ови за безбедност;</w:t>
            </w:r>
          </w:p>
          <w:p w:rsidR="00BC3CE6" w:rsidRDefault="009A2DE5">
            <w:pPr>
              <w:spacing w:after="150"/>
            </w:pPr>
            <w:r>
              <w:rPr>
                <w:color w:val="000000"/>
              </w:rPr>
              <w:t>Извештаји о примени НАП 1325, КТРР.</w:t>
            </w:r>
          </w:p>
        </w:tc>
      </w:tr>
      <w:tr w:rsidR="00BC3CE6">
        <w:trPr>
          <w:trHeight w:val="45"/>
          <w:tblCellSpacing w:w="0" w:type="auto"/>
        </w:trPr>
        <w:tc>
          <w:tcPr>
            <w:tcW w:w="801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2.2.8. Број усвојених мера ради одузимања ватреног оружја или ограничења прис</w:t>
            </w:r>
            <w:r>
              <w:rPr>
                <w:color w:val="000000"/>
              </w:rPr>
              <w:t>тупа ватреном оружју починиоцима насиља</w:t>
            </w:r>
          </w:p>
        </w:tc>
        <w:tc>
          <w:tcPr>
            <w:tcW w:w="638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 МУП и МО, Извештај о примени НАП 1325.</w:t>
            </w:r>
          </w:p>
        </w:tc>
      </w:tr>
      <w:tr w:rsidR="00BC3CE6">
        <w:trPr>
          <w:trHeight w:val="45"/>
          <w:tblCellSpacing w:w="0" w:type="auto"/>
        </w:trPr>
        <w:tc>
          <w:tcPr>
            <w:tcW w:w="801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2.2.9. Број услуга и број </w:t>
            </w:r>
            <w:r>
              <w:rPr>
                <w:color w:val="000000"/>
              </w:rPr>
              <w:lastRenderedPageBreak/>
              <w:t>жена/девојака корисница свеобухватне правне заштите и психосоцијалне подршке жртвама родно заснованог насиља, склоништа, посебно припадницама</w:t>
            </w:r>
            <w:r>
              <w:rPr>
                <w:color w:val="000000"/>
              </w:rPr>
              <w:t xml:space="preserve"> вишеструко маргинализованих и дискриминисаних група у конфликту, кризним и ванредним ситуацијама, на свим нивоима власти</w:t>
            </w:r>
          </w:p>
        </w:tc>
        <w:tc>
          <w:tcPr>
            <w:tcW w:w="638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 xml:space="preserve">Извештај о примени НАП 1325, </w:t>
            </w:r>
            <w:r>
              <w:rPr>
                <w:color w:val="000000"/>
              </w:rPr>
              <w:lastRenderedPageBreak/>
              <w:t>КТРР,</w:t>
            </w:r>
          </w:p>
          <w:p w:rsidR="00BC3CE6" w:rsidRDefault="009A2DE5">
            <w:pPr>
              <w:spacing w:after="150"/>
            </w:pPr>
            <w:r>
              <w:rPr>
                <w:color w:val="000000"/>
              </w:rPr>
              <w:t>Извештаји МУП-а, Извештаји пружалаца услуга (установе социјалне заштите и специјализоване женске ор</w:t>
            </w:r>
            <w:r>
              <w:rPr>
                <w:color w:val="000000"/>
              </w:rPr>
              <w:t>ганизације које пружају услуге женама жртвама насиља).</w:t>
            </w:r>
          </w:p>
        </w:tc>
      </w:tr>
      <w:tr w:rsidR="00BC3CE6">
        <w:trPr>
          <w:trHeight w:val="45"/>
          <w:tblCellSpacing w:w="0" w:type="auto"/>
        </w:trPr>
        <w:tc>
          <w:tcPr>
            <w:tcW w:w="801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2.2.10. Износ/проценат средстава намењен финансирању примене НАП 1325 у буџетима на свим нивоима власти, као и проценат средстава који се издваја за финансирање услуга које пружају женске ОЦД</w:t>
            </w:r>
          </w:p>
        </w:tc>
        <w:tc>
          <w:tcPr>
            <w:tcW w:w="638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Буџет РС</w:t>
            </w:r>
            <w:r>
              <w:rPr>
                <w:color w:val="000000"/>
              </w:rPr>
              <w:t>, Буџети АПВ и локалних самоуправа, Извештаји о извршењу буџета.</w:t>
            </w:r>
          </w:p>
        </w:tc>
      </w:tr>
      <w:tr w:rsidR="00BC3CE6">
        <w:trPr>
          <w:trHeight w:val="45"/>
          <w:tblCellSpacing w:w="0" w:type="auto"/>
        </w:trPr>
        <w:tc>
          <w:tcPr>
            <w:tcW w:w="801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2.2.11. Број ОЦД укључених у креирање и примену мера, праћење и извештавање о кршењу људских права над женама и девојкама у сукобима, укључујући сексуално искориштавање и злостављање, </w:t>
            </w:r>
            <w:r>
              <w:rPr>
                <w:color w:val="000000"/>
              </w:rPr>
              <w:t>узнемиравање/сексуално узнемиравање и друге облике сексуалног и родно заснованог насиља, укључујући и насилни екстремизам.</w:t>
            </w:r>
          </w:p>
        </w:tc>
        <w:tc>
          <w:tcPr>
            <w:tcW w:w="638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 о примени НАП 1325, КТРР, Извештаји ОЦД, Извештаји о браниоцима/бранитељкама људских права у Републици Србији, Извештаји о с</w:t>
            </w:r>
            <w:r>
              <w:rPr>
                <w:color w:val="000000"/>
              </w:rPr>
              <w:t>тању у области људских права у Републици Србији.</w:t>
            </w:r>
          </w:p>
        </w:tc>
      </w:tr>
    </w:tbl>
    <w:p w:rsidR="00BC3CE6" w:rsidRDefault="009A2DE5">
      <w:pPr>
        <w:spacing w:after="150"/>
      </w:pPr>
      <w:r>
        <w:rPr>
          <w:color w:val="000000"/>
        </w:rPr>
        <w:t>Мера 2.3. Унапређена безбедност жена и девојчица у јавној и приватној сфери кроз елиминацију свих облика насиља, укључујући трговину људима, сексуалне и друге облике експлоатације, посебно у време криза и в</w:t>
      </w:r>
      <w:r>
        <w:rPr>
          <w:color w:val="000000"/>
        </w:rPr>
        <w:t>анредних ситуација.</w:t>
      </w:r>
    </w:p>
    <w:p w:rsidR="00BC3CE6" w:rsidRDefault="009A2DE5">
      <w:pPr>
        <w:spacing w:after="150"/>
      </w:pPr>
      <w:r>
        <w:rPr>
          <w:color w:val="000000"/>
        </w:rPr>
        <w:t>Опис мере: Мера је усмерена на унапређење свеобухватног нормативног, политичког и институционалног оквира за спречавање и сузбијање свих облика родно заснованог насиља према женама и насиља у породици. Мером се обезбеђује унапређење пра</w:t>
      </w:r>
      <w:r>
        <w:rPr>
          <w:color w:val="000000"/>
        </w:rPr>
        <w:t xml:space="preserve">вног оквира за спречавање и заштиту од родно заснованог насиља према женама, укључујући и његово инкриминисање и обештећење жртава, усаглашено са међународним стандардима утврђеним Истанбулском конвенцијом као и усклађивање законских дефиниција различитих </w:t>
      </w:r>
      <w:r>
        <w:rPr>
          <w:color w:val="000000"/>
        </w:rPr>
        <w:t>облика насиља.</w:t>
      </w:r>
    </w:p>
    <w:p w:rsidR="00BC3CE6" w:rsidRDefault="009A2DE5">
      <w:pPr>
        <w:spacing w:after="150"/>
      </w:pPr>
      <w:r>
        <w:rPr>
          <w:color w:val="000000"/>
        </w:rPr>
        <w:t xml:space="preserve">Овом мером доприноси се спровођењу Закона о родној равноправности, у делу 6. Спречавање и сузбијање родно заснованог насиља: забрана насиља на основу пола, полних карактеристика, односно рода и насиља према женама (члан 51), посебне мере и </w:t>
      </w:r>
      <w:r>
        <w:rPr>
          <w:color w:val="000000"/>
        </w:rPr>
        <w:t xml:space="preserve">програми (члан 52), обавеза </w:t>
      </w:r>
      <w:r>
        <w:rPr>
          <w:color w:val="000000"/>
        </w:rPr>
        <w:lastRenderedPageBreak/>
        <w:t>пријављивања насиља (члан 53), Опште и Специјализоване услуге подршке (чл. 54. и 55), реализација програма за лица која су извршила насиље (члан 56), спречавање насиља као и финансијска средства за организовање и спровођење спец</w:t>
      </w:r>
      <w:r>
        <w:rPr>
          <w:color w:val="000000"/>
        </w:rPr>
        <w:t>ијализованих услуга (чл. 57. и 58). Поред овог, применом мере се унапређује спровођење постојећих политика и мера у оквиру свеобухватног и координисаног одговора надлежних институција у борби против родно заснованог насиља према женама и насиља у породици,</w:t>
      </w:r>
      <w:r>
        <w:rPr>
          <w:color w:val="000000"/>
        </w:rPr>
        <w:t xml:space="preserve"> предлаже усвајање подзаконских аката и успостављање механизама за ефикасно спровођење закона у овој области; обезбеђују се институционални поступци, стандарди и процедуре ради обезбеђивања задовољавајућег нивоа безбедности жена и мушкараца, девојчица и де</w:t>
      </w:r>
      <w:r>
        <w:rPr>
          <w:color w:val="000000"/>
        </w:rPr>
        <w:t xml:space="preserve">чака. Такође, овом мером обезбеђује се транспарентно, стабилно и одрживо финансирање политика, мера и специјализованих услуга за подршку женама које пружају институције, установе и женске ОЦД, а којима се доприноси смањењу насиља према женама и унапређује </w:t>
      </w:r>
      <w:r>
        <w:rPr>
          <w:color w:val="000000"/>
        </w:rPr>
        <w:t>приступ делотворној заштити и подршци за излазак из ситуације насиља, превазилажење трауме и оснаживању свих жена са искуством родно заснованог насиља, а нарочито када је реч о Ромкињама, женама са инвалидитетом, женама са села, старијим женама, женама хом</w:t>
      </w:r>
      <w:r>
        <w:rPr>
          <w:color w:val="000000"/>
        </w:rPr>
        <w:t>осексуалне или бисексуалне оријентације и другачијег родног идентитета, женама жртвама трговине људима, азиланткињама/мигранткињама.</w:t>
      </w:r>
    </w:p>
    <w:p w:rsidR="00BC3CE6" w:rsidRDefault="009A2DE5">
      <w:pPr>
        <w:spacing w:after="150"/>
      </w:pPr>
      <w:r>
        <w:rPr>
          <w:color w:val="000000"/>
        </w:rPr>
        <w:t>Мером се доприноси успостављању јединственог и стандардизованог система прикупљања, евидентирања, праћења и размене податак</w:t>
      </w:r>
      <w:r>
        <w:rPr>
          <w:color w:val="000000"/>
        </w:rPr>
        <w:t>а о свим облицима насиља према женама и насиља у породици, укључујући и фемицид – родно засновано убиство жена, сексуално узнемиравање и сексуално уцењивање, који укључује све релевантне државне органе и институције, као и женске ОЦД које се баве сузбијање</w:t>
      </w:r>
      <w:r>
        <w:rPr>
          <w:color w:val="000000"/>
        </w:rPr>
        <w:t>м насиља над женама и заштитом жртава и правовременом, објективном, редовном и на подацима заснованом информисању јавности о последицама и узроцима насиља над женама и ефектима примене мера превенције и заштите жртава у Републици Србији.</w:t>
      </w:r>
    </w:p>
    <w:p w:rsidR="00BC3CE6" w:rsidRDefault="009A2DE5">
      <w:pPr>
        <w:spacing w:after="150"/>
      </w:pPr>
      <w:r>
        <w:rPr>
          <w:color w:val="000000"/>
        </w:rPr>
        <w:t>Сагледавање родних</w:t>
      </w:r>
      <w:r>
        <w:rPr>
          <w:color w:val="000000"/>
        </w:rPr>
        <w:t xml:space="preserve"> аспеката представља предуслов за потпуније разумевање изазова са којима се жене и мушкарци, девојчице и дечаци суочавају у насилним ситуацијама. Током епидемије болести COVID-19 није препозната родно условљена динамика насиља, чиме је ограничена превенциј</w:t>
      </w:r>
      <w:r>
        <w:rPr>
          <w:color w:val="000000"/>
        </w:rPr>
        <w:t>а ескалације насиља и делотворност рада институција на безбедносним ризицима по жене, заштити и подршци жртвама насиља.</w:t>
      </w:r>
    </w:p>
    <w:p w:rsidR="00BC3CE6" w:rsidRDefault="009A2DE5">
      <w:pPr>
        <w:spacing w:after="150"/>
      </w:pPr>
      <w:r>
        <w:rPr>
          <w:color w:val="000000"/>
        </w:rPr>
        <w:t>Мером се улажу додатни напори како би се унапредио систем заштите и подршке који ће и током других евентуалних кризних и ванредних ситуа</w:t>
      </w:r>
      <w:r>
        <w:rPr>
          <w:color w:val="000000"/>
        </w:rPr>
        <w:t xml:space="preserve">ција, моћи адекватно да одговори на потребе жена и мушкараца, девојчица и дечака. Ризику од родно заснованог насиља током кризних и ванредних ситуација посебно су изложене жене из осетљивих друштвених група, као што су Ромкиње, жене са инвалидитетом, жене </w:t>
      </w:r>
      <w:r>
        <w:rPr>
          <w:color w:val="000000"/>
        </w:rPr>
        <w:t xml:space="preserve">са села, самохране мајке, жене жртве трговине људима, азиланткиње/мигранткиње, </w:t>
      </w:r>
      <w:r>
        <w:rPr>
          <w:color w:val="000000"/>
        </w:rPr>
        <w:lastRenderedPageBreak/>
        <w:t>жене хомосексуалне и бисексуалне оријентације и другачијег родног идентитета и др. Мером се доприноси спречавању ширења мизогиних и секстичких порука и сензационалистичком извеш</w:t>
      </w:r>
      <w:r>
        <w:rPr>
          <w:color w:val="000000"/>
        </w:rPr>
        <w:t>твању о насиљу према женама.</w:t>
      </w:r>
    </w:p>
    <w:p w:rsidR="00BC3CE6" w:rsidRDefault="009A2DE5">
      <w:pPr>
        <w:spacing w:after="150"/>
      </w:pPr>
      <w:r>
        <w:rPr>
          <w:color w:val="000000"/>
        </w:rPr>
        <w:t>Циљ мере је постизање пуне сигурности жена и мушкараца, девојчица и дечака, у приватној и јавној сфери живота, кроз спречавање и сузбијање свих облика родно заснованог насиља.</w:t>
      </w:r>
    </w:p>
    <w:p w:rsidR="00BC3CE6" w:rsidRDefault="009A2DE5">
      <w:pPr>
        <w:spacing w:after="150"/>
      </w:pPr>
      <w:r>
        <w:rPr>
          <w:color w:val="000000"/>
        </w:rPr>
        <w:t>Ефекти мере огледају се у обезбеђивању заштите и са</w:t>
      </w:r>
      <w:r>
        <w:rPr>
          <w:color w:val="000000"/>
        </w:rPr>
        <w:t>нкционисању сваког облика насиља који је заснован на полу, полним карактеристикама, односно роду и родном идентитету и насиља према женама у приватној и јавној сфери, заштити других лица која су непосредно или посредно угрожена вршењем или последицама извр</w:t>
      </w:r>
      <w:r>
        <w:rPr>
          <w:color w:val="000000"/>
        </w:rPr>
        <w:t>шеног насиља, као ни лица која су пријавила акт насиља. Поред овога, ефекти мере се огледају у заштити жртава насиља у циљу спречавања насиља и остваривања права на живот без насиља, кроз обезбеђивање доступности општих услуга помоћи и подршке, подршци у с</w:t>
      </w:r>
      <w:r>
        <w:rPr>
          <w:color w:val="000000"/>
        </w:rPr>
        <w:t>тановању и економском оснаживању жена, превентивним деловањем и програмима рада са учиниоцима насиља, као и утицајем на ширење мизогиних и сексистичких порука и сензационалистичко извештавање о насиљу према женама у медијима и о насиљу на интернету. Ефекти</w:t>
      </w:r>
      <w:r>
        <w:rPr>
          <w:color w:val="000000"/>
        </w:rPr>
        <w:t xml:space="preserve"> мере такође се сагледавају и кроз координисано деловање институција у циљу остваривања нулте толеранције на насиље.</w:t>
      </w:r>
    </w:p>
    <w:p w:rsidR="00BC3CE6" w:rsidRDefault="009A2DE5">
      <w:pPr>
        <w:spacing w:after="150"/>
      </w:pPr>
      <w:r>
        <w:rPr>
          <w:color w:val="000000"/>
        </w:rPr>
        <w:t>Меру је потребно континуирано спроводити током целокупног периода за који се доноси Стратегија.</w:t>
      </w:r>
    </w:p>
    <w:p w:rsidR="00BC3CE6" w:rsidRDefault="009A2DE5">
      <w:pPr>
        <w:spacing w:after="150"/>
      </w:pPr>
      <w:r>
        <w:rPr>
          <w:color w:val="000000"/>
        </w:rPr>
        <w:t>Институција надлежна за спровођење мере: Ми</w:t>
      </w:r>
      <w:r>
        <w:rPr>
          <w:color w:val="000000"/>
        </w:rPr>
        <w:t>нистарство правде.</w:t>
      </w:r>
    </w:p>
    <w:p w:rsidR="00BC3CE6" w:rsidRDefault="009A2DE5">
      <w:pPr>
        <w:spacing w:after="150"/>
      </w:pPr>
      <w:r>
        <w:rPr>
          <w:color w:val="000000"/>
        </w:rPr>
        <w:t>Институције учесници у спровођењу мере: Координационо тело за родну равноправност, Министарство унутрашњих послова, Министарство за људска и мањинска права и друштвени дијалог и Министарство за рад, запошљавање, борачка и социјална питањ</w:t>
      </w:r>
      <w:r>
        <w:rPr>
          <w:color w:val="000000"/>
        </w:rPr>
        <w:t>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015"/>
        <w:gridCol w:w="4113"/>
      </w:tblGrid>
      <w:tr w:rsidR="00BC3CE6">
        <w:trPr>
          <w:trHeight w:val="45"/>
          <w:tblCellSpacing w:w="0" w:type="auto"/>
        </w:trPr>
        <w:tc>
          <w:tcPr>
            <w:tcW w:w="782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Показатељ резултата 2.3.</w:t>
            </w:r>
          </w:p>
        </w:tc>
        <w:tc>
          <w:tcPr>
            <w:tcW w:w="657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Извори верификације</w:t>
            </w:r>
          </w:p>
        </w:tc>
      </w:tr>
      <w:tr w:rsidR="00BC3CE6">
        <w:trPr>
          <w:trHeight w:val="45"/>
          <w:tblCellSpacing w:w="0" w:type="auto"/>
        </w:trPr>
        <w:tc>
          <w:tcPr>
            <w:tcW w:w="782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2.3.1. Број усвојених или измењених прописа којима се унапређује ефикасност институција у спречавању и заштити жена и мушкараца, девојчица и дечака, у јавној и приватној сфери, од свих облика родно </w:t>
            </w:r>
            <w:r>
              <w:rPr>
                <w:color w:val="000000"/>
              </w:rPr>
              <w:t>заснованог насиља.</w:t>
            </w:r>
          </w:p>
        </w:tc>
        <w:tc>
          <w:tcPr>
            <w:tcW w:w="657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Увид у усвојене или измењене прописе и њихову усклађеност са међународним стандардима (ЕУ, УН, СЕ).</w:t>
            </w:r>
          </w:p>
        </w:tc>
      </w:tr>
      <w:tr w:rsidR="00BC3CE6">
        <w:trPr>
          <w:trHeight w:val="45"/>
          <w:tblCellSpacing w:w="0" w:type="auto"/>
        </w:trPr>
        <w:tc>
          <w:tcPr>
            <w:tcW w:w="782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2.3.2. Број усвојених или измењених прописа којима се обезбеђује усклађивање законских дефиниција различитих облика насиља.</w:t>
            </w:r>
          </w:p>
        </w:tc>
        <w:tc>
          <w:tcPr>
            <w:tcW w:w="657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Увид у усвој</w:t>
            </w:r>
            <w:r>
              <w:rPr>
                <w:color w:val="000000"/>
              </w:rPr>
              <w:t>ене или измењене прописе и њихову усклађеност са међународним стандардима (ЕУ, УН, СЕ).</w:t>
            </w:r>
          </w:p>
          <w:p w:rsidR="00BC3CE6" w:rsidRDefault="009A2DE5">
            <w:pPr>
              <w:spacing w:after="150"/>
            </w:pPr>
            <w:r>
              <w:rPr>
                <w:color w:val="000000"/>
              </w:rPr>
              <w:lastRenderedPageBreak/>
              <w:t>Извештај о примени ЦОР за циљ 5. индикатор 5.1.1,</w:t>
            </w:r>
          </w:p>
          <w:p w:rsidR="00BC3CE6" w:rsidRDefault="009A2DE5">
            <w:pPr>
              <w:spacing w:after="150"/>
            </w:pPr>
            <w:r>
              <w:rPr>
                <w:color w:val="000000"/>
              </w:rPr>
              <w:t>Извештај CEDAW комитета и извештај GREVIO групе.</w:t>
            </w:r>
          </w:p>
        </w:tc>
      </w:tr>
      <w:tr w:rsidR="00BC3CE6">
        <w:trPr>
          <w:trHeight w:val="45"/>
          <w:tblCellSpacing w:w="0" w:type="auto"/>
        </w:trPr>
        <w:tc>
          <w:tcPr>
            <w:tcW w:w="782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2.3.3. Број усвојених или измењених прописа којима се унапређује коо</w:t>
            </w:r>
            <w:r>
              <w:rPr>
                <w:color w:val="000000"/>
              </w:rPr>
              <w:t>рдинисани одговор институција на све облике родно заснованог насиља.</w:t>
            </w:r>
          </w:p>
        </w:tc>
        <w:tc>
          <w:tcPr>
            <w:tcW w:w="657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Увид у усвојене или измењене прописе и њихову усклађеност са међународним стандардима (ЕУ, УН, СЕ)</w:t>
            </w:r>
          </w:p>
          <w:p w:rsidR="00BC3CE6" w:rsidRDefault="009A2DE5">
            <w:pPr>
              <w:spacing w:after="150"/>
            </w:pPr>
            <w:r>
              <w:rPr>
                <w:color w:val="000000"/>
              </w:rPr>
              <w:t>Извештаји МП, група за координацију и сарадњу, извештај МУП, ЦСР.</w:t>
            </w:r>
          </w:p>
        </w:tc>
      </w:tr>
      <w:tr w:rsidR="00BC3CE6">
        <w:trPr>
          <w:trHeight w:val="45"/>
          <w:tblCellSpacing w:w="0" w:type="auto"/>
        </w:trPr>
        <w:tc>
          <w:tcPr>
            <w:tcW w:w="782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2.3.4. Број пријава с</w:t>
            </w:r>
            <w:r>
              <w:rPr>
                <w:color w:val="000000"/>
              </w:rPr>
              <w:t>вих облика родно заснованог насиља према женама и девојчицама, у јавној и приватној сфери, по врсти насиља, односу са насилником, и узрасту жртве, посебно насиља које је засновано на полу, полним карактеристикама, односно роду и родном идентитету.</w:t>
            </w:r>
          </w:p>
        </w:tc>
        <w:tc>
          <w:tcPr>
            <w:tcW w:w="657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w:t>
            </w:r>
            <w:r>
              <w:rPr>
                <w:color w:val="000000"/>
              </w:rPr>
              <w:t>и МУП и МП, извештаји специјализованих ОЦД.</w:t>
            </w:r>
          </w:p>
        </w:tc>
      </w:tr>
      <w:tr w:rsidR="00BC3CE6">
        <w:trPr>
          <w:trHeight w:val="45"/>
          <w:tblCellSpacing w:w="0" w:type="auto"/>
        </w:trPr>
        <w:tc>
          <w:tcPr>
            <w:tcW w:w="782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2.3.5. Број жртава трговине људима, разврстано према полу, узрасту, и облику експлоатације.</w:t>
            </w:r>
          </w:p>
        </w:tc>
        <w:tc>
          <w:tcPr>
            <w:tcW w:w="657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МУП и МП, извештаји специјализованих ОЦД.</w:t>
            </w:r>
          </w:p>
        </w:tc>
      </w:tr>
      <w:tr w:rsidR="00BC3CE6">
        <w:trPr>
          <w:trHeight w:val="45"/>
          <w:tblCellSpacing w:w="0" w:type="auto"/>
        </w:trPr>
        <w:tc>
          <w:tcPr>
            <w:tcW w:w="782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2.3.6. Проценат/број кривичних пријава/оптужења и број </w:t>
            </w:r>
            <w:r>
              <w:rPr>
                <w:color w:val="000000"/>
              </w:rPr>
              <w:t>правоснажних пресуда за кривичних дела са елементима насиља, посебно за кривична дела сексуалног насиља и трговине људима.</w:t>
            </w:r>
          </w:p>
        </w:tc>
        <w:tc>
          <w:tcPr>
            <w:tcW w:w="657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 МП.</w:t>
            </w:r>
          </w:p>
        </w:tc>
      </w:tr>
      <w:tr w:rsidR="00BC3CE6">
        <w:trPr>
          <w:trHeight w:val="45"/>
          <w:tblCellSpacing w:w="0" w:type="auto"/>
        </w:trPr>
        <w:tc>
          <w:tcPr>
            <w:tcW w:w="782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2.3.7. Број доступних општих и специјализованих услуга за жене жртве насиља и трговине људима, на локалном нивоу, посеб</w:t>
            </w:r>
            <w:r>
              <w:rPr>
                <w:color w:val="000000"/>
              </w:rPr>
              <w:t>но услуге становања и економског оснаживања, и број корисница ових услуга разврстано по врсти услуге, старосној доби корисница услуге и припадности корисница некој од рањивих група.</w:t>
            </w:r>
          </w:p>
        </w:tc>
        <w:tc>
          <w:tcPr>
            <w:tcW w:w="657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 МРЗБСП, CEDAW, комитета и GREVIO извештаји, Извештаји специјализо</w:t>
            </w:r>
            <w:r>
              <w:rPr>
                <w:color w:val="000000"/>
              </w:rPr>
              <w:t>ваних ОЦД.</w:t>
            </w:r>
          </w:p>
        </w:tc>
      </w:tr>
      <w:tr w:rsidR="00BC3CE6">
        <w:trPr>
          <w:trHeight w:val="45"/>
          <w:tblCellSpacing w:w="0" w:type="auto"/>
        </w:trPr>
        <w:tc>
          <w:tcPr>
            <w:tcW w:w="782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2.3.8. Износ/проценат средстава намењен финансирању услуга за жене жртве насиља у буџетима на свим </w:t>
            </w:r>
            <w:r>
              <w:rPr>
                <w:color w:val="000000"/>
              </w:rPr>
              <w:lastRenderedPageBreak/>
              <w:t>нивоима власти, као и проценат средстава који се издваја за финансирање ових услуга које пружају женске ОЦД</w:t>
            </w:r>
          </w:p>
        </w:tc>
        <w:tc>
          <w:tcPr>
            <w:tcW w:w="657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 xml:space="preserve">Буџет Републике Србије, Буџети АПВ и </w:t>
            </w:r>
            <w:r>
              <w:rPr>
                <w:color w:val="000000"/>
              </w:rPr>
              <w:t>локалних самоуправа, Извештаји о извршењу буџета.</w:t>
            </w:r>
          </w:p>
        </w:tc>
      </w:tr>
      <w:tr w:rsidR="00BC3CE6">
        <w:trPr>
          <w:trHeight w:val="45"/>
          <w:tblCellSpacing w:w="0" w:type="auto"/>
        </w:trPr>
        <w:tc>
          <w:tcPr>
            <w:tcW w:w="782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2.3.9. Број ОЦД које су пружају услуге жртвама насиља, активне су у заштити права жртава, које се залажу за измене дискриминаторних друштвених норми и родних стереотипа и надгледају примену међународних ст</w:t>
            </w:r>
            <w:r>
              <w:rPr>
                <w:color w:val="000000"/>
              </w:rPr>
              <w:t>андарда у заштити жртава родно заснованог насиља</w:t>
            </w:r>
          </w:p>
        </w:tc>
        <w:tc>
          <w:tcPr>
            <w:tcW w:w="657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CEDAW и GREVIO извештаји, Извештаји ОЦД.</w:t>
            </w:r>
          </w:p>
        </w:tc>
      </w:tr>
      <w:tr w:rsidR="00BC3CE6">
        <w:trPr>
          <w:trHeight w:val="45"/>
          <w:tblCellSpacing w:w="0" w:type="auto"/>
        </w:trPr>
        <w:tc>
          <w:tcPr>
            <w:tcW w:w="782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2.3.10. Број превентивних програма/интервенција рада са учиниоцима насиља у циљу спречавања насиља.</w:t>
            </w:r>
          </w:p>
        </w:tc>
        <w:tc>
          <w:tcPr>
            <w:tcW w:w="657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 МРЗБСП, извештаји ЈЛС.</w:t>
            </w:r>
          </w:p>
        </w:tc>
      </w:tr>
      <w:tr w:rsidR="00BC3CE6">
        <w:trPr>
          <w:trHeight w:val="45"/>
          <w:tblCellSpacing w:w="0" w:type="auto"/>
        </w:trPr>
        <w:tc>
          <w:tcPr>
            <w:tcW w:w="782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2.3.11. Број истраживања превале</w:t>
            </w:r>
            <w:r>
              <w:rPr>
                <w:color w:val="000000"/>
              </w:rPr>
              <w:t>нце насиља, јавних кампања за промену свести и ставова јавности о родно заснованом насиљу и родно сензитивних навода у медијима о случајевима родно заснованог насиља.</w:t>
            </w:r>
          </w:p>
        </w:tc>
        <w:tc>
          <w:tcPr>
            <w:tcW w:w="657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Истраживање о преваленци насиља у Републици Србији, Извештај о ефектима јавних кампања, а</w:t>
            </w:r>
            <w:r>
              <w:rPr>
                <w:color w:val="000000"/>
              </w:rPr>
              <w:t>нализе о извештавању медија о случајевима родно заснованог насиља.</w:t>
            </w:r>
          </w:p>
        </w:tc>
      </w:tr>
      <w:tr w:rsidR="00BC3CE6">
        <w:trPr>
          <w:trHeight w:val="45"/>
          <w:tblCellSpacing w:w="0" w:type="auto"/>
        </w:trPr>
        <w:tc>
          <w:tcPr>
            <w:tcW w:w="782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2.3.12. Број жена и мушкараца, девојчица и дечака, који разумеју да ни једна врста насиља није прихватљива.</w:t>
            </w:r>
          </w:p>
        </w:tc>
        <w:tc>
          <w:tcPr>
            <w:tcW w:w="657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Извештаји о спроведеним истраживањима и о евалуацији ефеката информативних </w:t>
            </w:r>
            <w:r>
              <w:rPr>
                <w:color w:val="000000"/>
              </w:rPr>
              <w:t>кампања, заступљеност у медијима, увид у информативне материјале (штампане, видео, аудио, дигиталне), извештаји о партиципацији грађана и грађанки (покрети, удружења, неформалне групе) у прикупљању информација.</w:t>
            </w:r>
          </w:p>
        </w:tc>
      </w:tr>
    </w:tbl>
    <w:p w:rsidR="00BC3CE6" w:rsidRDefault="009A2DE5">
      <w:pPr>
        <w:spacing w:after="150"/>
      </w:pPr>
      <w:r>
        <w:rPr>
          <w:color w:val="000000"/>
        </w:rPr>
        <w:t>Мера 2.4. Јачање капацитета, унапређивање ин</w:t>
      </w:r>
      <w:r>
        <w:rPr>
          <w:color w:val="000000"/>
        </w:rPr>
        <w:t>ституционалног и нормативног оквира родне равноправности у политичком животу и обезбеђивање равноправног учешћа жена и мушкараца, посебно рањивих група у одлучивању о јавним пословима.</w:t>
      </w:r>
    </w:p>
    <w:p w:rsidR="00BC3CE6" w:rsidRDefault="009A2DE5">
      <w:pPr>
        <w:spacing w:after="150"/>
      </w:pPr>
      <w:r>
        <w:rPr>
          <w:color w:val="000000"/>
        </w:rPr>
        <w:t>Опис мере: Мера је усмерена на унапређивање институционалног и норматив</w:t>
      </w:r>
      <w:r>
        <w:rPr>
          <w:color w:val="000000"/>
        </w:rPr>
        <w:t xml:space="preserve">ног оквира у коме се одвија политички живот и успостављају претпоставке за постизање родне равноправности у овој области, као и равноправно учешће жена и мушкараца, посебно рањивих група у одлучивању о јавним пословима у складу са Законом о родној </w:t>
      </w:r>
      <w:r>
        <w:rPr>
          <w:color w:val="000000"/>
        </w:rPr>
        <w:lastRenderedPageBreak/>
        <w:t>равнопра</w:t>
      </w:r>
      <w:r>
        <w:rPr>
          <w:color w:val="000000"/>
        </w:rPr>
        <w:t>вности (чл. 1, 3. и 7). Мера укључује израду и усвајање и/или измену прописа који регулишу политички живот, једнаке могућности учешћа жена и мушкараца и посебно рањивих група у политичком животу, актере који учествују у политичком животу као и учешће грађа</w:t>
      </w:r>
      <w:r>
        <w:rPr>
          <w:color w:val="000000"/>
        </w:rPr>
        <w:t>на и грађанки и посебно рањивих група у одлучивању о јавним пословима. Ова мера подразумева и усклађивање аката о унутрашњој организацији и уређењу органа јавне власти, аката политичких странака, синдиката и удружења грађана и предузимање посебних мера как</w:t>
      </w:r>
      <w:r>
        <w:rPr>
          <w:color w:val="000000"/>
        </w:rPr>
        <w:t>о би се смањио родни јаз и обезбедила родно уравнотежена заступљеност у управљачким и надзорним телима и на руководећим местима у институцијама, јавним установама, посебно у ЈЛС, месним заједницама, на изборним листама и у органима за спровођење избора, по</w:t>
      </w:r>
      <w:r>
        <w:rPr>
          <w:color w:val="000000"/>
        </w:rPr>
        <w:t>литичким странкама, синдикатима и удружењима грађана и како би се успоставиле претпоставке за равноправно учешће жена и мушкараца и, посебно, рањивих група у планирању, припреми, доношењу и спровођењу одлука које утичу на њихов положај, уз уважавање њихови</w:t>
      </w:r>
      <w:r>
        <w:rPr>
          <w:color w:val="000000"/>
        </w:rPr>
        <w:t>х интереса, потреба и приоритета приликом обликовања и одлучивања о јавним политикама, у складу са Законом о родној равноправности (чл. 7, 10, 26, 47. и 48), као и препорукама CEDAW комитета.</w:t>
      </w:r>
    </w:p>
    <w:p w:rsidR="00BC3CE6" w:rsidRDefault="009A2DE5">
      <w:pPr>
        <w:spacing w:after="150"/>
      </w:pPr>
      <w:r>
        <w:rPr>
          <w:color w:val="000000"/>
        </w:rPr>
        <w:t>Мера је усмерена и на континуирано унапређење знања и компетенци</w:t>
      </w:r>
      <w:r>
        <w:rPr>
          <w:color w:val="000000"/>
        </w:rPr>
        <w:t>ја актера који учествују у политичком животу (институције јавне власти на свим нивоима, политичке странке, синдикати ОЦД и др.), везана за родну равноправност, родне стереотипе и предрасуде, посебно у односу на рањиве групе, кроз различите облике континуир</w:t>
      </w:r>
      <w:r>
        <w:rPr>
          <w:color w:val="000000"/>
        </w:rPr>
        <w:t>ане и систематске едукације која се организује у органима јавне власти, политичким странкама, синдикатима и ОЦД, о питањима значајним за родну равноправност, родним стереотипима и предрасудама и њиховом превазилажењу, посебно у односу на рањиве групе и инт</w:t>
      </w:r>
      <w:r>
        <w:rPr>
          <w:color w:val="000000"/>
        </w:rPr>
        <w:t>егрисању родне перспективе у политички живот и јавне политике, као и информисање најшире јавности, грађана/ки о питањима везаним за родну равноправност значајним за њихов свакодневни живот, као и праву на равноправно учешће грађана/ки у одлучивању о јавним</w:t>
      </w:r>
      <w:r>
        <w:rPr>
          <w:color w:val="000000"/>
        </w:rPr>
        <w:t xml:space="preserve"> пословима.</w:t>
      </w:r>
    </w:p>
    <w:p w:rsidR="00BC3CE6" w:rsidRDefault="009A2DE5">
      <w:pPr>
        <w:spacing w:after="150"/>
      </w:pPr>
      <w:r>
        <w:rPr>
          <w:color w:val="000000"/>
        </w:rPr>
        <w:t>Циљ мере је смањење родног јаза у политичком животу и превазилажење предрасуда и стереотипа који политички ангажман жена редукује само на области друштвеног живота које се традиционално сматрају женским пословима, посебно у политичким странкама</w:t>
      </w:r>
      <w:r>
        <w:rPr>
          <w:color w:val="000000"/>
        </w:rPr>
        <w:t>, синдикатима, ОЦД и на руководећим местима у органима јавне власти, јавним установама, највишим позицијама у ЈЛС и месним заједницама, као и обезбеђивање равноправног учешћа жена и мушкараца, а посебно рањивих група у одлучивању о јавним пословима и питањ</w:t>
      </w:r>
      <w:r>
        <w:rPr>
          <w:color w:val="000000"/>
        </w:rPr>
        <w:t>има значајним за њихов свакодневни живот.</w:t>
      </w:r>
    </w:p>
    <w:p w:rsidR="00BC3CE6" w:rsidRDefault="009A2DE5">
      <w:pPr>
        <w:spacing w:after="150"/>
      </w:pPr>
      <w:r>
        <w:rPr>
          <w:color w:val="000000"/>
        </w:rPr>
        <w:t>Ефекти ове мере огледаће се у успостављању системских, институционалних гаранција, подизању капацитета и компетенција актера који учествују у политичком животу, унапређеним знањима о родној равноправности и праву н</w:t>
      </w:r>
      <w:r>
        <w:rPr>
          <w:color w:val="000000"/>
        </w:rPr>
        <w:t xml:space="preserve">а равноправно учешће у одлучивању о јавним пословима и информисању најшире јавности грађана/ки као претпоставки за равноправно учешће жена </w:t>
      </w:r>
      <w:r>
        <w:rPr>
          <w:color w:val="000000"/>
        </w:rPr>
        <w:lastRenderedPageBreak/>
        <w:t>и мушкараца, а посебно рањивих група у политичком животу и одлучивању о јавним пословима и питањима значајним за њихо</w:t>
      </w:r>
      <w:r>
        <w:rPr>
          <w:color w:val="000000"/>
        </w:rPr>
        <w:t>в свакодневни живот.</w:t>
      </w:r>
    </w:p>
    <w:p w:rsidR="00BC3CE6" w:rsidRDefault="009A2DE5">
      <w:pPr>
        <w:spacing w:after="150"/>
      </w:pPr>
      <w:r>
        <w:rPr>
          <w:color w:val="000000"/>
        </w:rPr>
        <w:t>Меру је потребно континуирано спроводити током целокупног периода за који се доноси ова стратегија.</w:t>
      </w:r>
    </w:p>
    <w:p w:rsidR="00BC3CE6" w:rsidRDefault="009A2DE5">
      <w:pPr>
        <w:spacing w:after="150"/>
      </w:pPr>
      <w:r>
        <w:rPr>
          <w:color w:val="000000"/>
        </w:rPr>
        <w:t>Институција надлежна за спровођење мере: Министарство за људска и мањинска права и друштвени дијалог.</w:t>
      </w:r>
    </w:p>
    <w:p w:rsidR="00BC3CE6" w:rsidRDefault="009A2DE5">
      <w:pPr>
        <w:spacing w:after="150"/>
      </w:pPr>
      <w:r>
        <w:rPr>
          <w:color w:val="000000"/>
        </w:rPr>
        <w:t>Институције учесници у спровођењу</w:t>
      </w:r>
      <w:r>
        <w:rPr>
          <w:color w:val="000000"/>
        </w:rPr>
        <w:t xml:space="preserve"> мере: Координационо тело за родну равноправност, Министарство културе и информисања, Министарство државне управе и локалне самоуправе, механизми РР на нивоу АПВ, као и на нивоу ЈЛС, политичке странке, синдикати, ОЦД, медији, НАЈУ, Правосудна академија.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764"/>
        <w:gridCol w:w="4364"/>
      </w:tblGrid>
      <w:tr w:rsidR="00BC3CE6">
        <w:trPr>
          <w:trHeight w:val="45"/>
          <w:tblCellSpacing w:w="0" w:type="auto"/>
        </w:trPr>
        <w:tc>
          <w:tcPr>
            <w:tcW w:w="707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w:t>
            </w:r>
            <w:r>
              <w:rPr>
                <w:color w:val="000000"/>
              </w:rPr>
              <w:t>казатељ резултата 2.4</w:t>
            </w:r>
          </w:p>
        </w:tc>
        <w:tc>
          <w:tcPr>
            <w:tcW w:w="732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Извори верификације</w:t>
            </w:r>
          </w:p>
        </w:tc>
      </w:tr>
      <w:tr w:rsidR="00BC3CE6">
        <w:trPr>
          <w:trHeight w:val="45"/>
          <w:tblCellSpacing w:w="0" w:type="auto"/>
        </w:trPr>
        <w:tc>
          <w:tcPr>
            <w:tcW w:w="707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2.4.1. Број закона и подзаконских аката који су измењени или усвојени како би се остварила родна равноправност у политичком животу и одлучивање о јавним пословима.</w:t>
            </w:r>
          </w:p>
        </w:tc>
        <w:tc>
          <w:tcPr>
            <w:tcW w:w="732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Увиди у текстове закона и подзаконских аката, </w:t>
            </w:r>
            <w:r>
              <w:rPr>
                <w:color w:val="000000"/>
              </w:rPr>
              <w:t>анализа садржаја.</w:t>
            </w:r>
          </w:p>
        </w:tc>
      </w:tr>
      <w:tr w:rsidR="00BC3CE6">
        <w:trPr>
          <w:trHeight w:val="45"/>
          <w:tblCellSpacing w:w="0" w:type="auto"/>
        </w:trPr>
        <w:tc>
          <w:tcPr>
            <w:tcW w:w="707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2.4.2. Удео жена у јавном и политичком животу на националном, покрајинском и локалном нивоу, у органима законодавне, извршне и судске власти, као и на руководећим местима и у управљачким телима, разврстано по полу и припадности друштвено</w:t>
            </w:r>
            <w:r>
              <w:rPr>
                <w:color w:val="000000"/>
              </w:rPr>
              <w:t>ј осетљивој групи (Ромкиње, жене са инвалидитетом, старије жене, итд.).</w:t>
            </w:r>
          </w:p>
        </w:tc>
        <w:tc>
          <w:tcPr>
            <w:tcW w:w="732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Подаци и извештаји институција система на националном, покрајинском и локалном нивоу (Народна скупштина, Влада, Скупштина АПВ, Покрајинска влада, ЈЛС) о броју жена и мушкараца и припад</w:t>
            </w:r>
            <w:r>
              <w:rPr>
                <w:color w:val="000000"/>
              </w:rPr>
              <w:t>ности некој рањивој групи.</w:t>
            </w:r>
          </w:p>
          <w:p w:rsidR="00BC3CE6" w:rsidRDefault="009A2DE5">
            <w:pPr>
              <w:spacing w:after="150"/>
            </w:pPr>
            <w:r>
              <w:rPr>
                <w:color w:val="000000"/>
              </w:rPr>
              <w:t>Индекс родне равноправности за домен моћи.</w:t>
            </w:r>
          </w:p>
        </w:tc>
      </w:tr>
      <w:tr w:rsidR="00BC3CE6">
        <w:trPr>
          <w:trHeight w:val="45"/>
          <w:tblCellSpacing w:w="0" w:type="auto"/>
        </w:trPr>
        <w:tc>
          <w:tcPr>
            <w:tcW w:w="707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2.4.3. Удео жена у синдикатима, политичким странкама и покретима, удружењима, разврстано по лидерским и извршилачким позицијама, областима, припадности друштвено осетљивим групама (Ромк</w:t>
            </w:r>
            <w:r>
              <w:rPr>
                <w:color w:val="000000"/>
              </w:rPr>
              <w:t>иње, жене са инвалидитетом, старије жене, итд.)</w:t>
            </w:r>
          </w:p>
        </w:tc>
        <w:tc>
          <w:tcPr>
            <w:tcW w:w="732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Доступни подаци и извештаји синдиката, политичких странака и покрета, удружења о чланству.</w:t>
            </w:r>
          </w:p>
        </w:tc>
      </w:tr>
      <w:tr w:rsidR="00BC3CE6">
        <w:trPr>
          <w:trHeight w:val="45"/>
          <w:tblCellSpacing w:w="0" w:type="auto"/>
        </w:trPr>
        <w:tc>
          <w:tcPr>
            <w:tcW w:w="707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2.4.4. Број реализованих обука о родној равноправности, смањењу родних стереотипа и равноправном учешћу жена и мушка</w:t>
            </w:r>
            <w:r>
              <w:rPr>
                <w:color w:val="000000"/>
              </w:rPr>
              <w:t xml:space="preserve">раца у јавном и политичком животу за </w:t>
            </w:r>
            <w:r>
              <w:rPr>
                <w:color w:val="000000"/>
              </w:rPr>
              <w:lastRenderedPageBreak/>
              <w:t>представнике/це институција јавне власти</w:t>
            </w:r>
          </w:p>
        </w:tc>
        <w:tc>
          <w:tcPr>
            <w:tcW w:w="732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 xml:space="preserve">Извештаји и евалуације ефеката обука о родној равноправности, смањењу родних стереотипа и равноправном учешћу у јавном и политичком животу, на годишњем </w:t>
            </w:r>
            <w:r>
              <w:rPr>
                <w:color w:val="000000"/>
              </w:rPr>
              <w:lastRenderedPageBreak/>
              <w:t>нивоу; извештаји и евалуац</w:t>
            </w:r>
            <w:r>
              <w:rPr>
                <w:color w:val="000000"/>
              </w:rPr>
              <w:t>ије НАЈУ.</w:t>
            </w:r>
          </w:p>
        </w:tc>
      </w:tr>
      <w:tr w:rsidR="00BC3CE6">
        <w:trPr>
          <w:trHeight w:val="45"/>
          <w:tblCellSpacing w:w="0" w:type="auto"/>
        </w:trPr>
        <w:tc>
          <w:tcPr>
            <w:tcW w:w="707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2.4.5. Број обучених представника/ца институција јавне власти о родној равноправности, смањењу родних стереотипа и равноправном учешћу жена и мушкараца у јавном и политичком животу, разврстано по полу, институцији јавне власти, региону.</w:t>
            </w:r>
          </w:p>
        </w:tc>
        <w:tc>
          <w:tcPr>
            <w:tcW w:w="732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w:t>
            </w:r>
            <w:r>
              <w:rPr>
                <w:color w:val="000000"/>
              </w:rPr>
              <w:t>и и евалуације ефеката обука о родној равноправности, смањењу родних стереотипа и равноправном учешћу у јавном и политичком животу, на годишњем нивоу; извештаји и евалуације НАЈУ.</w:t>
            </w:r>
          </w:p>
        </w:tc>
      </w:tr>
      <w:tr w:rsidR="00BC3CE6">
        <w:trPr>
          <w:trHeight w:val="45"/>
          <w:tblCellSpacing w:w="0" w:type="auto"/>
        </w:trPr>
        <w:tc>
          <w:tcPr>
            <w:tcW w:w="707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2.4.6. Број обучених представника/ца синдиката, политичких странака и покре</w:t>
            </w:r>
            <w:r>
              <w:rPr>
                <w:color w:val="000000"/>
              </w:rPr>
              <w:t>та, удружења о родној равноправности, смањењу родних стереотипа и равноправном учешћу жена и мушкараца у јавном и политичком животу, разврстано по полу, афилијацији и нивоима организације власти.</w:t>
            </w:r>
          </w:p>
        </w:tc>
        <w:tc>
          <w:tcPr>
            <w:tcW w:w="732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са реализованих обука, евалуације ефеката обука на</w:t>
            </w:r>
            <w:r>
              <w:rPr>
                <w:color w:val="000000"/>
              </w:rPr>
              <w:t xml:space="preserve"> годишњем нивоу, евалуације дугорочних ефеката и примене знања и вештина са обука.</w:t>
            </w:r>
          </w:p>
        </w:tc>
      </w:tr>
      <w:tr w:rsidR="00BC3CE6">
        <w:trPr>
          <w:trHeight w:val="45"/>
          <w:tblCellSpacing w:w="0" w:type="auto"/>
        </w:trPr>
        <w:tc>
          <w:tcPr>
            <w:tcW w:w="707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2.4.7. Број јавних кампања за равноправно учешће жена у јавном и политичком животу, разврстано по нивоима власти, носиоцима кампања, региону/територијалном обухвату, извори</w:t>
            </w:r>
            <w:r>
              <w:rPr>
                <w:color w:val="000000"/>
              </w:rPr>
              <w:t>ма финансирања.</w:t>
            </w:r>
          </w:p>
        </w:tc>
        <w:tc>
          <w:tcPr>
            <w:tcW w:w="732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Евалуације ефеката јавних кампања, произведени материјали (штампани, видео, аудио, дигитални); медијски извештаји о обухвату и заступљености на телевизијама и радио програмима са националном и/или локалном фреквенцијом; испитивање јавног мњ</w:t>
            </w:r>
            <w:r>
              <w:rPr>
                <w:color w:val="000000"/>
              </w:rPr>
              <w:t>ења (повратне информације на ефекте кампање); извештаји Координационог тела за родну равноправност, Министарства за људска и мањинска права и друштвени дијалог и Министарства културе и информисања.</w:t>
            </w:r>
          </w:p>
        </w:tc>
      </w:tr>
    </w:tbl>
    <w:p w:rsidR="00BC3CE6" w:rsidRDefault="009A2DE5">
      <w:pPr>
        <w:spacing w:after="150"/>
      </w:pPr>
      <w:r>
        <w:rPr>
          <w:color w:val="000000"/>
        </w:rPr>
        <w:t>Посебaн циљ 3. Успостављена приступачна и свеобухватна зд</w:t>
      </w:r>
      <w:r>
        <w:rPr>
          <w:color w:val="000000"/>
        </w:rPr>
        <w:t>равствена заштита и обезбеђена социјална сигурност.</w:t>
      </w:r>
    </w:p>
    <w:p w:rsidR="00BC3CE6" w:rsidRDefault="009A2DE5">
      <w:pPr>
        <w:spacing w:after="150"/>
      </w:pPr>
      <w:r>
        <w:rPr>
          <w:color w:val="000000"/>
        </w:rPr>
        <w:t>Остваривањем овог посебног циља обезбеђује се здравствена заштита и социјална сигурност за све жене и мушкарце у складу са принципом социјалне правде као једним од темељних принципа на којима почива Устав</w:t>
      </w:r>
      <w:r>
        <w:rPr>
          <w:color w:val="000000"/>
        </w:rPr>
        <w:t xml:space="preserve">, кроз реализацију мера и активности које омогућавају приступачну и свеобухватну здравствену заштиту свим женама и мушкарцима као претпоставку за унапређење здравља, смањење неједнакости жена и </w:t>
      </w:r>
      <w:r>
        <w:rPr>
          <w:color w:val="000000"/>
        </w:rPr>
        <w:lastRenderedPageBreak/>
        <w:t>мушкараца, њиховој социјалној сигурности и прерасподели неплаћ</w:t>
      </w:r>
      <w:r>
        <w:rPr>
          <w:color w:val="000000"/>
        </w:rPr>
        <w:t>ених послова старања.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050"/>
        <w:gridCol w:w="1650"/>
        <w:gridCol w:w="1650"/>
        <w:gridCol w:w="1729"/>
        <w:gridCol w:w="2049"/>
      </w:tblGrid>
      <w:tr w:rsidR="00BC3CE6">
        <w:trPr>
          <w:trHeight w:val="45"/>
          <w:tblCellSpacing w:w="0" w:type="auto"/>
        </w:trPr>
        <w:tc>
          <w:tcPr>
            <w:tcW w:w="242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Показатељ исхода</w:t>
            </w:r>
          </w:p>
        </w:tc>
        <w:tc>
          <w:tcPr>
            <w:tcW w:w="103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Јединица мере</w:t>
            </w:r>
          </w:p>
        </w:tc>
        <w:tc>
          <w:tcPr>
            <w:tcW w:w="440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Почетна вредност</w:t>
            </w:r>
          </w:p>
        </w:tc>
        <w:tc>
          <w:tcPr>
            <w:tcW w:w="449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Циљана вредност</w:t>
            </w:r>
          </w:p>
        </w:tc>
        <w:tc>
          <w:tcPr>
            <w:tcW w:w="205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Извори верификације</w:t>
            </w:r>
          </w:p>
        </w:tc>
      </w:tr>
      <w:tr w:rsidR="00BC3CE6">
        <w:trPr>
          <w:trHeight w:val="45"/>
          <w:tblCellSpacing w:w="0" w:type="auto"/>
        </w:trPr>
        <w:tc>
          <w:tcPr>
            <w:tcW w:w="242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Индекс родне равноправности у домену здравља (здравствени статус, понашање, приступ здравственој заштити).</w:t>
            </w:r>
          </w:p>
        </w:tc>
        <w:tc>
          <w:tcPr>
            <w:tcW w:w="103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Вредност индекса</w:t>
            </w:r>
          </w:p>
        </w:tc>
        <w:tc>
          <w:tcPr>
            <w:tcW w:w="440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2021: 84,1, (88,3, 72,3, </w:t>
            </w:r>
            <w:r>
              <w:rPr>
                <w:color w:val="000000"/>
              </w:rPr>
              <w:t>93,1)</w:t>
            </w:r>
          </w:p>
        </w:tc>
        <w:tc>
          <w:tcPr>
            <w:tcW w:w="449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2030: 87,8; (92,0, 74,8, 98,3).</w:t>
            </w:r>
          </w:p>
        </w:tc>
        <w:tc>
          <w:tcPr>
            <w:tcW w:w="205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Индекс родне равноправности</w:t>
            </w:r>
          </w:p>
        </w:tc>
      </w:tr>
      <w:tr w:rsidR="00BC3CE6">
        <w:trPr>
          <w:trHeight w:val="45"/>
          <w:tblCellSpacing w:w="0" w:type="auto"/>
        </w:trPr>
        <w:tc>
          <w:tcPr>
            <w:tcW w:w="242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Обухват жена старијих од 15 година превентивним гинеколошким прегледима.</w:t>
            </w:r>
          </w:p>
        </w:tc>
        <w:tc>
          <w:tcPr>
            <w:tcW w:w="103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w:t>
            </w:r>
          </w:p>
        </w:tc>
        <w:tc>
          <w:tcPr>
            <w:tcW w:w="440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2019: 9%</w:t>
            </w:r>
          </w:p>
        </w:tc>
        <w:tc>
          <w:tcPr>
            <w:tcW w:w="449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2030: 60%</w:t>
            </w:r>
          </w:p>
        </w:tc>
        <w:tc>
          <w:tcPr>
            <w:tcW w:w="205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Подаци и извештаји Института за јавно здравље, извештаји Министарства здравља</w:t>
            </w:r>
          </w:p>
        </w:tc>
      </w:tr>
      <w:tr w:rsidR="00BC3CE6">
        <w:trPr>
          <w:trHeight w:val="45"/>
          <w:tblCellSpacing w:w="0" w:type="auto"/>
        </w:trPr>
        <w:tc>
          <w:tcPr>
            <w:tcW w:w="242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Удео жена у ризи</w:t>
            </w:r>
            <w:r>
              <w:rPr>
                <w:color w:val="000000"/>
              </w:rPr>
              <w:t>ку од сиромаштва и социјалне искључености.</w:t>
            </w:r>
          </w:p>
        </w:tc>
        <w:tc>
          <w:tcPr>
            <w:tcW w:w="103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w:t>
            </w:r>
          </w:p>
        </w:tc>
        <w:tc>
          <w:tcPr>
            <w:tcW w:w="440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2019: 31,7%</w:t>
            </w:r>
          </w:p>
        </w:tc>
        <w:tc>
          <w:tcPr>
            <w:tcW w:w="449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2030: 30%</w:t>
            </w:r>
          </w:p>
        </w:tc>
        <w:tc>
          <w:tcPr>
            <w:tcW w:w="205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Анкета о приходима и условима живота (SILC)</w:t>
            </w:r>
          </w:p>
        </w:tc>
      </w:tr>
      <w:tr w:rsidR="00BC3CE6">
        <w:trPr>
          <w:trHeight w:val="45"/>
          <w:tblCellSpacing w:w="0" w:type="auto"/>
        </w:trPr>
        <w:tc>
          <w:tcPr>
            <w:tcW w:w="242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Доступност и приступачност услуга социјалне заштите за грађане и грађанке, разврстано по корисницима и полу, пружаоцима услуга, јавним </w:t>
            </w:r>
            <w:r>
              <w:rPr>
                <w:color w:val="000000"/>
              </w:rPr>
              <w:t>расходима, територијалној покривености.</w:t>
            </w:r>
          </w:p>
        </w:tc>
        <w:tc>
          <w:tcPr>
            <w:tcW w:w="103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Недовољно/ делимично /потпуно доступне и приступачне услуге социјалне заштите</w:t>
            </w:r>
          </w:p>
        </w:tc>
        <w:tc>
          <w:tcPr>
            <w:tcW w:w="440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2021: Недовољно доступне и приступачне услуге социјалне заштите</w:t>
            </w:r>
          </w:p>
        </w:tc>
        <w:tc>
          <w:tcPr>
            <w:tcW w:w="449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2030: Потпуно доступне, и приступачне, услуге социјалне заштите</w:t>
            </w:r>
          </w:p>
        </w:tc>
        <w:tc>
          <w:tcPr>
            <w:tcW w:w="205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Извештаји </w:t>
            </w:r>
            <w:r>
              <w:rPr>
                <w:color w:val="000000"/>
              </w:rPr>
              <w:t>Министарства за рад, запошљавање, борачка и социјална питања, извештај о буџетским издвајањима, увид у годишње планирање буџета</w:t>
            </w:r>
          </w:p>
        </w:tc>
      </w:tr>
      <w:tr w:rsidR="00BC3CE6">
        <w:trPr>
          <w:trHeight w:val="45"/>
          <w:tblCellSpacing w:w="0" w:type="auto"/>
        </w:trPr>
        <w:tc>
          <w:tcPr>
            <w:tcW w:w="242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Индекс родне </w:t>
            </w:r>
            <w:r>
              <w:rPr>
                <w:color w:val="000000"/>
              </w:rPr>
              <w:lastRenderedPageBreak/>
              <w:t>равноправности у домену времена (брига о домаћинству, друштвене активности)</w:t>
            </w:r>
          </w:p>
        </w:tc>
        <w:tc>
          <w:tcPr>
            <w:tcW w:w="103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 xml:space="preserve">Вредност </w:t>
            </w:r>
            <w:r>
              <w:rPr>
                <w:color w:val="000000"/>
              </w:rPr>
              <w:lastRenderedPageBreak/>
              <w:t>индекса</w:t>
            </w:r>
          </w:p>
        </w:tc>
        <w:tc>
          <w:tcPr>
            <w:tcW w:w="440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 xml:space="preserve">2018: 65,7 </w:t>
            </w:r>
            <w:r>
              <w:rPr>
                <w:color w:val="000000"/>
              </w:rPr>
              <w:lastRenderedPageBreak/>
              <w:t>(56, 41,9)</w:t>
            </w:r>
          </w:p>
        </w:tc>
        <w:tc>
          <w:tcPr>
            <w:tcW w:w="449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 xml:space="preserve">2030: 64,9 </w:t>
            </w:r>
            <w:r>
              <w:rPr>
                <w:color w:val="000000"/>
              </w:rPr>
              <w:lastRenderedPageBreak/>
              <w:t>(69,1, 61,0).</w:t>
            </w:r>
          </w:p>
        </w:tc>
        <w:tc>
          <w:tcPr>
            <w:tcW w:w="2051"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 xml:space="preserve">Индекс родне </w:t>
            </w:r>
            <w:r>
              <w:rPr>
                <w:color w:val="000000"/>
              </w:rPr>
              <w:lastRenderedPageBreak/>
              <w:t>равноправности</w:t>
            </w:r>
          </w:p>
        </w:tc>
      </w:tr>
    </w:tbl>
    <w:p w:rsidR="00BC3CE6" w:rsidRDefault="009A2DE5">
      <w:pPr>
        <w:spacing w:after="150"/>
      </w:pPr>
      <w:r>
        <w:rPr>
          <w:color w:val="000000"/>
        </w:rPr>
        <w:lastRenderedPageBreak/>
        <w:t xml:space="preserve">Мера 3.1. Унапређење доступности и квалитета здравствене заштите без дискриминације, укључујући програме ране превенције сексуалног и репродуктивног здравља, рака дојке и рака грлића материце, као и </w:t>
      </w:r>
      <w:r>
        <w:rPr>
          <w:color w:val="000000"/>
        </w:rPr>
        <w:t>подизање свести о савременим облицима контрацепције и побољшање приступа услугама за планирање породице.</w:t>
      </w:r>
    </w:p>
    <w:p w:rsidR="00BC3CE6" w:rsidRDefault="009A2DE5">
      <w:pPr>
        <w:spacing w:after="150"/>
      </w:pPr>
      <w:r>
        <w:rPr>
          <w:color w:val="000000"/>
        </w:rPr>
        <w:t>Опис мере: Мера је усмерена на унапређење доступности и квалитета услуга здравствене заштите, раног откривања болести и лечења жена и мушкараца, посебн</w:t>
      </w:r>
      <w:r>
        <w:rPr>
          <w:color w:val="000000"/>
        </w:rPr>
        <w:t xml:space="preserve">о од кардиоваскуларних и малигних болести, депресије, деменције, као и остеопорозе, анемије, те обољења и стања у вези са трудноћом и порођајем који су водећи узроци оболевања у репродуктивном периоду живота жена. Мера укључује израду и/или измену прописа </w:t>
      </w:r>
      <w:r>
        <w:rPr>
          <w:color w:val="000000"/>
        </w:rPr>
        <w:t>који регулишу здравствену заштиту, као и повећање расположивих финансијских, техничких и људских ресурса у овој области који треба да допринесу повећању доступности и приступачности здравствене заштите, посебно вишеструко дискриминисаним групама жена и дев</w:t>
      </w:r>
      <w:r>
        <w:rPr>
          <w:color w:val="000000"/>
        </w:rPr>
        <w:t>ојчица. Поред тога, мера се односи на унапређење спровођења организованих превентивних прегледа (скрининга) за рано откривање рака дојке и рака грлића материце, на подизање свести о савременим облицима контрацепције и побољшање приступа контрацепцији, укљу</w:t>
      </w:r>
      <w:r>
        <w:rPr>
          <w:color w:val="000000"/>
        </w:rPr>
        <w:t>чујући обезбеђивање универзалног покривања повезаних трошкова у оквиру обавезног здравственог осигурања, као и на повећање броја саветовалишта за репродуктивно здравље. Мера укључује организовање едукација и медијских кампања према младима, ромској популац</w:t>
      </w:r>
      <w:r>
        <w:rPr>
          <w:color w:val="000000"/>
        </w:rPr>
        <w:t>ији и старијим женама, такође, укључује информисање и образовање становништва о значају заштите здравља, спречавања болести и побољшања квалитета живота упражњавањем здравих стилова живота, спорта и рекреације. Мера укључује праћење последица загађења изаз</w:t>
      </w:r>
      <w:r>
        <w:rPr>
          <w:color w:val="000000"/>
        </w:rPr>
        <w:t>ваних факторима ризика из животне средине на здравље жена и мушкараца и организовање превентивних прегледа у најугроженијим деловима Републике Србије. Мера укључује и активности континуираног унапређивања знања здравствених радника о родној равноправности,</w:t>
      </w:r>
      <w:r>
        <w:rPr>
          <w:color w:val="000000"/>
        </w:rPr>
        <w:t xml:space="preserve"> правима рањивих група и дискриминацији.</w:t>
      </w:r>
    </w:p>
    <w:p w:rsidR="00BC3CE6" w:rsidRDefault="009A2DE5">
      <w:pPr>
        <w:spacing w:after="150"/>
      </w:pPr>
      <w:r>
        <w:rPr>
          <w:color w:val="000000"/>
        </w:rPr>
        <w:t>Циљ ове мере је стварање претпоставки за унапређење здравља и смањивање неједнакости у здрављу повећањем доступности и квалитета услуга здравствене заштите ради смањивања водећих здравствених ризика по здравље, спре</w:t>
      </w:r>
      <w:r>
        <w:rPr>
          <w:color w:val="000000"/>
        </w:rPr>
        <w:t>чавања и сузбијања болести, као и унапређења репродуктивног здравља жена и мушкараца.</w:t>
      </w:r>
    </w:p>
    <w:p w:rsidR="00BC3CE6" w:rsidRDefault="009A2DE5">
      <w:pPr>
        <w:spacing w:after="150"/>
      </w:pPr>
      <w:r>
        <w:rPr>
          <w:color w:val="000000"/>
        </w:rPr>
        <w:lastRenderedPageBreak/>
        <w:t>Мера треба да унапреди спровођење организованих превентивних прегледа, информисаност жена и мушкараца о заштити здравља, значају превенције и здравим стиловима живота, ко</w:t>
      </w:r>
      <w:r>
        <w:rPr>
          <w:color w:val="000000"/>
        </w:rPr>
        <w:t>ји подразумева упражњавање спортских и рекреативних активности, а укључује и подизање нивоа знања здравствених радника о родној равноправности, родним стереотипима, предрасудама и дискриминацији ради унапређења односа према пацијентима/кињама, посебно рањи</w:t>
      </w:r>
      <w:r>
        <w:rPr>
          <w:color w:val="000000"/>
        </w:rPr>
        <w:t>вим групама становништва.</w:t>
      </w:r>
    </w:p>
    <w:p w:rsidR="00BC3CE6" w:rsidRDefault="009A2DE5">
      <w:pPr>
        <w:spacing w:after="150"/>
      </w:pPr>
      <w:r>
        <w:rPr>
          <w:color w:val="000000"/>
        </w:rPr>
        <w:t>Ефекти примене ове мере огледаће се у побољшању здравља жена и мушкараца захваљујући унапређењу доступности и квалитета здравствене заштите, организованих превентивних прегледа, повећања финансијских, техничких и људских ресурса у</w:t>
      </w:r>
      <w:r>
        <w:rPr>
          <w:color w:val="000000"/>
        </w:rPr>
        <w:t xml:space="preserve"> установама здравствене заштите на примарном, секундарном и терцијарном нивоу, као важних претпоставки за унапређење доступности и квалитета услуга здравствене заштите. Меру је потребно континуирано спроводити током целокупног периода за који се доноси ова</w:t>
      </w:r>
      <w:r>
        <w:rPr>
          <w:color w:val="000000"/>
        </w:rPr>
        <w:t xml:space="preserve"> стратегија.</w:t>
      </w:r>
    </w:p>
    <w:p w:rsidR="00BC3CE6" w:rsidRDefault="009A2DE5">
      <w:pPr>
        <w:spacing w:after="150"/>
      </w:pPr>
      <w:r>
        <w:rPr>
          <w:color w:val="000000"/>
        </w:rPr>
        <w:t>Институција надлежна за спровођење мере: Министарство здравља.</w:t>
      </w:r>
    </w:p>
    <w:p w:rsidR="00BC3CE6" w:rsidRDefault="009A2DE5">
      <w:pPr>
        <w:spacing w:after="150"/>
      </w:pPr>
      <w:r>
        <w:rPr>
          <w:color w:val="000000"/>
        </w:rPr>
        <w:t xml:space="preserve">Институције учесници у спровођењу мере: Координационо тело за родну равноправност, Министарство за рад, запошљавање, борачка и социјална питања, здравствене установе на примарном, </w:t>
      </w:r>
      <w:r>
        <w:rPr>
          <w:color w:val="000000"/>
        </w:rPr>
        <w:t>секундарном и терцијарном нивоу здравствене заштите (из Плана мреже здравствених установа, и у приватном власништву), Здравствени савет Србије, Лекарска комора Србије, Комора медицинских сестара и техничара Србије, Институт за јавно здравље Србије „Др Мила</w:t>
      </w:r>
      <w:r>
        <w:rPr>
          <w:color w:val="000000"/>
        </w:rPr>
        <w:t>н Јовановић Батут” (Институт за јавно здравље Војводине и заводи за јавно здравље), установе социјалне заштите, образовне и научне установе, стручњаци, ОЦД и женске организације, међународни донатори, Министарство просвете, науке и технолошког развоја, Мин</w:t>
      </w:r>
      <w:r>
        <w:rPr>
          <w:color w:val="000000"/>
        </w:rPr>
        <w:t>истарство омладине и спорта, Министарство културе и информисања, ЈМУ (Јавне медијске установе РТС и РТВ), медијске куће и новинарска удружења.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241"/>
        <w:gridCol w:w="3887"/>
      </w:tblGrid>
      <w:tr w:rsidR="00BC3CE6">
        <w:trPr>
          <w:trHeight w:val="45"/>
          <w:tblCellSpacing w:w="0" w:type="auto"/>
        </w:trPr>
        <w:tc>
          <w:tcPr>
            <w:tcW w:w="839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Показатељ резултата 3.1</w:t>
            </w:r>
          </w:p>
        </w:tc>
        <w:tc>
          <w:tcPr>
            <w:tcW w:w="600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Извори верификације</w:t>
            </w:r>
          </w:p>
        </w:tc>
      </w:tr>
      <w:tr w:rsidR="00BC3CE6">
        <w:trPr>
          <w:trHeight w:val="45"/>
          <w:tblCellSpacing w:w="0" w:type="auto"/>
        </w:trPr>
        <w:tc>
          <w:tcPr>
            <w:tcW w:w="839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3.1.1: Број здравствених услуга које су у потпуности доступне и прис</w:t>
            </w:r>
            <w:r>
              <w:rPr>
                <w:color w:val="000000"/>
              </w:rPr>
              <w:t>тупачне свим грађанима и грађанкама, посебно особама из вишеструко дискриминисаних група.</w:t>
            </w:r>
          </w:p>
        </w:tc>
        <w:tc>
          <w:tcPr>
            <w:tcW w:w="600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Извештаји Министарства здравља о доступности и приступачности здравствених услуга; SILC, Национални извештај о социјалном укључивању и смањењу сиромаштва у Републици </w:t>
            </w:r>
            <w:r>
              <w:rPr>
                <w:color w:val="000000"/>
              </w:rPr>
              <w:t>Србији, ЕHIS,</w:t>
            </w:r>
          </w:p>
          <w:p w:rsidR="00BC3CE6" w:rsidRDefault="009A2DE5">
            <w:pPr>
              <w:spacing w:after="150"/>
            </w:pPr>
            <w:r>
              <w:rPr>
                <w:color w:val="000000"/>
              </w:rPr>
              <w:t>независни извештаји, евалуације и студије; извештаји ОЦД.</w:t>
            </w:r>
          </w:p>
        </w:tc>
      </w:tr>
      <w:tr w:rsidR="00BC3CE6">
        <w:trPr>
          <w:trHeight w:val="45"/>
          <w:tblCellSpacing w:w="0" w:type="auto"/>
        </w:trPr>
        <w:tc>
          <w:tcPr>
            <w:tcW w:w="839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3.1.2: Број грађана и грађанки који </w:t>
            </w:r>
            <w:r>
              <w:rPr>
                <w:color w:val="000000"/>
              </w:rPr>
              <w:lastRenderedPageBreak/>
              <w:t>користе превентивне прегледе и рано лечење, посебно од кардиоваскуларних и малигних болести, депресије, деменције, као и остеопорозе, анемије, боле</w:t>
            </w:r>
            <w:r>
              <w:rPr>
                <w:color w:val="000000"/>
              </w:rPr>
              <w:t>сти изазваних факторима ризика из животне средине, разврстано по полу, узрасту, територијалној припадности.</w:t>
            </w:r>
          </w:p>
        </w:tc>
        <w:tc>
          <w:tcPr>
            <w:tcW w:w="600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 xml:space="preserve">Извештаји Министарства </w:t>
            </w:r>
            <w:r>
              <w:rPr>
                <w:color w:val="000000"/>
              </w:rPr>
              <w:lastRenderedPageBreak/>
              <w:t>здравља, Института за јавно здравље о коришћењу здравствених услуга и здравственог стања становништва.</w:t>
            </w:r>
          </w:p>
        </w:tc>
      </w:tr>
      <w:tr w:rsidR="00BC3CE6">
        <w:trPr>
          <w:trHeight w:val="45"/>
          <w:tblCellSpacing w:w="0" w:type="auto"/>
        </w:trPr>
        <w:tc>
          <w:tcPr>
            <w:tcW w:w="839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3.1.3: Број жена у ре</w:t>
            </w:r>
            <w:r>
              <w:rPr>
                <w:color w:val="000000"/>
              </w:rPr>
              <w:t>продуктивном периоду које користе превентивне гинеколошке прегледе, редовне прегледе у вези са трудноћом и порођајем, разврстано по узрасту, територијалној припадности, припадности некој друштвено осетљивој групи.</w:t>
            </w:r>
          </w:p>
        </w:tc>
        <w:tc>
          <w:tcPr>
            <w:tcW w:w="600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Извештаји Министарства здравља, Института </w:t>
            </w:r>
            <w:r>
              <w:rPr>
                <w:color w:val="000000"/>
              </w:rPr>
              <w:t>за јавно здравље о коришћењу здравствених услуга и здравственог стања становништва.</w:t>
            </w:r>
          </w:p>
        </w:tc>
      </w:tr>
      <w:tr w:rsidR="00BC3CE6">
        <w:trPr>
          <w:trHeight w:val="45"/>
          <w:tblCellSpacing w:w="0" w:type="auto"/>
        </w:trPr>
        <w:tc>
          <w:tcPr>
            <w:tcW w:w="839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3.1.4: Број жена обухваћених обавезним организованим превентивним прегледима (скрининг).</w:t>
            </w:r>
          </w:p>
        </w:tc>
        <w:tc>
          <w:tcPr>
            <w:tcW w:w="600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Министарства здравља, Институти за јавно здравље (Канцеларије за скринин</w:t>
            </w:r>
            <w:r>
              <w:rPr>
                <w:color w:val="000000"/>
              </w:rPr>
              <w:t>г) о организовању и одзиву на организоване превентивне прегледе</w:t>
            </w:r>
          </w:p>
        </w:tc>
      </w:tr>
      <w:tr w:rsidR="00BC3CE6">
        <w:trPr>
          <w:trHeight w:val="45"/>
          <w:tblCellSpacing w:w="0" w:type="auto"/>
        </w:trPr>
        <w:tc>
          <w:tcPr>
            <w:tcW w:w="839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3.1.5: Број измењених и усвојених законских и подзаконских аката који обезбеђују приступ и квалитет здравственим услугама.</w:t>
            </w:r>
          </w:p>
        </w:tc>
        <w:tc>
          <w:tcPr>
            <w:tcW w:w="600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Увид у садржај законских и подзаконских аката, анализе ефеката јавни</w:t>
            </w:r>
            <w:r>
              <w:rPr>
                <w:color w:val="000000"/>
              </w:rPr>
              <w:t>х политика; Извештаји о унапређењу квалитета здравствене заштите</w:t>
            </w:r>
          </w:p>
        </w:tc>
      </w:tr>
      <w:tr w:rsidR="00BC3CE6">
        <w:trPr>
          <w:trHeight w:val="45"/>
          <w:tblCellSpacing w:w="0" w:type="auto"/>
        </w:trPr>
        <w:tc>
          <w:tcPr>
            <w:tcW w:w="839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3.1.6: Број здравствених радника/ца који су похађали обавезне обуке о родној равноправности, правима особа из вишеструко дискриминисаних група.</w:t>
            </w:r>
          </w:p>
        </w:tc>
        <w:tc>
          <w:tcPr>
            <w:tcW w:w="600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и евалуације ефеката обука</w:t>
            </w:r>
          </w:p>
        </w:tc>
      </w:tr>
      <w:tr w:rsidR="00BC3CE6">
        <w:trPr>
          <w:trHeight w:val="45"/>
          <w:tblCellSpacing w:w="0" w:type="auto"/>
        </w:trPr>
        <w:tc>
          <w:tcPr>
            <w:tcW w:w="839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3.1.7: У</w:t>
            </w:r>
            <w:r>
              <w:rPr>
                <w:color w:val="000000"/>
              </w:rPr>
              <w:t>део буџета који се обезбеђује за здравствену заштиту у Републици Србији, укључујући и обезбеђивање адекватних техничких, материјалних и људских ресурса.</w:t>
            </w:r>
          </w:p>
        </w:tc>
        <w:tc>
          <w:tcPr>
            <w:tcW w:w="600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о праћењу буџетских издвајања</w:t>
            </w:r>
          </w:p>
        </w:tc>
      </w:tr>
      <w:tr w:rsidR="00BC3CE6">
        <w:trPr>
          <w:trHeight w:val="45"/>
          <w:tblCellSpacing w:w="0" w:type="auto"/>
        </w:trPr>
        <w:tc>
          <w:tcPr>
            <w:tcW w:w="839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3.1.8: Број јавних кампања за ширу јавност о значају заштите з</w:t>
            </w:r>
            <w:r>
              <w:rPr>
                <w:color w:val="000000"/>
              </w:rPr>
              <w:t>дравља, спречавања болести и побољшања квалитета живота, упражњавањем здравих стилова живота, спорта и рекреације.</w:t>
            </w:r>
          </w:p>
        </w:tc>
        <w:tc>
          <w:tcPr>
            <w:tcW w:w="600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о реализованим јавним кампањама, извештаји о медијској покривености јавних кампања; увид у информативни материјал; испитивања јавно</w:t>
            </w:r>
            <w:r>
              <w:rPr>
                <w:color w:val="000000"/>
              </w:rPr>
              <w:t>г мњења</w:t>
            </w:r>
          </w:p>
        </w:tc>
      </w:tr>
      <w:tr w:rsidR="00BC3CE6">
        <w:trPr>
          <w:trHeight w:val="45"/>
          <w:tblCellSpacing w:w="0" w:type="auto"/>
        </w:trPr>
        <w:tc>
          <w:tcPr>
            <w:tcW w:w="839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3.1.9: Број информативних кампања за </w:t>
            </w:r>
            <w:r>
              <w:rPr>
                <w:color w:val="000000"/>
              </w:rPr>
              <w:lastRenderedPageBreak/>
              <w:t>информисање грађана и грађанки о предностима ране превенције, савременим облицима контрацепције, важности репродуктивног здравља.</w:t>
            </w:r>
          </w:p>
        </w:tc>
        <w:tc>
          <w:tcPr>
            <w:tcW w:w="600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 xml:space="preserve">Извештаји о ефектима </w:t>
            </w:r>
            <w:r>
              <w:rPr>
                <w:color w:val="000000"/>
              </w:rPr>
              <w:lastRenderedPageBreak/>
              <w:t xml:space="preserve">информативних кампања, увид у информативни материјал; </w:t>
            </w:r>
            <w:r>
              <w:rPr>
                <w:color w:val="000000"/>
              </w:rPr>
              <w:t>испитивање јавног мњења; извештаји о коришћењу услуга превентивних прегледа и контрацепције; извештаји Института за јавно здравље о коришћењу савремених облика контрацепције.</w:t>
            </w:r>
          </w:p>
        </w:tc>
      </w:tr>
    </w:tbl>
    <w:p w:rsidR="00BC3CE6" w:rsidRDefault="009A2DE5">
      <w:pPr>
        <w:spacing w:after="150"/>
      </w:pPr>
      <w:r>
        <w:rPr>
          <w:color w:val="000000"/>
        </w:rPr>
        <w:lastRenderedPageBreak/>
        <w:t>Мера 3.2. Обезбеђење социјалне сигурности, смањење сиромаштва, социјалне искључе</w:t>
      </w:r>
      <w:r>
        <w:rPr>
          <w:color w:val="000000"/>
        </w:rPr>
        <w:t>ности и унапређење доступности услуга социјалне заштите ради очувања и повећања квалитета живота, благостања жена и мушкараца из рањивих група, као и подршке породицама у задовољењу животних потреба.</w:t>
      </w:r>
    </w:p>
    <w:p w:rsidR="00BC3CE6" w:rsidRDefault="009A2DE5">
      <w:pPr>
        <w:spacing w:after="150"/>
      </w:pPr>
      <w:r>
        <w:rPr>
          <w:color w:val="000000"/>
        </w:rPr>
        <w:t>Опис мере: Мера је усмерена на смањење броја жена, мушка</w:t>
      </w:r>
      <w:r>
        <w:rPr>
          <w:color w:val="000000"/>
        </w:rPr>
        <w:t>раца и деце који живе у сиромаштву, на унапређење приступа ресурсима и услугама подршке, под једнаким условима за најугроженије групе становништва. Мера подразумева спровођење свеобухватне анализе потреба и аспирација угрожених група жена, прикупљање подат</w:t>
      </w:r>
      <w:r>
        <w:rPr>
          <w:color w:val="000000"/>
        </w:rPr>
        <w:t xml:space="preserve">ака о проценту жена и мушкараца без личних прихода и без приступа социјалним услугама на локалном нивоу. Мера је усмерена на унапређење и доступност постојећих и развијање нових услуга подршке у заједници и њихово прилагођавање потребама жена и мушкараца, </w:t>
      </w:r>
      <w:r>
        <w:rPr>
          <w:color w:val="000000"/>
        </w:rPr>
        <w:t>девојчица и дечака из осетљивих група (са инвалидитетом, из ромске заједнице, из сеоских и депривираних крајева, сиромашне старије жене). Мера се односи и на процену потреба за новчаном социјалном помоћи, повећање њеног износа, нарочито за породице са децо</w:t>
      </w:r>
      <w:r>
        <w:rPr>
          <w:color w:val="000000"/>
        </w:rPr>
        <w:t>м, затим, на унапређење подршке једнородитељским породицама типа мајка са децом које су у већем ризику од сиромаштва. Мера укључује повећање расположивих финансијских, техничких и људских ресурса ради задовољења потреба корисника/ца услуга социјалне заштит</w:t>
      </w:r>
      <w:r>
        <w:rPr>
          <w:color w:val="000000"/>
        </w:rPr>
        <w:t xml:space="preserve">е. Такође, мера је усмерена на системско подстицање прерасподеле неплаћеног рада у домаћинству и послова неге и старања између жена и мушкараца, на развијање различитих услуга старања, повећање њихове доступности и обухвата корисника/ца – деце, старијих и </w:t>
      </w:r>
      <w:r>
        <w:rPr>
          <w:color w:val="000000"/>
        </w:rPr>
        <w:t>болесних чланова/чланица домаћинства, особа са сметњама у развоју и др., узимајући у обзир положај и потребе сиромашних жена и других рањивих група. Мера подразумева јачање капацитета свих релевантних актера и институција, као и унапређење сарадње социјалн</w:t>
      </w:r>
      <w:r>
        <w:rPr>
          <w:color w:val="000000"/>
        </w:rPr>
        <w:t>е заштите са другим секторима.</w:t>
      </w:r>
    </w:p>
    <w:p w:rsidR="00BC3CE6" w:rsidRDefault="009A2DE5">
      <w:pPr>
        <w:spacing w:after="150"/>
      </w:pPr>
      <w:r>
        <w:rPr>
          <w:color w:val="000000"/>
        </w:rPr>
        <w:t>Циљ ове мере је стварање претпоставки за обезбеђење социјалне сигурности, смањење сиромаштва и развијање и унапређивање услуга за очување и побољшање квалитета живота и благостања рањивих/осетљивих група и појединаца. Исто та</w:t>
      </w:r>
      <w:r>
        <w:rPr>
          <w:color w:val="000000"/>
        </w:rPr>
        <w:t xml:space="preserve">ко, циљ мере је стварање једнаких могућности за самосталан живот и независност појединаца/појединки и укључивање у </w:t>
      </w:r>
      <w:r>
        <w:rPr>
          <w:color w:val="000000"/>
        </w:rPr>
        <w:lastRenderedPageBreak/>
        <w:t>заједницу. Циљ је пружање подршке породицама у задовољавању животних потреба, као и пружање подршке и различитих услуга које утичу на смањење</w:t>
      </w:r>
      <w:r>
        <w:rPr>
          <w:color w:val="000000"/>
        </w:rPr>
        <w:t xml:space="preserve"> неплаћеног рада и прерасподелу послова неге и старања. Уродњавање јавних политика и законодавног оквира у социјалној заштити је континуирани процес који треба да допринесе унапређењу социјалне заштите, јавних политика и правног оквира, јачање капацитета с</w:t>
      </w:r>
      <w:r>
        <w:rPr>
          <w:color w:val="000000"/>
        </w:rPr>
        <w:t>вих релевантних актера и институција ради развоја интегралне социјалне заштите.</w:t>
      </w:r>
    </w:p>
    <w:p w:rsidR="00BC3CE6" w:rsidRDefault="009A2DE5">
      <w:pPr>
        <w:spacing w:after="150"/>
      </w:pPr>
      <w:r>
        <w:rPr>
          <w:color w:val="000000"/>
        </w:rPr>
        <w:t>Ефекти ове мере огледаће се у успостављању претпоставки за обезбеђење социјалне сигурности, смањење сиромаштва, социјалне искључености и равноправну расподелу финансијских и св</w:t>
      </w:r>
      <w:r>
        <w:rPr>
          <w:color w:val="000000"/>
        </w:rPr>
        <w:t>их других ресурса у систему социјалне заштите на жене и мушкарце, девојчице и дечаке из осетљивих група, ради задовољења животних потреба, као и претпоставки за прерасподелу неплаћених послова старања између жена и мушкараца кроз унапређење постојећих и ув</w:t>
      </w:r>
      <w:r>
        <w:rPr>
          <w:color w:val="000000"/>
        </w:rPr>
        <w:t>ођења нових услуга подршке.</w:t>
      </w:r>
    </w:p>
    <w:p w:rsidR="00BC3CE6" w:rsidRDefault="009A2DE5">
      <w:pPr>
        <w:spacing w:after="150"/>
      </w:pPr>
      <w:r>
        <w:rPr>
          <w:color w:val="000000"/>
        </w:rPr>
        <w:t>Институција надлежна за спровођење мере: Министарство за рад, запошљавање, борачка и социјална питања.</w:t>
      </w:r>
    </w:p>
    <w:p w:rsidR="00BC3CE6" w:rsidRDefault="009A2DE5">
      <w:pPr>
        <w:spacing w:after="150"/>
      </w:pPr>
      <w:r>
        <w:rPr>
          <w:color w:val="000000"/>
        </w:rPr>
        <w:t>Институције учесници у спровођењу мере: Координационо тело за родну равноправност, Министарство здравља, Министарство за бриг</w:t>
      </w:r>
      <w:r>
        <w:rPr>
          <w:color w:val="000000"/>
        </w:rPr>
        <w:t>у о породици и демографију, установе социјалне заштите, Републички завод за социјалну заштиту, Комора социјалне заштите, здравствене, образовне и научне установе, стручњаци, ОЦД и женске организације, међународни донатори, Министарство просвете, науке и те</w:t>
      </w:r>
      <w:r>
        <w:rPr>
          <w:color w:val="000000"/>
        </w:rPr>
        <w:t>хнолошког развоја, Министарство омладине и спорта и Министарство културе и информисања, ЈМУ (Јавне медијске установе РТС и РТВ), медијске куће и новинарска удружења.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4371"/>
        <w:gridCol w:w="4757"/>
      </w:tblGrid>
      <w:tr w:rsidR="00BC3CE6">
        <w:trPr>
          <w:trHeight w:val="45"/>
          <w:tblCellSpacing w:w="0" w:type="auto"/>
        </w:trPr>
        <w:tc>
          <w:tcPr>
            <w:tcW w:w="657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Показатељ резултата 3.2</w:t>
            </w:r>
          </w:p>
        </w:tc>
        <w:tc>
          <w:tcPr>
            <w:tcW w:w="782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Извори верификације</w:t>
            </w:r>
          </w:p>
        </w:tc>
      </w:tr>
      <w:tr w:rsidR="00BC3CE6">
        <w:trPr>
          <w:trHeight w:val="45"/>
          <w:tblCellSpacing w:w="0" w:type="auto"/>
        </w:trPr>
        <w:tc>
          <w:tcPr>
            <w:tcW w:w="657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3.2.1: Смањена стопа сиромаштва жена, </w:t>
            </w:r>
            <w:r>
              <w:rPr>
                <w:color w:val="000000"/>
              </w:rPr>
              <w:t>мушкараца и деце, посебно деце из једнородитељских породица.</w:t>
            </w:r>
          </w:p>
        </w:tc>
        <w:tc>
          <w:tcPr>
            <w:tcW w:w="782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SILC, Национални извештај о социјалном укључивању и смањењу сиромаштва у Републици Србији, жене и мушкарци у Републици Србији, извештај РЗС за 2020. годину.</w:t>
            </w:r>
          </w:p>
        </w:tc>
      </w:tr>
      <w:tr w:rsidR="00BC3CE6">
        <w:trPr>
          <w:trHeight w:val="45"/>
          <w:tblCellSpacing w:w="0" w:type="auto"/>
        </w:trPr>
        <w:tc>
          <w:tcPr>
            <w:tcW w:w="657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3.2.2: Број општина/градова у којима </w:t>
            </w:r>
            <w:r>
              <w:rPr>
                <w:color w:val="000000"/>
              </w:rPr>
              <w:t>су уведене и финансиране нове услуге социјалне заштите, разврстано по полу корисника, општини, врсти услуге, врсти пружалаца услуге (државно, приватно, ОЦД).</w:t>
            </w:r>
          </w:p>
        </w:tc>
        <w:tc>
          <w:tcPr>
            <w:tcW w:w="782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ЈЛС, извештаји Министарства за рад, запошљавање, борачка и социјална питања и Министарст</w:t>
            </w:r>
            <w:r>
              <w:rPr>
                <w:color w:val="000000"/>
              </w:rPr>
              <w:t>ва државне управе и локалне самоуправе; мапирање услуга социјалне заштите и подршке у надлежности ЈЛС; анализе и истраживања.</w:t>
            </w:r>
          </w:p>
        </w:tc>
      </w:tr>
      <w:tr w:rsidR="00BC3CE6">
        <w:trPr>
          <w:trHeight w:val="45"/>
          <w:tblCellSpacing w:w="0" w:type="auto"/>
        </w:trPr>
        <w:tc>
          <w:tcPr>
            <w:tcW w:w="657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3.2.3: Број општина/градова које су обезбедиле потпуну </w:t>
            </w:r>
            <w:r>
              <w:rPr>
                <w:color w:val="000000"/>
              </w:rPr>
              <w:lastRenderedPageBreak/>
              <w:t>приступачност и доступност услуга социјалне заштите свих грађанима и грађа</w:t>
            </w:r>
            <w:r>
              <w:rPr>
                <w:color w:val="000000"/>
              </w:rPr>
              <w:t>нкама, посебно онима из вишеструко дискриминисаних група.</w:t>
            </w:r>
          </w:p>
        </w:tc>
        <w:tc>
          <w:tcPr>
            <w:tcW w:w="782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 xml:space="preserve">Извештаји ЈЛС, извештаји Министарства за рад, запошљавање, </w:t>
            </w:r>
            <w:r>
              <w:rPr>
                <w:color w:val="000000"/>
              </w:rPr>
              <w:lastRenderedPageBreak/>
              <w:t>борачка и социјална питања; независни извештаји, студије и евалуације услуга из система социјалне заштите, увиди удружења грађана у оствари</w:t>
            </w:r>
            <w:r>
              <w:rPr>
                <w:color w:val="000000"/>
              </w:rPr>
              <w:t>вање приступачних и доступних услуга социјалне заштите.</w:t>
            </w:r>
          </w:p>
        </w:tc>
      </w:tr>
      <w:tr w:rsidR="00BC3CE6">
        <w:trPr>
          <w:trHeight w:val="45"/>
          <w:tblCellSpacing w:w="0" w:type="auto"/>
        </w:trPr>
        <w:tc>
          <w:tcPr>
            <w:tcW w:w="657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3.2.4: Број корисника/ца услуга социјалне заштите, разврстано по полу, општини/граду, припадности друштвено осетљивој групи, узрасту.</w:t>
            </w:r>
          </w:p>
        </w:tc>
        <w:tc>
          <w:tcPr>
            <w:tcW w:w="782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Годишњи извештаји ЦСР и других установа и услуга из система социј</w:t>
            </w:r>
            <w:r>
              <w:rPr>
                <w:color w:val="000000"/>
              </w:rPr>
              <w:t>алне заштите, извештаји Завода за социјалну заштиту и Покрајинског завода за социјалну заштиту; извештаји о буџетским издвајањима за социјалну заштиту; независни извештаји, студије и евалуације услуга из система социјалне заштите; Анкете о задовољству кори</w:t>
            </w:r>
            <w:r>
              <w:rPr>
                <w:color w:val="000000"/>
              </w:rPr>
              <w:t>сника/ца услугама социјалне заштите.</w:t>
            </w:r>
          </w:p>
        </w:tc>
      </w:tr>
      <w:tr w:rsidR="00BC3CE6">
        <w:trPr>
          <w:trHeight w:val="45"/>
          <w:tblCellSpacing w:w="0" w:type="auto"/>
        </w:trPr>
        <w:tc>
          <w:tcPr>
            <w:tcW w:w="657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3.2.5: Број сати које жене проводе у неплаћеном раду.</w:t>
            </w:r>
          </w:p>
        </w:tc>
        <w:tc>
          <w:tcPr>
            <w:tcW w:w="782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Истраживања потрошње времена.</w:t>
            </w:r>
          </w:p>
        </w:tc>
      </w:tr>
      <w:tr w:rsidR="00BC3CE6">
        <w:trPr>
          <w:trHeight w:val="45"/>
          <w:tblCellSpacing w:w="0" w:type="auto"/>
        </w:trPr>
        <w:tc>
          <w:tcPr>
            <w:tcW w:w="657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3.2.6: Проценат времена које очеви користе у односу на мајке за бригу о децу.</w:t>
            </w:r>
          </w:p>
        </w:tc>
        <w:tc>
          <w:tcPr>
            <w:tcW w:w="782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Истраживања потрошње времена.</w:t>
            </w:r>
          </w:p>
        </w:tc>
      </w:tr>
      <w:tr w:rsidR="00BC3CE6">
        <w:trPr>
          <w:trHeight w:val="45"/>
          <w:tblCellSpacing w:w="0" w:type="auto"/>
        </w:trPr>
        <w:tc>
          <w:tcPr>
            <w:tcW w:w="657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3.2.7: Број обука за </w:t>
            </w:r>
            <w:r>
              <w:rPr>
                <w:color w:val="000000"/>
              </w:rPr>
              <w:t>раднике/це у систему социјалне заштите о родној равноправности, правима особа из вишеструко дискриминисаних група, разврстане по професији, територијалној припадности.</w:t>
            </w:r>
          </w:p>
        </w:tc>
        <w:tc>
          <w:tcPr>
            <w:tcW w:w="782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и евалуације ефеката обука, извештаји Коморе социјалне заштите.</w:t>
            </w:r>
          </w:p>
        </w:tc>
      </w:tr>
      <w:tr w:rsidR="00BC3CE6">
        <w:trPr>
          <w:trHeight w:val="45"/>
          <w:tblCellSpacing w:w="0" w:type="auto"/>
        </w:trPr>
        <w:tc>
          <w:tcPr>
            <w:tcW w:w="657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3.2.8: Издвај</w:t>
            </w:r>
            <w:r>
              <w:rPr>
                <w:color w:val="000000"/>
              </w:rPr>
              <w:t>ања из буџета за социјалну заштиту на националном, покрајинском и локалном нивоу у односу на потребе социјалне заштите.</w:t>
            </w:r>
          </w:p>
        </w:tc>
        <w:tc>
          <w:tcPr>
            <w:tcW w:w="782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о планирању и потрошњи буџета.</w:t>
            </w:r>
          </w:p>
        </w:tc>
      </w:tr>
      <w:tr w:rsidR="00BC3CE6">
        <w:trPr>
          <w:trHeight w:val="45"/>
          <w:tblCellSpacing w:w="0" w:type="auto"/>
        </w:trPr>
        <w:tc>
          <w:tcPr>
            <w:tcW w:w="657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3.2.9: Износ социјалне помоћу, посебно особама из вишеструко дискриминисаних група.</w:t>
            </w:r>
          </w:p>
        </w:tc>
        <w:tc>
          <w:tcPr>
            <w:tcW w:w="7822"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Издвајања </w:t>
            </w:r>
            <w:r>
              <w:rPr>
                <w:color w:val="000000"/>
              </w:rPr>
              <w:t>и извештаји Министарства за рад, запошљавање, борачка и социјална питања.</w:t>
            </w:r>
          </w:p>
        </w:tc>
      </w:tr>
    </w:tbl>
    <w:p w:rsidR="00BC3CE6" w:rsidRDefault="009A2DE5">
      <w:pPr>
        <w:spacing w:after="150"/>
      </w:pPr>
      <w:r>
        <w:rPr>
          <w:color w:val="000000"/>
        </w:rPr>
        <w:t>Посебни циљ 4. Успостављен целовит и функционалан систем за креирање и спровођење родно одговорних јавних политика и буџета.</w:t>
      </w:r>
    </w:p>
    <w:p w:rsidR="00BC3CE6" w:rsidRDefault="009A2DE5">
      <w:pPr>
        <w:spacing w:after="150"/>
      </w:pPr>
      <w:r>
        <w:rPr>
          <w:color w:val="000000"/>
        </w:rPr>
        <w:t>Остваривањем овог посебног циља биће створене нормативне</w:t>
      </w:r>
      <w:r>
        <w:rPr>
          <w:color w:val="000000"/>
        </w:rPr>
        <w:t xml:space="preserve"> и друштвене претпоставке за институционализацију и успостављање целовитог и </w:t>
      </w:r>
      <w:r>
        <w:rPr>
          <w:color w:val="000000"/>
        </w:rPr>
        <w:lastRenderedPageBreak/>
        <w:t xml:space="preserve">функционалног система за креирање и спровођење родно одговорних јавних политика и буџета, који обезбеђује координацију програма, активности и деловања свих актера који суделују у </w:t>
      </w:r>
      <w:r>
        <w:rPr>
          <w:color w:val="000000"/>
        </w:rPr>
        <w:t>реализацији ове стратегије, а посебно механизама РР, што је изузетно значајно за остваривање родне равноправности имајући у виду мултисекторску природу ове области. Поред тога, овај посебни циљ укључује и родно одговорну статистику, родно одговорно планира</w:t>
      </w:r>
      <w:r>
        <w:rPr>
          <w:color w:val="000000"/>
        </w:rPr>
        <w:t>ње и родно одговорно буџетирање као алате који су неопходни за креирање и спровођење родно одговорних јавних политика и буџета.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2551"/>
        <w:gridCol w:w="1559"/>
        <w:gridCol w:w="1353"/>
        <w:gridCol w:w="1372"/>
        <w:gridCol w:w="2293"/>
      </w:tblGrid>
      <w:tr w:rsidR="00BC3CE6">
        <w:trPr>
          <w:trHeight w:val="45"/>
          <w:tblCellSpacing w:w="0" w:type="auto"/>
        </w:trPr>
        <w:tc>
          <w:tcPr>
            <w:tcW w:w="354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Показатељ исхода</w:t>
            </w:r>
          </w:p>
        </w:tc>
        <w:tc>
          <w:tcPr>
            <w:tcW w:w="58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Јединица мере</w:t>
            </w:r>
          </w:p>
        </w:tc>
        <w:tc>
          <w:tcPr>
            <w:tcW w:w="164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Почетна вредност</w:t>
            </w:r>
          </w:p>
        </w:tc>
        <w:tc>
          <w:tcPr>
            <w:tcW w:w="248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Циљана вредност</w:t>
            </w:r>
          </w:p>
        </w:tc>
        <w:tc>
          <w:tcPr>
            <w:tcW w:w="613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Извори верификације</w:t>
            </w:r>
          </w:p>
        </w:tc>
      </w:tr>
      <w:tr w:rsidR="00BC3CE6">
        <w:trPr>
          <w:trHeight w:val="45"/>
          <w:tblCellSpacing w:w="0" w:type="auto"/>
        </w:trPr>
        <w:tc>
          <w:tcPr>
            <w:tcW w:w="354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Успостављени механизми за РР на свим </w:t>
            </w:r>
            <w:r>
              <w:rPr>
                <w:color w:val="000000"/>
              </w:rPr>
              <w:t>нивоима и у свим органима јавне власти</w:t>
            </w:r>
          </w:p>
        </w:tc>
        <w:tc>
          <w:tcPr>
            <w:tcW w:w="58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Делимично/у потпуности</w:t>
            </w:r>
          </w:p>
        </w:tc>
        <w:tc>
          <w:tcPr>
            <w:tcW w:w="164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2021: Делимично</w:t>
            </w:r>
          </w:p>
        </w:tc>
        <w:tc>
          <w:tcPr>
            <w:tcW w:w="248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2030: У потпуности</w:t>
            </w:r>
          </w:p>
        </w:tc>
        <w:tc>
          <w:tcPr>
            <w:tcW w:w="613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Јавно доступни подаци о броју и саставу механизама РР на свим нивоима власти, извештаји механизама за родну равноправност, извештаји и студије независних инсти</w:t>
            </w:r>
            <w:r>
              <w:rPr>
                <w:color w:val="000000"/>
              </w:rPr>
              <w:t>туција, института, истраживачких центара, удружења; годишњи извештаји/прегледи Министарства за људска и мањинска права и друштвени дијалог</w:t>
            </w:r>
          </w:p>
        </w:tc>
      </w:tr>
      <w:tr w:rsidR="00BC3CE6">
        <w:trPr>
          <w:trHeight w:val="45"/>
          <w:tblCellSpacing w:w="0" w:type="auto"/>
        </w:trPr>
        <w:tc>
          <w:tcPr>
            <w:tcW w:w="354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Удео механизама за родну равноправност за чије функционисање су обезбеђена средства из буџета </w:t>
            </w:r>
            <w:r>
              <w:rPr>
                <w:color w:val="000000"/>
              </w:rPr>
              <w:lastRenderedPageBreak/>
              <w:t>на свим нивоима власти</w:t>
            </w:r>
            <w:r>
              <w:rPr>
                <w:color w:val="000000"/>
              </w:rPr>
              <w:t>.</w:t>
            </w:r>
          </w:p>
        </w:tc>
        <w:tc>
          <w:tcPr>
            <w:tcW w:w="58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w:t>
            </w:r>
          </w:p>
        </w:tc>
        <w:tc>
          <w:tcPr>
            <w:tcW w:w="164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2021: непознати подаци</w:t>
            </w:r>
          </w:p>
        </w:tc>
        <w:tc>
          <w:tcPr>
            <w:tcW w:w="248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2030: 45%</w:t>
            </w:r>
          </w:p>
        </w:tc>
        <w:tc>
          <w:tcPr>
            <w:tcW w:w="613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Увид у буџетска одвајања на свим нивоима власти, годишњи буџетски извештаји, годишњи </w:t>
            </w:r>
            <w:r>
              <w:rPr>
                <w:color w:val="000000"/>
              </w:rPr>
              <w:lastRenderedPageBreak/>
              <w:t>извештаји Министарства за људска и мањинска права и друштвени дијалог.</w:t>
            </w:r>
          </w:p>
        </w:tc>
      </w:tr>
      <w:tr w:rsidR="00BC3CE6">
        <w:trPr>
          <w:trHeight w:val="45"/>
          <w:tblCellSpacing w:w="0" w:type="auto"/>
        </w:trPr>
        <w:tc>
          <w:tcPr>
            <w:tcW w:w="354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 xml:space="preserve">Усклађена методологија доступних база родне статистике у свим </w:t>
            </w:r>
            <w:r>
              <w:rPr>
                <w:color w:val="000000"/>
              </w:rPr>
              <w:t>областима, као и подаци о положају жена и мушкараца, девојчица и дечака из друштвено осетљивих група</w:t>
            </w:r>
          </w:p>
        </w:tc>
        <w:tc>
          <w:tcPr>
            <w:tcW w:w="58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Делимично/у потпуности</w:t>
            </w:r>
          </w:p>
        </w:tc>
        <w:tc>
          <w:tcPr>
            <w:tcW w:w="164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2021: Делимично</w:t>
            </w:r>
          </w:p>
        </w:tc>
        <w:tc>
          <w:tcPr>
            <w:tcW w:w="248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2030: У потпуности</w:t>
            </w:r>
          </w:p>
        </w:tc>
        <w:tc>
          <w:tcPr>
            <w:tcW w:w="613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Увид у базе података појединачних институција на свим нивоима, студије и подаци РЗС, методологије</w:t>
            </w:r>
            <w:r>
              <w:rPr>
                <w:color w:val="000000"/>
              </w:rPr>
              <w:t xml:space="preserve"> и подаци којима координира Координационо тело за родну равноправност</w:t>
            </w:r>
          </w:p>
        </w:tc>
      </w:tr>
      <w:tr w:rsidR="00BC3CE6">
        <w:trPr>
          <w:trHeight w:val="45"/>
          <w:tblCellSpacing w:w="0" w:type="auto"/>
        </w:trPr>
        <w:tc>
          <w:tcPr>
            <w:tcW w:w="3548"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Институционализација родно одговорног буџетирања на свим нивоима власти</w:t>
            </w:r>
          </w:p>
        </w:tc>
        <w:tc>
          <w:tcPr>
            <w:tcW w:w="58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Делимично/у потпуности</w:t>
            </w:r>
          </w:p>
        </w:tc>
        <w:tc>
          <w:tcPr>
            <w:tcW w:w="164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2021: Делимично</w:t>
            </w:r>
          </w:p>
        </w:tc>
        <w:tc>
          <w:tcPr>
            <w:tcW w:w="2489"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2030: У потпуности</w:t>
            </w:r>
          </w:p>
        </w:tc>
        <w:tc>
          <w:tcPr>
            <w:tcW w:w="6130"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и анализе примене РОБ-а у Министарству финанс</w:t>
            </w:r>
            <w:r>
              <w:rPr>
                <w:color w:val="000000"/>
              </w:rPr>
              <w:t>ија, Покрајинском секретаријату за финансије, Координационом телу за родну равноправност, покрајинским и локалним механизмима,</w:t>
            </w:r>
          </w:p>
          <w:p w:rsidR="00BC3CE6" w:rsidRDefault="009A2DE5">
            <w:pPr>
              <w:spacing w:after="150"/>
            </w:pPr>
            <w:r>
              <w:rPr>
                <w:color w:val="000000"/>
              </w:rPr>
              <w:t>Извештаји државне ревизорске институције и фискалног савета, Извештаји ОЦД</w:t>
            </w:r>
          </w:p>
        </w:tc>
      </w:tr>
    </w:tbl>
    <w:p w:rsidR="00BC3CE6" w:rsidRDefault="009A2DE5">
      <w:pPr>
        <w:spacing w:after="150"/>
      </w:pPr>
      <w:r>
        <w:rPr>
          <w:color w:val="000000"/>
        </w:rPr>
        <w:t>Мера 4.1: Унапређени капацитети, институционални и но</w:t>
      </w:r>
      <w:r>
        <w:rPr>
          <w:color w:val="000000"/>
        </w:rPr>
        <w:t xml:space="preserve">рмативни оквир који обликују амбијент у коме се унапређује родна равноправност са акцентом на институционалне механизме родне равноправности као део </w:t>
      </w:r>
      <w:r>
        <w:rPr>
          <w:color w:val="000000"/>
        </w:rPr>
        <w:lastRenderedPageBreak/>
        <w:t>целовитог и функционалног система и механизама за креирање родно одговорних јавних политика.</w:t>
      </w:r>
    </w:p>
    <w:p w:rsidR="00BC3CE6" w:rsidRDefault="009A2DE5">
      <w:pPr>
        <w:spacing w:after="150"/>
      </w:pPr>
      <w:r>
        <w:rPr>
          <w:color w:val="000000"/>
        </w:rPr>
        <w:t>Опис мере: Мер</w:t>
      </w:r>
      <w:r>
        <w:rPr>
          <w:color w:val="000000"/>
        </w:rPr>
        <w:t xml:space="preserve">а је усмерена на унапређење институционалног и нормативног оквира који обликује амбијент у коме се одвија процес унапређења родне равноправности и подижу капацитети за креирање родно одговорних јавних политика у свим областима друштвеног живота уз акценат </w:t>
      </w:r>
      <w:r>
        <w:rPr>
          <w:color w:val="000000"/>
        </w:rPr>
        <w:t>на механизме РР на свим нивоима власти и јачање њихових капацитета. Мера укључује израду и усвајање и/или измену прописа који регулишу механизме РР на свим нивоима организације власти у складу са Законом о родној равноправности, њихов статус, надлежности и</w:t>
      </w:r>
      <w:r>
        <w:rPr>
          <w:color w:val="000000"/>
        </w:rPr>
        <w:t xml:space="preserve"> процедуре и тиме ће створити услове за системско повезивање и координирање рада и активности ових механизама као важног дела целовитог и функционалног система и механизама за креирање родно одговорних јавних политика, као и усклађивање аката о унутрашњој </w:t>
      </w:r>
      <w:r>
        <w:rPr>
          <w:color w:val="000000"/>
        </w:rPr>
        <w:t>организацији и уређењу органа јавне власти који обезбеђују стабилан положај механизама РР у структури органа јавне власти на свим нивоима и стварање услова који обезбеђују несметани рад и реализацију планираних активности механизама РР у креирању и спровођ</w:t>
      </w:r>
      <w:r>
        <w:rPr>
          <w:color w:val="000000"/>
        </w:rPr>
        <w:t xml:space="preserve">ењу родно одговорних јавних политика у свим областима друштвеног живота. Мера је усмерена и на континуирано унапређење знања и компетенција актера на свим нивоима власти који раде у овој области, везаних за родну равноправност и уродњавање јавних политика </w:t>
      </w:r>
      <w:r>
        <w:rPr>
          <w:color w:val="000000"/>
        </w:rPr>
        <w:t>и закона као и институционалну родну процену, посебно када се ради о рањивим групама, родним стереотипима и предрасудама, кроз различите облике систематске едукације о питањима значајним за родну равноправност и интегрисању родне перспективе у јавне полити</w:t>
      </w:r>
      <w:r>
        <w:rPr>
          <w:color w:val="000000"/>
        </w:rPr>
        <w:t>ке, као и информисање грађана/ки о питањима везаним за родну равноправност значајним за њихов свакодневни живот.</w:t>
      </w:r>
    </w:p>
    <w:p w:rsidR="00BC3CE6" w:rsidRDefault="009A2DE5">
      <w:pPr>
        <w:spacing w:after="150"/>
      </w:pPr>
      <w:r>
        <w:rPr>
          <w:color w:val="000000"/>
        </w:rPr>
        <w:t xml:space="preserve">Циљ ове мере јесте стварање нормативних и институционалних претпоставки за формирање, стабилан статус, рад и активности механизама РР у оквиру </w:t>
      </w:r>
      <w:r>
        <w:rPr>
          <w:color w:val="000000"/>
        </w:rPr>
        <w:t>система организације власти на свим нивоима и усклађивање са Законом о родној равноправности, као и унапређење и подизање нивоа знања и стицање компетенција свих актера који раде у овој области за креирање родно одговорних јавних политика.</w:t>
      </w:r>
    </w:p>
    <w:p w:rsidR="00BC3CE6" w:rsidRDefault="009A2DE5">
      <w:pPr>
        <w:spacing w:after="150"/>
      </w:pPr>
      <w:r>
        <w:rPr>
          <w:color w:val="000000"/>
        </w:rPr>
        <w:t>Ефекти примене о</w:t>
      </w:r>
      <w:r>
        <w:rPr>
          <w:color w:val="000000"/>
        </w:rPr>
        <w:t>ве мере огледаће се у нормативно утемељеном стабилном статусу, јасно регулисаним надлежностима и одговорностима за њихово обављање, хоризонталној и вертикалној координацији рада и активности механизама РР, формирању механизама РР на свим нивоима у складу с</w:t>
      </w:r>
      <w:r>
        <w:rPr>
          <w:color w:val="000000"/>
        </w:rPr>
        <w:t>а Законом о родној равноправности, као и унапређењу знања и компетенција не само чланова/ца механизама РР већ и свих актера који суделују у креирању и спровођењу родно одговорних јавних политика.</w:t>
      </w:r>
    </w:p>
    <w:p w:rsidR="00BC3CE6" w:rsidRDefault="009A2DE5">
      <w:pPr>
        <w:spacing w:after="150"/>
      </w:pPr>
      <w:r>
        <w:rPr>
          <w:color w:val="000000"/>
        </w:rPr>
        <w:t>Меру је потребно континуирано спроводити током целокупног пе</w:t>
      </w:r>
      <w:r>
        <w:rPr>
          <w:color w:val="000000"/>
        </w:rPr>
        <w:t>риода за који се доноси ова стратегија.</w:t>
      </w:r>
    </w:p>
    <w:p w:rsidR="00BC3CE6" w:rsidRDefault="009A2DE5">
      <w:pPr>
        <w:spacing w:after="150"/>
      </w:pPr>
      <w:r>
        <w:rPr>
          <w:color w:val="000000"/>
        </w:rPr>
        <w:lastRenderedPageBreak/>
        <w:t>Институција надлежна за спровођење мере: Министарство за људска и мањинска права и друштвени дијалог.</w:t>
      </w:r>
    </w:p>
    <w:p w:rsidR="00BC3CE6" w:rsidRDefault="009A2DE5">
      <w:pPr>
        <w:spacing w:after="150"/>
      </w:pPr>
      <w:r>
        <w:rPr>
          <w:color w:val="000000"/>
        </w:rPr>
        <w:t xml:space="preserve">Институције учесници у спровођењу мере: Координационо тело за родну равноправност, Министарство за људска и </w:t>
      </w:r>
      <w:r>
        <w:rPr>
          <w:color w:val="000000"/>
        </w:rPr>
        <w:t xml:space="preserve">мањинска права и друштвени дијалог, Министарство државне управе и локалне самоуправе, министарства, органи државне управе и други органи јавне власти у којима се формирају механизми РР, Савет за родну равноправност, механизми РР на нивоу АПВ, механизми РР </w:t>
      </w:r>
      <w:r>
        <w:rPr>
          <w:color w:val="000000"/>
        </w:rPr>
        <w:t>у ЈЛС и СКГО.</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146"/>
        <w:gridCol w:w="3982"/>
      </w:tblGrid>
      <w:tr w:rsidR="00BC3CE6">
        <w:trPr>
          <w:trHeight w:val="45"/>
          <w:tblCellSpacing w:w="0" w:type="auto"/>
        </w:trPr>
        <w:tc>
          <w:tcPr>
            <w:tcW w:w="786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Показатељ резултата 4.1</w:t>
            </w:r>
          </w:p>
        </w:tc>
        <w:tc>
          <w:tcPr>
            <w:tcW w:w="653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Извори верификације</w:t>
            </w:r>
          </w:p>
        </w:tc>
      </w:tr>
      <w:tr w:rsidR="00BC3CE6">
        <w:trPr>
          <w:trHeight w:val="45"/>
          <w:tblCellSpacing w:w="0" w:type="auto"/>
        </w:trPr>
        <w:tc>
          <w:tcPr>
            <w:tcW w:w="786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4.1.1: Број прописа који регулишу механизме РР на свим нивоима организације власти у складу са Законом о родној равноправности, њихов статус, надлежности и процедуре, и који дефинишу процедуре учеш</w:t>
            </w:r>
            <w:r>
              <w:rPr>
                <w:color w:val="000000"/>
              </w:rPr>
              <w:t>ћа у креирању родно одговорних јавних политика</w:t>
            </w:r>
          </w:p>
        </w:tc>
        <w:tc>
          <w:tcPr>
            <w:tcW w:w="653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Увид у садржај прописа.</w:t>
            </w:r>
          </w:p>
        </w:tc>
      </w:tr>
      <w:tr w:rsidR="00BC3CE6">
        <w:trPr>
          <w:trHeight w:val="45"/>
          <w:tblCellSpacing w:w="0" w:type="auto"/>
        </w:trPr>
        <w:tc>
          <w:tcPr>
            <w:tcW w:w="786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4.1.2: Број механизама РР на националном покрајинском и локалном нивоу власти и свим нивоима унутрашње организације које имају обезбеђене људске, финансијске и материјалне услове за </w:t>
            </w:r>
            <w:r>
              <w:rPr>
                <w:color w:val="000000"/>
              </w:rPr>
              <w:t>функционисање, разврстано по нивоима организације рада, регионима/територијалној припадности</w:t>
            </w:r>
          </w:p>
        </w:tc>
        <w:tc>
          <w:tcPr>
            <w:tcW w:w="653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локалних, покрајинских и националних институција система, извештаји механизама РР (подаци доступни на интернет презентацијама) о функционисању и активнос</w:t>
            </w:r>
            <w:r>
              <w:rPr>
                <w:color w:val="000000"/>
              </w:rPr>
              <w:t>тима, увид у буџетска одвајања за одрживост механизама за родну равноправност на свим нивоима.</w:t>
            </w:r>
          </w:p>
        </w:tc>
      </w:tr>
      <w:tr w:rsidR="00BC3CE6">
        <w:trPr>
          <w:trHeight w:val="45"/>
          <w:tblCellSpacing w:w="0" w:type="auto"/>
        </w:trPr>
        <w:tc>
          <w:tcPr>
            <w:tcW w:w="786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4.1.3: Број родно одговорних јавних политика и области на које се односе на свим нивоима у којима активно учествују механизми РР</w:t>
            </w:r>
          </w:p>
        </w:tc>
        <w:tc>
          <w:tcPr>
            <w:tcW w:w="653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Увид у број и садржај јавних по</w:t>
            </w:r>
            <w:r>
              <w:rPr>
                <w:color w:val="000000"/>
              </w:rPr>
              <w:t>литика на свим нивоима, праћење укључености представника/ца механизама РР.</w:t>
            </w:r>
          </w:p>
        </w:tc>
      </w:tr>
      <w:tr w:rsidR="00BC3CE6">
        <w:trPr>
          <w:trHeight w:val="45"/>
          <w:tblCellSpacing w:w="0" w:type="auto"/>
        </w:trPr>
        <w:tc>
          <w:tcPr>
            <w:tcW w:w="786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4.1.4: Број обучених представника/ца јавне власти и чланова/чланица механизама РР о родно заснованим стереотипима, родној равноправности, и родно заснованој дискриминацији, уродњав</w:t>
            </w:r>
            <w:r>
              <w:rPr>
                <w:color w:val="000000"/>
              </w:rPr>
              <w:t xml:space="preserve">ање јавних политика и закона, посебно жена из друштвено осетљивих група, разврстано по полу, институцији, и нивоима организације на којима су </w:t>
            </w:r>
            <w:r>
              <w:rPr>
                <w:color w:val="000000"/>
              </w:rPr>
              <w:lastRenderedPageBreak/>
              <w:t>образовани</w:t>
            </w:r>
          </w:p>
        </w:tc>
        <w:tc>
          <w:tcPr>
            <w:tcW w:w="653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Извештаји и евалуације ефеката обука за представнике/це јавне власти и чланова/чланица механизама РР.</w:t>
            </w:r>
          </w:p>
        </w:tc>
      </w:tr>
      <w:tr w:rsidR="00BC3CE6">
        <w:trPr>
          <w:trHeight w:val="45"/>
          <w:tblCellSpacing w:w="0" w:type="auto"/>
        </w:trPr>
        <w:tc>
          <w:tcPr>
            <w:tcW w:w="786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4.1.5: Степен укључености женских организација и релевантних ОЦД у планирање и реализацију родно одговорних јавних политика на свим нивоима</w:t>
            </w:r>
          </w:p>
        </w:tc>
        <w:tc>
          <w:tcPr>
            <w:tcW w:w="653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Извештаји механизама РР на свим нивоима, годишњи извештаји Министарства за људска и мањинска права и друштвени </w:t>
            </w:r>
            <w:r>
              <w:rPr>
                <w:color w:val="000000"/>
              </w:rPr>
              <w:t>дијалог, повратне информације од женских организација.</w:t>
            </w:r>
          </w:p>
        </w:tc>
      </w:tr>
      <w:tr w:rsidR="00BC3CE6">
        <w:trPr>
          <w:trHeight w:val="45"/>
          <w:tblCellSpacing w:w="0" w:type="auto"/>
        </w:trPr>
        <w:tc>
          <w:tcPr>
            <w:tcW w:w="786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4.1.6: Број информативних јавних кампања о улози, важности и начину функционисања механизама РР на свим нивоима и учешћу грађана и грађанки у процесима планирања и реализације родно одговорних јавних </w:t>
            </w:r>
            <w:r>
              <w:rPr>
                <w:color w:val="000000"/>
              </w:rPr>
              <w:t>политика на свим нивоима.</w:t>
            </w:r>
          </w:p>
        </w:tc>
        <w:tc>
          <w:tcPr>
            <w:tcW w:w="653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Извештаји и евалуације ефеката информативних кампања, заступљеност у медијима, увид у информативне материјале (штампане, видео, аудио, дигиталне), извештаји о партиципацији грађана и грађанки (покрети, удружења, неформалне групе) </w:t>
            </w:r>
            <w:r>
              <w:rPr>
                <w:color w:val="000000"/>
              </w:rPr>
              <w:t>у изради родно одговорних јавних политика на свим нивоима.</w:t>
            </w:r>
          </w:p>
        </w:tc>
      </w:tr>
    </w:tbl>
    <w:p w:rsidR="00BC3CE6" w:rsidRDefault="009A2DE5">
      <w:pPr>
        <w:spacing w:after="150"/>
      </w:pPr>
      <w:r>
        <w:rPr>
          <w:color w:val="000000"/>
        </w:rPr>
        <w:t>Мера 4.2. Развој и унапређење родне статистике, повећање доступности података и информација као и коришћење података који одражавају стварност живота жена и мушкараца, девојчица и дечака за креира</w:t>
      </w:r>
      <w:r>
        <w:rPr>
          <w:color w:val="000000"/>
        </w:rPr>
        <w:t>ње политика.</w:t>
      </w:r>
    </w:p>
    <w:p w:rsidR="00BC3CE6" w:rsidRDefault="009A2DE5">
      <w:pPr>
        <w:spacing w:after="150"/>
      </w:pPr>
      <w:r>
        <w:rPr>
          <w:color w:val="000000"/>
        </w:rPr>
        <w:t xml:space="preserve">Опис и ефекти мере: Ова мера има за циљ да повећа доступност родно одговорних података у свим областима од значаја за свакодневни живот и да изгради капацитете за коришћење тих података код креирања политика и мера. Ова мера укључује: анализу </w:t>
      </w:r>
      <w:r>
        <w:rPr>
          <w:color w:val="000000"/>
        </w:rPr>
        <w:t>постојеће статистике и идентификацију недостајућих података информација, и родно одговорних индикатора које су значајне за креирање родно одговорних политика и праћење стања родне равноправности у свим областима, повећање броја индикатора доступних по полу</w:t>
      </w:r>
      <w:r>
        <w:rPr>
          <w:color w:val="000000"/>
        </w:rPr>
        <w:t xml:space="preserve"> и укрштање са другим факторима, као и израду мапе пута за унапређење родне статистике. Ова мера такође укључује измене и допуне прописа и свих подзаконских аката који се односе на статистику и евиденције, на начин да се уреди прикупљање, обрада и објављив</w:t>
      </w:r>
      <w:r>
        <w:rPr>
          <w:color w:val="000000"/>
        </w:rPr>
        <w:t xml:space="preserve">ање родно одговорних података. Даље, ова мера предвиђа јачање капацитета РЗС и успостављање одељења за родну статистику, које ће континуирано радити на унапређењу система за прикупљање и обраду, а нарочито за објављивање родно одговорних података на начин </w:t>
      </w:r>
      <w:r>
        <w:rPr>
          <w:color w:val="000000"/>
        </w:rPr>
        <w:t>који је прилагођен за различите циљне групе, уз коришћење модерних комуникацијских алата. Додатно, РЗС ће јачати капацитете, а кроз РОБ обезбедиће средства за праћење стања у области родне равноправности, развијајући домаће индексе за праћење и алате као д</w:t>
      </w:r>
      <w:r>
        <w:rPr>
          <w:color w:val="000000"/>
        </w:rPr>
        <w:t xml:space="preserve">опуну праћења стања у области родне равноправности, у складу са међународним праксама. У сарадњи са </w:t>
      </w:r>
      <w:r>
        <w:rPr>
          <w:color w:val="000000"/>
        </w:rPr>
        <w:lastRenderedPageBreak/>
        <w:t xml:space="preserve">институцијама РСЗ ће развијати систем за обраду података по полу и другим карактеристикама о корисницима мера и услуга које се финансирају из буџета. Даље, </w:t>
      </w:r>
      <w:r>
        <w:rPr>
          <w:color w:val="000000"/>
        </w:rPr>
        <w:t>ова мера подразумева и повећање знања у овој области, повезивање са универзитетима и факултетима са циљем препознавања значаја родне статистике за креирање политика и анализе, као и даљи развој знања и подстицања истраживања у овој области. Ова мера такође</w:t>
      </w:r>
      <w:r>
        <w:rPr>
          <w:color w:val="000000"/>
        </w:rPr>
        <w:t xml:space="preserve"> укључује и јачање капацитета институција на свим нивоима, али и других актера, попут ОЦД за коришћење родне статистике код аналитичких послова и за креирање политика. Ефекат ове мере биће унапређење прикупљања и обраде родно релевантних података који, пор</w:t>
      </w:r>
      <w:r>
        <w:rPr>
          <w:color w:val="000000"/>
        </w:rPr>
        <w:t>ед разврставања по полу, укључују и сагледавање и праћење разлике у потребама као и проблемима са којима се жене и мушкарци сусрећу, идентификовање недостајућих података информација, и родно одговорних индикатора значајних за креирање родно одговорних поли</w:t>
      </w:r>
      <w:r>
        <w:rPr>
          <w:color w:val="000000"/>
        </w:rPr>
        <w:t>тика и праћење стања родне равноправности у свим областима, повећање броја индикатора доступних по полу и укрштање са другим факторима, као и израду мапе пута за унапређење родне статистике.</w:t>
      </w:r>
    </w:p>
    <w:p w:rsidR="00BC3CE6" w:rsidRDefault="009A2DE5">
      <w:pPr>
        <w:spacing w:after="150"/>
      </w:pPr>
      <w:r>
        <w:rPr>
          <w:color w:val="000000"/>
        </w:rPr>
        <w:t>Институција надлежна за спровођење мере: Републички завод за стат</w:t>
      </w:r>
      <w:r>
        <w:rPr>
          <w:color w:val="000000"/>
        </w:rPr>
        <w:t>истику.</w:t>
      </w:r>
    </w:p>
    <w:p w:rsidR="00BC3CE6" w:rsidRDefault="009A2DE5">
      <w:pPr>
        <w:spacing w:after="150"/>
      </w:pPr>
      <w:r>
        <w:rPr>
          <w:color w:val="000000"/>
        </w:rPr>
        <w:t>Институције учесници у спровођењу мере: Универзитети и институти, ЈЛС, националне и покрајинске институције, Народна банка Србије, Министарство финансија, Агенција за привредне регистре и друге релевантне институције које одреди РЗС, а које прикупљ</w:t>
      </w:r>
      <w:r>
        <w:rPr>
          <w:color w:val="000000"/>
        </w:rPr>
        <w:t>ају и/или обрађују статистичке податке.</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7220"/>
        <w:gridCol w:w="1908"/>
      </w:tblGrid>
      <w:tr w:rsidR="00BC3CE6">
        <w:trPr>
          <w:trHeight w:val="45"/>
          <w:tblCellSpacing w:w="0" w:type="auto"/>
        </w:trPr>
        <w:tc>
          <w:tcPr>
            <w:tcW w:w="1241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Показатељи резултата 4.2</w:t>
            </w:r>
          </w:p>
        </w:tc>
        <w:tc>
          <w:tcPr>
            <w:tcW w:w="198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Извори верификације</w:t>
            </w:r>
          </w:p>
        </w:tc>
      </w:tr>
      <w:tr w:rsidR="00BC3CE6">
        <w:trPr>
          <w:trHeight w:val="45"/>
          <w:tblCellSpacing w:w="0" w:type="auto"/>
        </w:trPr>
        <w:tc>
          <w:tcPr>
            <w:tcW w:w="1241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4.2.1. Степен унапређења родне статистике у свим областима које прати РСЗ у односу на план за унапређење родне статистике</w:t>
            </w:r>
          </w:p>
        </w:tc>
        <w:tc>
          <w:tcPr>
            <w:tcW w:w="198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 РЗС</w:t>
            </w:r>
          </w:p>
        </w:tc>
      </w:tr>
      <w:tr w:rsidR="00BC3CE6">
        <w:trPr>
          <w:trHeight w:val="45"/>
          <w:tblCellSpacing w:w="0" w:type="auto"/>
        </w:trPr>
        <w:tc>
          <w:tcPr>
            <w:tcW w:w="1241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4.2.2. Повећан број доступних </w:t>
            </w:r>
            <w:r>
              <w:rPr>
                <w:color w:val="000000"/>
              </w:rPr>
              <w:t>родно одговорних индикатора у свим статистичким областима од укупног броја индикатора у области у односу на базну годину (базна година 2021)</w:t>
            </w:r>
          </w:p>
        </w:tc>
        <w:tc>
          <w:tcPr>
            <w:tcW w:w="198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 РЗС</w:t>
            </w:r>
          </w:p>
        </w:tc>
      </w:tr>
      <w:tr w:rsidR="00BC3CE6">
        <w:trPr>
          <w:trHeight w:val="45"/>
          <w:tblCellSpacing w:w="0" w:type="auto"/>
        </w:trPr>
        <w:tc>
          <w:tcPr>
            <w:tcW w:w="1241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4.2.3. Изграђен капацитет РЗС за родну статистику: унапређена унутрашња акта организацији и системати</w:t>
            </w:r>
            <w:r>
              <w:rPr>
                <w:color w:val="000000"/>
              </w:rPr>
              <w:t>зацији, планови прикупљања, обраде и објављивање података, све статистичке области имају одређену особу за родну статистику,</w:t>
            </w:r>
          </w:p>
        </w:tc>
        <w:tc>
          <w:tcPr>
            <w:tcW w:w="198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 РЗС</w:t>
            </w:r>
          </w:p>
        </w:tc>
      </w:tr>
      <w:tr w:rsidR="00BC3CE6">
        <w:trPr>
          <w:trHeight w:val="45"/>
          <w:tblCellSpacing w:w="0" w:type="auto"/>
        </w:trPr>
        <w:tc>
          <w:tcPr>
            <w:tcW w:w="1241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4.2.4. Износ средстава из буџета Републике Србије усмерен ка развоју и унапређењу родне статистике као и % од укупних</w:t>
            </w:r>
            <w:r>
              <w:rPr>
                <w:color w:val="000000"/>
              </w:rPr>
              <w:t xml:space="preserve"> средстава опредељених за РЗС</w:t>
            </w:r>
          </w:p>
        </w:tc>
        <w:tc>
          <w:tcPr>
            <w:tcW w:w="198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 РЗС, Буџет Републике Србије</w:t>
            </w:r>
          </w:p>
        </w:tc>
      </w:tr>
      <w:tr w:rsidR="00BC3CE6">
        <w:trPr>
          <w:trHeight w:val="45"/>
          <w:tblCellSpacing w:w="0" w:type="auto"/>
        </w:trPr>
        <w:tc>
          <w:tcPr>
            <w:tcW w:w="1241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4.2.5. Број и врста објављених специјализованих родно </w:t>
            </w:r>
            <w:r>
              <w:rPr>
                <w:color w:val="000000"/>
              </w:rPr>
              <w:lastRenderedPageBreak/>
              <w:t>одговорних статистичких извештаја, или публикација</w:t>
            </w:r>
          </w:p>
        </w:tc>
        <w:tc>
          <w:tcPr>
            <w:tcW w:w="198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 xml:space="preserve">Извештај РЗС, </w:t>
            </w:r>
            <w:r>
              <w:rPr>
                <w:color w:val="000000"/>
              </w:rPr>
              <w:lastRenderedPageBreak/>
              <w:t>и интернет страница РЗС</w:t>
            </w:r>
          </w:p>
        </w:tc>
      </w:tr>
      <w:tr w:rsidR="00BC3CE6">
        <w:trPr>
          <w:trHeight w:val="45"/>
          <w:tblCellSpacing w:w="0" w:type="auto"/>
        </w:trPr>
        <w:tc>
          <w:tcPr>
            <w:tcW w:w="1241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 xml:space="preserve">4.2.6. Број институција које имају изграђен </w:t>
            </w:r>
            <w:r>
              <w:rPr>
                <w:color w:val="000000"/>
              </w:rPr>
              <w:t>капацитет за родну статистику у области у којој прикупљају податке: унапређена унутрашња акта организацији и систематизацији, планови прикупљања, обраде и објављивање података</w:t>
            </w:r>
          </w:p>
        </w:tc>
        <w:tc>
          <w:tcPr>
            <w:tcW w:w="198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релевантних институција</w:t>
            </w:r>
          </w:p>
        </w:tc>
      </w:tr>
    </w:tbl>
    <w:p w:rsidR="00BC3CE6" w:rsidRDefault="009A2DE5">
      <w:pPr>
        <w:spacing w:after="150"/>
      </w:pPr>
      <w:r>
        <w:rPr>
          <w:color w:val="000000"/>
        </w:rPr>
        <w:t xml:space="preserve">Мера 4.3. Континуирана и појачана примена </w:t>
      </w:r>
      <w:r>
        <w:rPr>
          <w:color w:val="000000"/>
        </w:rPr>
        <w:t>родно одговорног буџетирања на националном, покрајинском и локалном нивоу у поступку планирања и извршења буџета, институционализација РОБ-а у буџетском систему РС, и повећање улагања у родну равноправност.</w:t>
      </w:r>
    </w:p>
    <w:p w:rsidR="00BC3CE6" w:rsidRDefault="009A2DE5">
      <w:pPr>
        <w:spacing w:after="150"/>
      </w:pPr>
      <w:r>
        <w:rPr>
          <w:color w:val="000000"/>
        </w:rPr>
        <w:t>Опис и ефекти мере: Ова мера има за циљ да РОБ по</w:t>
      </w:r>
      <w:r>
        <w:rPr>
          <w:color w:val="000000"/>
        </w:rPr>
        <w:t>стане одржив и заокружен део система управљања јавним финансијама и буџетског система Републике Србије, као и да се повећају улагања у родну равноправност кроз артикулацију родно трансформативних РОБ циљева и индикатора. Ова мера укључује више кластера акт</w:t>
      </w:r>
      <w:r>
        <w:rPr>
          <w:color w:val="000000"/>
        </w:rPr>
        <w:t xml:space="preserve">ивности, даље јачање координације и капацитета у вези примене РОБ-а у Министарству финансија, Покрајинском секретаријату за финансије и органима ЈЛС, изградња и јачање капацитета за техничко праћење процеса, једноставну и брзу консолидацију РОБ предлога у </w:t>
      </w:r>
      <w:r>
        <w:rPr>
          <w:color w:val="000000"/>
        </w:rPr>
        <w:t xml:space="preserve">буџету и анализу примене из техничког угла кроз одговарајући софтвер, јачање капацитета за родно одговорно планирање буџета код буџетских корисника и повезивање секторских приоритета са родном агендом, јачање капацитета институционалних механизама за РР у </w:t>
      </w:r>
      <w:r>
        <w:rPr>
          <w:color w:val="000000"/>
        </w:rPr>
        <w:t xml:space="preserve">вези са РОБ-ом а посебно за припрему извештаја о напретку и учинку, јачање капацитета за надзор над применом у Државној ревизорској институцији и фискалном савету, јачање улоге парламента и ОЦД као и повећање транспарентности улагања у родну равноправност </w:t>
      </w:r>
      <w:r>
        <w:rPr>
          <w:color w:val="000000"/>
        </w:rPr>
        <w:t>и промоцију примера добре праксе. Даље, ова мера укључује унапређење процедура рада на РОБ-у код самих буџетских корисника, повећање капацитета за родне анализе прихода и расхода, систематично укључивање РОБ-а на почетку у процесу планирања (у Фискалној ст</w:t>
      </w:r>
      <w:r>
        <w:rPr>
          <w:color w:val="000000"/>
        </w:rPr>
        <w:t>ратегији и ПОФ-у), као и у све друге фазе буџетског процеса (планирање, спровођење и извештавање). Ова мера предвиђа и улагања у адекватан информациони систем како би се олакшала консолидација РОБ-а у предлозима буџета, усвојеном буџету и у извештајима о у</w:t>
      </w:r>
      <w:r>
        <w:rPr>
          <w:color w:val="000000"/>
        </w:rPr>
        <w:t>чинку, на свим нивоима. Даље, мера подразумева ревидирање упутства за израду програмског буџета и предвиђање унапређења родне равноправности и као програма и/или програмске активности, имајући у виду да су сви буџетски корисници у обавези да примене РОБ, у</w:t>
      </w:r>
      <w:r>
        <w:rPr>
          <w:color w:val="000000"/>
        </w:rPr>
        <w:t xml:space="preserve"> складу са Законом о буџетском систему, као и унапређење и стандардизовање образаца за исказивање РОБ-а у буџетима. Даље, ова мера укључује изградњу капацитета и јачање знања у овој области у институцијама, међу експерткињама и експертима за родну равнопра</w:t>
      </w:r>
      <w:r>
        <w:rPr>
          <w:color w:val="000000"/>
        </w:rPr>
        <w:t xml:space="preserve">вност, у академској заједници и ОЦД. Ова мера подразумева и унапређење система </w:t>
      </w:r>
      <w:r>
        <w:rPr>
          <w:color w:val="000000"/>
        </w:rPr>
        <w:lastRenderedPageBreak/>
        <w:t xml:space="preserve">примене РОБ-а у складу са препорукама датим кроз годишње извештаје о напретку РОБ-а у Републици Србији, али и у складу са међународном добром праксом и препорукама PEFAи оквира </w:t>
      </w:r>
      <w:r>
        <w:rPr>
          <w:color w:val="000000"/>
        </w:rPr>
        <w:t>за РОБ.</w:t>
      </w:r>
    </w:p>
    <w:p w:rsidR="00BC3CE6" w:rsidRDefault="009A2DE5">
      <w:pPr>
        <w:spacing w:after="150"/>
      </w:pPr>
      <w:r>
        <w:rPr>
          <w:color w:val="000000"/>
        </w:rPr>
        <w:t>Институција надлежна за спровођење мере: Министарство финансија.</w:t>
      </w:r>
    </w:p>
    <w:p w:rsidR="00BC3CE6" w:rsidRDefault="009A2DE5">
      <w:pPr>
        <w:spacing w:after="150"/>
      </w:pPr>
      <w:r>
        <w:rPr>
          <w:color w:val="000000"/>
        </w:rPr>
        <w:t>Институције учесници у спровођењу мере: Покрајински секретаријат за финансије, одељења ЈЛС за финансије, СКГО, Државна ревизорска институција, РЗС, Институционални механизми РР, Одбор</w:t>
      </w:r>
      <w:r>
        <w:rPr>
          <w:color w:val="000000"/>
        </w:rPr>
        <w:t>и за финансије у скупштинама, Фискални савет, ОЦД, академска заједница.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994"/>
        <w:gridCol w:w="3134"/>
      </w:tblGrid>
      <w:tr w:rsidR="00BC3CE6">
        <w:trPr>
          <w:trHeight w:val="45"/>
          <w:tblCellSpacing w:w="0" w:type="auto"/>
        </w:trPr>
        <w:tc>
          <w:tcPr>
            <w:tcW w:w="1093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Показатељи резултата 4.3</w:t>
            </w:r>
          </w:p>
        </w:tc>
        <w:tc>
          <w:tcPr>
            <w:tcW w:w="34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Извори верификације</w:t>
            </w:r>
          </w:p>
        </w:tc>
      </w:tr>
      <w:tr w:rsidR="00BC3CE6">
        <w:trPr>
          <w:trHeight w:val="45"/>
          <w:tblCellSpacing w:w="0" w:type="auto"/>
        </w:trPr>
        <w:tc>
          <w:tcPr>
            <w:tcW w:w="1093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4.3.1. Сви директни и индиректни буџетски корисници на свим нивоима примењују РОБ код планирања и извршења буџета (број буџетских </w:t>
            </w:r>
            <w:r>
              <w:rPr>
                <w:color w:val="000000"/>
              </w:rPr>
              <w:t>корисника који су у ПОФ и предлог буџета уврстили РОБ по годинама и нивоима)</w:t>
            </w:r>
          </w:p>
        </w:tc>
        <w:tc>
          <w:tcPr>
            <w:tcW w:w="34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Приоритетне области финансирања буџетских корисника садрже РОБ циљеве и индикаторе</w:t>
            </w:r>
          </w:p>
          <w:p w:rsidR="00BC3CE6" w:rsidRDefault="009A2DE5">
            <w:pPr>
              <w:spacing w:after="150"/>
            </w:pPr>
            <w:r>
              <w:rPr>
                <w:color w:val="000000"/>
              </w:rPr>
              <w:t>Годишњи извештај о напретку РОБ-а</w:t>
            </w:r>
          </w:p>
          <w:p w:rsidR="00BC3CE6" w:rsidRDefault="009A2DE5">
            <w:pPr>
              <w:spacing w:after="150"/>
            </w:pPr>
            <w:r>
              <w:rPr>
                <w:color w:val="000000"/>
              </w:rPr>
              <w:t>Годишњи извештај о учинку РОБ-а</w:t>
            </w:r>
          </w:p>
          <w:p w:rsidR="00BC3CE6" w:rsidRDefault="009A2DE5">
            <w:pPr>
              <w:spacing w:after="150"/>
            </w:pPr>
            <w:r>
              <w:rPr>
                <w:color w:val="000000"/>
              </w:rPr>
              <w:t>Софтвер за планирање и извешта</w:t>
            </w:r>
            <w:r>
              <w:rPr>
                <w:color w:val="000000"/>
              </w:rPr>
              <w:t>вање/извештај</w:t>
            </w:r>
          </w:p>
          <w:p w:rsidR="00BC3CE6" w:rsidRDefault="009A2DE5">
            <w:pPr>
              <w:spacing w:after="150"/>
            </w:pPr>
            <w:r>
              <w:rPr>
                <w:color w:val="000000"/>
              </w:rPr>
              <w:t>Консолидовани годишњи извештај за ЈЛС</w:t>
            </w:r>
          </w:p>
          <w:p w:rsidR="00BC3CE6" w:rsidRDefault="009A2DE5">
            <w:pPr>
              <w:spacing w:after="150"/>
            </w:pPr>
            <w:r>
              <w:rPr>
                <w:color w:val="000000"/>
              </w:rPr>
              <w:t>Извештај Државне ревизорске институције</w:t>
            </w:r>
          </w:p>
        </w:tc>
      </w:tr>
      <w:tr w:rsidR="00BC3CE6">
        <w:trPr>
          <w:trHeight w:val="45"/>
          <w:tblCellSpacing w:w="0" w:type="auto"/>
        </w:trPr>
        <w:tc>
          <w:tcPr>
            <w:tcW w:w="1093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4.3.2. Број родно трансформативних РОБ циљева и индикатора у односу на укупан број РОБ циљева и индикатора</w:t>
            </w:r>
          </w:p>
        </w:tc>
        <w:tc>
          <w:tcPr>
            <w:tcW w:w="34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Годишњи извештај о напретку РОБ-а</w:t>
            </w:r>
          </w:p>
          <w:p w:rsidR="00BC3CE6" w:rsidRDefault="009A2DE5">
            <w:pPr>
              <w:spacing w:after="150"/>
            </w:pPr>
            <w:r>
              <w:rPr>
                <w:color w:val="000000"/>
              </w:rPr>
              <w:t>Годишњи извештај о учи</w:t>
            </w:r>
            <w:r>
              <w:rPr>
                <w:color w:val="000000"/>
              </w:rPr>
              <w:t>нку РОБ-а</w:t>
            </w:r>
          </w:p>
          <w:p w:rsidR="00BC3CE6" w:rsidRDefault="009A2DE5">
            <w:pPr>
              <w:spacing w:after="150"/>
            </w:pPr>
            <w:r>
              <w:rPr>
                <w:color w:val="000000"/>
              </w:rPr>
              <w:t>Софтвер за планирање и извештавање/извештај</w:t>
            </w:r>
          </w:p>
        </w:tc>
      </w:tr>
      <w:tr w:rsidR="00BC3CE6">
        <w:trPr>
          <w:trHeight w:val="45"/>
          <w:tblCellSpacing w:w="0" w:type="auto"/>
        </w:trPr>
        <w:tc>
          <w:tcPr>
            <w:tcW w:w="1093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4.3.3. Број програма у којима је примењен РОБ од укупног броја програма</w:t>
            </w:r>
          </w:p>
        </w:tc>
        <w:tc>
          <w:tcPr>
            <w:tcW w:w="34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Годишњи извештај о напретку РОБ-а</w:t>
            </w:r>
          </w:p>
          <w:p w:rsidR="00BC3CE6" w:rsidRDefault="009A2DE5">
            <w:pPr>
              <w:spacing w:after="150"/>
            </w:pPr>
            <w:r>
              <w:rPr>
                <w:color w:val="000000"/>
              </w:rPr>
              <w:t>Годишњи извештај о учинку РОБ-а</w:t>
            </w:r>
          </w:p>
          <w:p w:rsidR="00BC3CE6" w:rsidRDefault="009A2DE5">
            <w:pPr>
              <w:spacing w:after="150"/>
            </w:pPr>
            <w:r>
              <w:rPr>
                <w:color w:val="000000"/>
              </w:rPr>
              <w:t>Софтвер за планирање и извештавање/извештај</w:t>
            </w:r>
          </w:p>
          <w:p w:rsidR="00BC3CE6" w:rsidRDefault="009A2DE5">
            <w:pPr>
              <w:spacing w:after="150"/>
            </w:pPr>
            <w:r>
              <w:rPr>
                <w:color w:val="000000"/>
              </w:rPr>
              <w:t xml:space="preserve">Извештај државне </w:t>
            </w:r>
            <w:r>
              <w:rPr>
                <w:color w:val="000000"/>
              </w:rPr>
              <w:lastRenderedPageBreak/>
              <w:t>ревизорске институције</w:t>
            </w:r>
          </w:p>
        </w:tc>
      </w:tr>
      <w:tr w:rsidR="00BC3CE6">
        <w:trPr>
          <w:trHeight w:val="45"/>
          <w:tblCellSpacing w:w="0" w:type="auto"/>
        </w:trPr>
        <w:tc>
          <w:tcPr>
            <w:tcW w:w="1093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4.3.4. Проценат улагања у родну равноправност у односу на укупан буџет појединачног директног буџетског корисника</w:t>
            </w:r>
          </w:p>
        </w:tc>
        <w:tc>
          <w:tcPr>
            <w:tcW w:w="34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Годишњи извештај о учинку РОБ-а</w:t>
            </w:r>
          </w:p>
          <w:p w:rsidR="00BC3CE6" w:rsidRDefault="009A2DE5">
            <w:pPr>
              <w:spacing w:after="150"/>
            </w:pPr>
            <w:r>
              <w:rPr>
                <w:color w:val="000000"/>
              </w:rPr>
              <w:t>Софтвер за планирање и извештавање/извештај</w:t>
            </w:r>
          </w:p>
        </w:tc>
      </w:tr>
      <w:tr w:rsidR="00BC3CE6">
        <w:trPr>
          <w:trHeight w:val="45"/>
          <w:tblCellSpacing w:w="0" w:type="auto"/>
        </w:trPr>
        <w:tc>
          <w:tcPr>
            <w:tcW w:w="1093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4.3.5. Број и врста активности из ове </w:t>
            </w:r>
            <w:r>
              <w:rPr>
                <w:color w:val="000000"/>
              </w:rPr>
              <w:t>стратегије и АП за родну равноправност које су финансиране кроз примену РОБ-а</w:t>
            </w:r>
          </w:p>
        </w:tc>
        <w:tc>
          <w:tcPr>
            <w:tcW w:w="34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Годишњи извештај о учинку РОБ-а</w:t>
            </w:r>
          </w:p>
          <w:p w:rsidR="00BC3CE6" w:rsidRDefault="009A2DE5">
            <w:pPr>
              <w:spacing w:after="150"/>
            </w:pPr>
            <w:r>
              <w:rPr>
                <w:color w:val="000000"/>
              </w:rPr>
              <w:t>Извештаји о реализацији активности из АП</w:t>
            </w:r>
          </w:p>
          <w:p w:rsidR="00BC3CE6" w:rsidRDefault="009A2DE5">
            <w:pPr>
              <w:spacing w:after="150"/>
            </w:pPr>
            <w:r>
              <w:rPr>
                <w:color w:val="000000"/>
              </w:rPr>
              <w:t>Софтвер за планирање и извештавање/извештај</w:t>
            </w:r>
          </w:p>
        </w:tc>
      </w:tr>
      <w:tr w:rsidR="00BC3CE6">
        <w:trPr>
          <w:trHeight w:val="45"/>
          <w:tblCellSpacing w:w="0" w:type="auto"/>
        </w:trPr>
        <w:tc>
          <w:tcPr>
            <w:tcW w:w="1093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4.3.6. Развијено одговарајуће софтверско решење за планирање</w:t>
            </w:r>
            <w:r>
              <w:rPr>
                <w:color w:val="000000"/>
              </w:rPr>
              <w:t>, праћење и извештавање о примени РОБ-у, буџетске класификације омогућавају лаку консолидацију алоцираних средстава за улагања у родну равноправност, упутства за програмско буџетирање и припрему буџета садрже упутства, и формуларе за планирање и извештавањ</w:t>
            </w:r>
            <w:r>
              <w:rPr>
                <w:color w:val="000000"/>
              </w:rPr>
              <w:t>е, а који олакшавају консолидацију података</w:t>
            </w:r>
          </w:p>
        </w:tc>
        <w:tc>
          <w:tcPr>
            <w:tcW w:w="34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министарства финансија</w:t>
            </w:r>
          </w:p>
          <w:p w:rsidR="00BC3CE6" w:rsidRDefault="009A2DE5">
            <w:pPr>
              <w:spacing w:after="150"/>
            </w:pPr>
            <w:r>
              <w:rPr>
                <w:color w:val="000000"/>
              </w:rPr>
              <w:t>Упутство за припрему ПОФ-а, и за припрему буџета,</w:t>
            </w:r>
          </w:p>
          <w:p w:rsidR="00BC3CE6" w:rsidRDefault="009A2DE5">
            <w:pPr>
              <w:spacing w:after="150"/>
            </w:pPr>
            <w:r>
              <w:rPr>
                <w:color w:val="000000"/>
              </w:rPr>
              <w:t>формулари за припрему буџета и извештаје, правилници, класификације и евидентирања трошкова садрже РОБ и омогућавају консолидациј</w:t>
            </w:r>
            <w:r>
              <w:rPr>
                <w:color w:val="000000"/>
              </w:rPr>
              <w:t>у информација</w:t>
            </w:r>
          </w:p>
        </w:tc>
      </w:tr>
      <w:tr w:rsidR="00BC3CE6">
        <w:trPr>
          <w:trHeight w:val="45"/>
          <w:tblCellSpacing w:w="0" w:type="auto"/>
        </w:trPr>
        <w:tc>
          <w:tcPr>
            <w:tcW w:w="10933"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4.3.7. Број процедура, упутстава, интерних аката буџетских корисника, а којима се олакшава планирање, праћење и извештавање о РОБ-у</w:t>
            </w:r>
          </w:p>
        </w:tc>
        <w:tc>
          <w:tcPr>
            <w:tcW w:w="3467"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буџетских корисника,</w:t>
            </w:r>
          </w:p>
          <w:p w:rsidR="00BC3CE6" w:rsidRDefault="009A2DE5">
            <w:pPr>
              <w:spacing w:after="150"/>
            </w:pPr>
            <w:r>
              <w:rPr>
                <w:color w:val="000000"/>
              </w:rPr>
              <w:t>увид у садржај донетих аката</w:t>
            </w:r>
          </w:p>
        </w:tc>
      </w:tr>
    </w:tbl>
    <w:p w:rsidR="00BC3CE6" w:rsidRDefault="009A2DE5">
      <w:pPr>
        <w:spacing w:after="150"/>
      </w:pPr>
      <w:r>
        <w:rPr>
          <w:color w:val="000000"/>
        </w:rPr>
        <w:t xml:space="preserve">Мера 4.4. Унапређени капацитети за креирање </w:t>
      </w:r>
      <w:r>
        <w:rPr>
          <w:color w:val="000000"/>
        </w:rPr>
        <w:t>родно одговорних ресорних јавних политика, анализу и праћење ефеката јавних политика на остваривање родне равноправности.</w:t>
      </w:r>
    </w:p>
    <w:p w:rsidR="00BC3CE6" w:rsidRDefault="009A2DE5">
      <w:pPr>
        <w:spacing w:after="150"/>
      </w:pPr>
      <w:r>
        <w:rPr>
          <w:color w:val="000000"/>
        </w:rPr>
        <w:t>Опис мере: Ова мера има за циљ да осигура препознавање и описивање родног јаза у свим ресорним политикама и родне аспекте у надлежност</w:t>
      </w:r>
      <w:r>
        <w:rPr>
          <w:color w:val="000000"/>
        </w:rPr>
        <w:t xml:space="preserve">има органа јавне власти, те створи претпоставке за креирање родно одговорних мера у тим ресорима. Ова мера укључује родно осетљиве анализе потреба, </w:t>
      </w:r>
      <w:r>
        <w:rPr>
          <w:i/>
          <w:color w:val="000000"/>
        </w:rPr>
        <w:t>еx-post</w:t>
      </w:r>
      <w:r>
        <w:rPr>
          <w:color w:val="000000"/>
        </w:rPr>
        <w:t xml:space="preserve"> и </w:t>
      </w:r>
      <w:r>
        <w:rPr>
          <w:i/>
          <w:color w:val="000000"/>
        </w:rPr>
        <w:t>ex-ante</w:t>
      </w:r>
      <w:r>
        <w:rPr>
          <w:color w:val="000000"/>
        </w:rPr>
        <w:t xml:space="preserve"> родне анализе мера, активности, политика и/или надлежности органа јавне власти. Ова мера, </w:t>
      </w:r>
      <w:r>
        <w:rPr>
          <w:color w:val="000000"/>
        </w:rPr>
        <w:t xml:space="preserve">даље, укључује обуке за израду </w:t>
      </w:r>
      <w:r>
        <w:rPr>
          <w:i/>
          <w:color w:val="000000"/>
        </w:rPr>
        <w:t>еx-post</w:t>
      </w:r>
      <w:r>
        <w:rPr>
          <w:color w:val="000000"/>
        </w:rPr>
        <w:t xml:space="preserve"> и </w:t>
      </w:r>
      <w:r>
        <w:rPr>
          <w:i/>
          <w:color w:val="000000"/>
        </w:rPr>
        <w:t>ex-ante</w:t>
      </w:r>
      <w:r>
        <w:rPr>
          <w:color w:val="000000"/>
        </w:rPr>
        <w:t xml:space="preserve"> родне анализе, израде приручника и смерница за све </w:t>
      </w:r>
      <w:r>
        <w:rPr>
          <w:color w:val="000000"/>
        </w:rPr>
        <w:lastRenderedPageBreak/>
        <w:t>органе јавне власти. Ова мера укључује и израду родно одговорних докумената јавних политика у свим ресорним политикама, а нарочито у онима које нису обухваћ</w:t>
      </w:r>
      <w:r>
        <w:rPr>
          <w:color w:val="000000"/>
        </w:rPr>
        <w:t>ене овом стратегијом, или где постоји потреба за посебном јавном политиком, као што су, на пример, следеће области: спорт, култура и информисање, младе жене и мушкарци, рударство и енергетика, информационе технологије, заштита животне средине, пољопривреда</w:t>
      </w:r>
      <w:r>
        <w:rPr>
          <w:color w:val="000000"/>
        </w:rPr>
        <w:t>, и све остале области.</w:t>
      </w:r>
    </w:p>
    <w:p w:rsidR="00BC3CE6" w:rsidRDefault="009A2DE5">
      <w:pPr>
        <w:spacing w:after="150"/>
      </w:pPr>
      <w:r>
        <w:rPr>
          <w:color w:val="000000"/>
        </w:rPr>
        <w:t>Ефекти мере: Ова мера допринеће препознавању и документовању родног јаза у ресорним политикама и допринети креирању родно одговорних мера у ресорним политикама, те родно одговорном планирању приоритета за финансирање. Ова мера допри</w:t>
      </w:r>
      <w:r>
        <w:rPr>
          <w:color w:val="000000"/>
        </w:rPr>
        <w:t>неће јачању родних компетенција код извршилаца који раде у одељењима/секторима за планирање јавних политика, праћење, и извештавање. Ова мера допринеће јачању родних компетенција свих запослених у органима јавне власти на свим нивоима.</w:t>
      </w:r>
    </w:p>
    <w:p w:rsidR="00BC3CE6" w:rsidRDefault="009A2DE5">
      <w:pPr>
        <w:spacing w:after="150"/>
      </w:pPr>
      <w:r>
        <w:rPr>
          <w:color w:val="000000"/>
        </w:rPr>
        <w:t>Институција надлежна</w:t>
      </w:r>
      <w:r>
        <w:rPr>
          <w:color w:val="000000"/>
        </w:rPr>
        <w:t xml:space="preserve"> за спровођење мере: Министарство за људска и мањинска права и друштвени дијалог.</w:t>
      </w:r>
    </w:p>
    <w:p w:rsidR="00BC3CE6" w:rsidRDefault="009A2DE5">
      <w:pPr>
        <w:spacing w:after="150"/>
      </w:pPr>
      <w:r>
        <w:rPr>
          <w:color w:val="000000"/>
        </w:rPr>
        <w:t>Институције учесници у спровођењу мере: Координационо тело за родну равноправност, Републички секретаријат за јавне политике, директни буџетски корисници, органи јавне власти</w:t>
      </w:r>
      <w:r>
        <w:rPr>
          <w:color w:val="000000"/>
        </w:rPr>
        <w:t>, НАЈУ, ЈЛС, покрајинске институције, академија, институти, ОЦД.</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7294"/>
        <w:gridCol w:w="1834"/>
      </w:tblGrid>
      <w:tr w:rsidR="00BC3CE6">
        <w:trPr>
          <w:trHeight w:val="45"/>
          <w:tblCellSpacing w:w="0" w:type="auto"/>
        </w:trPr>
        <w:tc>
          <w:tcPr>
            <w:tcW w:w="1308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Показатељи резултата 4.4</w:t>
            </w:r>
          </w:p>
        </w:tc>
        <w:tc>
          <w:tcPr>
            <w:tcW w:w="131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Извори верификације</w:t>
            </w:r>
          </w:p>
        </w:tc>
      </w:tr>
      <w:tr w:rsidR="00BC3CE6">
        <w:trPr>
          <w:trHeight w:val="45"/>
          <w:tblCellSpacing w:w="0" w:type="auto"/>
        </w:trPr>
        <w:tc>
          <w:tcPr>
            <w:tcW w:w="1308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4.4.1. Број донетих родно одговорних докумената јавних политика (нпр. планова)</w:t>
            </w:r>
          </w:p>
        </w:tc>
        <w:tc>
          <w:tcPr>
            <w:tcW w:w="131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о учинку буџетских корисника</w:t>
            </w:r>
          </w:p>
          <w:p w:rsidR="00BC3CE6" w:rsidRDefault="009A2DE5">
            <w:pPr>
              <w:spacing w:after="150"/>
            </w:pPr>
            <w:r>
              <w:rPr>
                <w:color w:val="000000"/>
              </w:rPr>
              <w:t xml:space="preserve">Извештаји о раду органа </w:t>
            </w:r>
            <w:r>
              <w:rPr>
                <w:color w:val="000000"/>
              </w:rPr>
              <w:t>јавне власти</w:t>
            </w:r>
          </w:p>
        </w:tc>
      </w:tr>
      <w:tr w:rsidR="00BC3CE6">
        <w:trPr>
          <w:trHeight w:val="45"/>
          <w:tblCellSpacing w:w="0" w:type="auto"/>
        </w:trPr>
        <w:tc>
          <w:tcPr>
            <w:tcW w:w="1308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4.4.2. Број спроведених родно осетљивих анализа потреба, </w:t>
            </w:r>
            <w:r>
              <w:rPr>
                <w:i/>
                <w:color w:val="000000"/>
              </w:rPr>
              <w:t>еx-post</w:t>
            </w:r>
            <w:r>
              <w:rPr>
                <w:color w:val="000000"/>
              </w:rPr>
              <w:t xml:space="preserve"> и </w:t>
            </w:r>
            <w:r>
              <w:rPr>
                <w:i/>
                <w:color w:val="000000"/>
              </w:rPr>
              <w:t>ex-ante</w:t>
            </w:r>
            <w:r>
              <w:rPr>
                <w:color w:val="000000"/>
              </w:rPr>
              <w:t xml:space="preserve"> родних анализа мера, активности, политика и/или надлежности органа јавне власти по ресорима и врстама јавне политике</w:t>
            </w:r>
          </w:p>
        </w:tc>
        <w:tc>
          <w:tcPr>
            <w:tcW w:w="131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о учинку буџетских корисника</w:t>
            </w:r>
          </w:p>
          <w:p w:rsidR="00BC3CE6" w:rsidRDefault="009A2DE5">
            <w:pPr>
              <w:spacing w:after="150"/>
            </w:pPr>
            <w:r>
              <w:rPr>
                <w:color w:val="000000"/>
              </w:rPr>
              <w:t>Извештаји о</w:t>
            </w:r>
            <w:r>
              <w:rPr>
                <w:color w:val="000000"/>
              </w:rPr>
              <w:t xml:space="preserve"> раду органа јавне власти</w:t>
            </w:r>
          </w:p>
        </w:tc>
      </w:tr>
      <w:tr w:rsidR="00BC3CE6">
        <w:trPr>
          <w:trHeight w:val="45"/>
          <w:tblCellSpacing w:w="0" w:type="auto"/>
        </w:trPr>
        <w:tc>
          <w:tcPr>
            <w:tcW w:w="1308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4.4.3. Број ресорних јавних политика које садрже родно одговорне мере</w:t>
            </w:r>
          </w:p>
        </w:tc>
        <w:tc>
          <w:tcPr>
            <w:tcW w:w="131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о учинку буџетских корисника</w:t>
            </w:r>
          </w:p>
          <w:p w:rsidR="00BC3CE6" w:rsidRDefault="009A2DE5">
            <w:pPr>
              <w:spacing w:after="150"/>
            </w:pPr>
            <w:r>
              <w:rPr>
                <w:color w:val="000000"/>
              </w:rPr>
              <w:lastRenderedPageBreak/>
              <w:t>Извештаји о раду органа јавне власти</w:t>
            </w:r>
          </w:p>
        </w:tc>
      </w:tr>
      <w:tr w:rsidR="00BC3CE6">
        <w:trPr>
          <w:trHeight w:val="45"/>
          <w:tblCellSpacing w:w="0" w:type="auto"/>
        </w:trPr>
        <w:tc>
          <w:tcPr>
            <w:tcW w:w="1308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lastRenderedPageBreak/>
              <w:t>4.4.4. Број обука и обучених за родно одговорно планирање ресорних политика</w:t>
            </w:r>
          </w:p>
        </w:tc>
        <w:tc>
          <w:tcPr>
            <w:tcW w:w="131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w:t>
            </w:r>
            <w:r>
              <w:rPr>
                <w:color w:val="000000"/>
              </w:rPr>
              <w:t>аји о учинку буџетских корисника</w:t>
            </w:r>
          </w:p>
          <w:p w:rsidR="00BC3CE6" w:rsidRDefault="009A2DE5">
            <w:pPr>
              <w:spacing w:after="150"/>
            </w:pPr>
            <w:r>
              <w:rPr>
                <w:color w:val="000000"/>
              </w:rPr>
              <w:t>Извештаји о раду органа јавне власти</w:t>
            </w:r>
          </w:p>
          <w:p w:rsidR="00BC3CE6" w:rsidRDefault="009A2DE5">
            <w:pPr>
              <w:spacing w:after="150"/>
            </w:pPr>
            <w:r>
              <w:rPr>
                <w:color w:val="000000"/>
              </w:rPr>
              <w:t>НАЈУ</w:t>
            </w:r>
          </w:p>
        </w:tc>
      </w:tr>
      <w:tr w:rsidR="00BC3CE6">
        <w:trPr>
          <w:trHeight w:val="45"/>
          <w:tblCellSpacing w:w="0" w:type="auto"/>
        </w:trPr>
        <w:tc>
          <w:tcPr>
            <w:tcW w:w="13084"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 xml:space="preserve">4.4.5. Број упутстава, смерница и водича за спровођење родно одговорних </w:t>
            </w:r>
            <w:r>
              <w:rPr>
                <w:i/>
                <w:color w:val="000000"/>
              </w:rPr>
              <w:t>еx-post</w:t>
            </w:r>
            <w:r>
              <w:rPr>
                <w:color w:val="000000"/>
              </w:rPr>
              <w:t xml:space="preserve"> и </w:t>
            </w:r>
            <w:r>
              <w:rPr>
                <w:i/>
                <w:color w:val="000000"/>
              </w:rPr>
              <w:t>ex-ante</w:t>
            </w:r>
            <w:r>
              <w:rPr>
                <w:color w:val="000000"/>
              </w:rPr>
              <w:t xml:space="preserve"> родне анализе мера</w:t>
            </w:r>
          </w:p>
        </w:tc>
        <w:tc>
          <w:tcPr>
            <w:tcW w:w="1316" w:type="dxa"/>
            <w:tcBorders>
              <w:top w:val="single" w:sz="8" w:space="0" w:color="000000"/>
              <w:left w:val="single" w:sz="8" w:space="0" w:color="000000"/>
              <w:bottom w:val="single" w:sz="8" w:space="0" w:color="000000"/>
              <w:right w:val="single" w:sz="8" w:space="0" w:color="000000"/>
            </w:tcBorders>
            <w:vAlign w:val="center"/>
          </w:tcPr>
          <w:p w:rsidR="00BC3CE6" w:rsidRDefault="009A2DE5">
            <w:pPr>
              <w:spacing w:after="150"/>
            </w:pPr>
            <w:r>
              <w:rPr>
                <w:color w:val="000000"/>
              </w:rPr>
              <w:t>Извештаји о учинку буџетских корисника</w:t>
            </w:r>
          </w:p>
          <w:p w:rsidR="00BC3CE6" w:rsidRDefault="009A2DE5">
            <w:pPr>
              <w:spacing w:after="150"/>
            </w:pPr>
            <w:r>
              <w:rPr>
                <w:color w:val="000000"/>
              </w:rPr>
              <w:t xml:space="preserve">Извештаји о раду органа јавне </w:t>
            </w:r>
            <w:r>
              <w:rPr>
                <w:color w:val="000000"/>
              </w:rPr>
              <w:t>власти</w:t>
            </w:r>
          </w:p>
          <w:p w:rsidR="00BC3CE6" w:rsidRDefault="009A2DE5">
            <w:pPr>
              <w:spacing w:after="150"/>
            </w:pPr>
            <w:r>
              <w:rPr>
                <w:color w:val="000000"/>
              </w:rPr>
              <w:t>НАЈУ</w:t>
            </w:r>
          </w:p>
        </w:tc>
      </w:tr>
    </w:tbl>
    <w:p w:rsidR="00BC3CE6" w:rsidRDefault="009A2DE5">
      <w:pPr>
        <w:spacing w:after="150"/>
        <w:jc w:val="both"/>
      </w:pPr>
      <w:r>
        <w:rPr>
          <w:i/>
          <w:color w:val="000000"/>
        </w:rPr>
        <w:t>––––––––</w:t>
      </w:r>
    </w:p>
    <w:p w:rsidR="00BC3CE6" w:rsidRDefault="009A2DE5">
      <w:pPr>
        <w:spacing w:after="150"/>
        <w:jc w:val="both"/>
      </w:pPr>
      <w:r>
        <w:rPr>
          <w:i/>
          <w:color w:val="000000"/>
        </w:rPr>
        <w:t>894 Базна вредност за идикатор и детаљан начин израчунавања ће се разрадити у оквиру првог акционог плана.</w:t>
      </w:r>
    </w:p>
    <w:p w:rsidR="00BC3CE6" w:rsidRDefault="009A2DE5">
      <w:pPr>
        <w:spacing w:after="150"/>
        <w:jc w:val="both"/>
      </w:pPr>
      <w:r>
        <w:rPr>
          <w:i/>
          <w:color w:val="000000"/>
        </w:rPr>
        <w:t>895 Секторима који расту по вишој стопи од просека економије (број привредних субјеката у претежној делатности, број запослених</w:t>
      </w:r>
      <w:r>
        <w:rPr>
          <w:i/>
          <w:color w:val="000000"/>
        </w:rPr>
        <w:t>, стопа профитабилности.</w:t>
      </w:r>
    </w:p>
    <w:p w:rsidR="00BC3CE6" w:rsidRDefault="009A2DE5">
      <w:pPr>
        <w:spacing w:after="120"/>
        <w:jc w:val="center"/>
      </w:pPr>
      <w:r>
        <w:rPr>
          <w:color w:val="000000"/>
        </w:rPr>
        <w:t>8. МЕХАНИЗАМ ЗА ПРАЋЕЊЕ И ЕВАЛУАЦИЈУ СПРОВОЂЕЊА СТРАТЕГИЈЕ ЗА РОДНУ РАВНОПРАВНОСТ И АКЦИОНИМ ПЛАНОВИМА ЗА ЊЕНО СПРОВОЂЕЊЕ</w:t>
      </w:r>
    </w:p>
    <w:p w:rsidR="00BC3CE6" w:rsidRDefault="009A2DE5">
      <w:pPr>
        <w:spacing w:after="150"/>
      </w:pPr>
      <w:r>
        <w:rPr>
          <w:color w:val="000000"/>
        </w:rPr>
        <w:t>Праћење активности предвиђених овом стратегијом поверено је:</w:t>
      </w:r>
    </w:p>
    <w:p w:rsidR="00BC3CE6" w:rsidRDefault="009A2DE5">
      <w:pPr>
        <w:spacing w:after="150"/>
      </w:pPr>
      <w:r>
        <w:rPr>
          <w:color w:val="000000"/>
        </w:rPr>
        <w:t>Влади, која у складу са својим надлежностима, ра</w:t>
      </w:r>
      <w:r>
        <w:rPr>
          <w:color w:val="000000"/>
        </w:rPr>
        <w:t>звија и води активну политику једнаких могућности у свим сферама друштвеног живота, којом се обезбеђује равноправно учешће жена и мушкараца у свим фазама планирања, припреме и спровођења одлука које утичу на положај жена и мушкараца, одређује мере које том</w:t>
      </w:r>
      <w:r>
        <w:rPr>
          <w:color w:val="000000"/>
        </w:rPr>
        <w:t>е доприносе и води рачуна о усаглашености политика и мера које се предузимају у области родне равноправности са међународним обавезама Републике Србије.</w:t>
      </w:r>
      <w:r>
        <w:rPr>
          <w:color w:val="000000"/>
          <w:vertAlign w:val="superscript"/>
        </w:rPr>
        <w:t>896</w:t>
      </w:r>
    </w:p>
    <w:p w:rsidR="00BC3CE6" w:rsidRDefault="009A2DE5">
      <w:pPr>
        <w:spacing w:after="150"/>
      </w:pPr>
      <w:r>
        <w:rPr>
          <w:color w:val="000000"/>
        </w:rPr>
        <w:t>У оквиру Владе ове активности обављају:</w:t>
      </w:r>
    </w:p>
    <w:p w:rsidR="00BC3CE6" w:rsidRDefault="009A2DE5">
      <w:pPr>
        <w:spacing w:after="150"/>
      </w:pPr>
      <w:r>
        <w:rPr>
          <w:color w:val="000000"/>
        </w:rPr>
        <w:t>Координационо тело за родну равноправност</w:t>
      </w:r>
      <w:r>
        <w:rPr>
          <w:color w:val="000000"/>
          <w:vertAlign w:val="superscript"/>
        </w:rPr>
        <w:t>897</w:t>
      </w:r>
      <w:r>
        <w:rPr>
          <w:color w:val="000000"/>
        </w:rPr>
        <w:t xml:space="preserve"> као стално радн</w:t>
      </w:r>
      <w:r>
        <w:rPr>
          <w:color w:val="000000"/>
        </w:rPr>
        <w:t xml:space="preserve">о тело Владе које координира рад органа државне управе у вези са родном </w:t>
      </w:r>
      <w:r>
        <w:rPr>
          <w:color w:val="000000"/>
        </w:rPr>
        <w:lastRenderedPageBreak/>
        <w:t xml:space="preserve">равноправношћу (хоризонтална координација), рад и активности институционалних механизама РР на различитим нивоима организације власти (вертикална координација), као и све активности у </w:t>
      </w:r>
      <w:r>
        <w:rPr>
          <w:color w:val="000000"/>
        </w:rPr>
        <w:t>вези са праћењем примене и извештавањем о реализацији ове стратегије.</w:t>
      </w:r>
    </w:p>
    <w:p w:rsidR="00BC3CE6" w:rsidRDefault="009A2DE5">
      <w:pPr>
        <w:spacing w:after="150"/>
      </w:pPr>
      <w:r>
        <w:rPr>
          <w:color w:val="000000"/>
        </w:rPr>
        <w:t>Савет за родну равноправност као саветодавно тело Владе.</w:t>
      </w:r>
      <w:r>
        <w:rPr>
          <w:color w:val="000000"/>
          <w:vertAlign w:val="superscript"/>
        </w:rPr>
        <w:t>898</w:t>
      </w:r>
    </w:p>
    <w:p w:rsidR="00BC3CE6" w:rsidRDefault="009A2DE5">
      <w:pPr>
        <w:spacing w:after="150"/>
      </w:pPr>
      <w:r>
        <w:rPr>
          <w:color w:val="000000"/>
        </w:rPr>
        <w:t>Министарство за људска и мањинска права и друштвени дијалог</w:t>
      </w:r>
      <w:r>
        <w:rPr>
          <w:color w:val="000000"/>
          <w:vertAlign w:val="superscript"/>
        </w:rPr>
        <w:t>899</w:t>
      </w:r>
      <w:r>
        <w:rPr>
          <w:color w:val="000000"/>
        </w:rPr>
        <w:t xml:space="preserve"> (односно министарство или други орган у оквиру извршне власти н</w:t>
      </w:r>
      <w:r>
        <w:rPr>
          <w:color w:val="000000"/>
        </w:rPr>
        <w:t>адлежан за родну равноправност) као посебан ресор у Влади у чијој надлежности је родна равноправност и дискриминација, које располаже инструментима праћења и надзора над применом прописа и стратегија релевантних за ову област, извештава о стању у овој обла</w:t>
      </w:r>
      <w:r>
        <w:rPr>
          <w:color w:val="000000"/>
        </w:rPr>
        <w:t>сти и одговорно је за стање у овој области. Ове активности поверавају се организационим јединицама које формира Министарство својим актом о унутрашњој организацији.</w:t>
      </w:r>
    </w:p>
    <w:p w:rsidR="00BC3CE6" w:rsidRDefault="009A2DE5">
      <w:pPr>
        <w:spacing w:after="150"/>
      </w:pPr>
      <w:r>
        <w:rPr>
          <w:color w:val="000000"/>
        </w:rPr>
        <w:t>У реализацији, праћењу примене, као и извештавању о овој стратегији и АП-у за њено спровође</w:t>
      </w:r>
      <w:r>
        <w:rPr>
          <w:color w:val="000000"/>
        </w:rPr>
        <w:t>ње суделују и други механизми РР:</w:t>
      </w:r>
    </w:p>
    <w:p w:rsidR="00BC3CE6" w:rsidRDefault="009A2DE5">
      <w:pPr>
        <w:spacing w:after="150"/>
      </w:pPr>
      <w:r>
        <w:rPr>
          <w:color w:val="000000"/>
        </w:rPr>
        <w:t>Радна тела у скупштинама на свим нивоима власти (одбори на републичком и покрајинском нивоу и комисије на локалном нивоу).</w:t>
      </w:r>
    </w:p>
    <w:p w:rsidR="00BC3CE6" w:rsidRDefault="009A2DE5">
      <w:pPr>
        <w:spacing w:after="150"/>
      </w:pPr>
      <w:r>
        <w:rPr>
          <w:color w:val="000000"/>
        </w:rPr>
        <w:t xml:space="preserve">Министарства, органи државне управе и други органи јавне власти који, у областима за које су </w:t>
      </w:r>
      <w:r>
        <w:rPr>
          <w:color w:val="000000"/>
        </w:rPr>
        <w:t>надлежни, укључују родну равноправност у секторске политике, буџет, законе и друге прописе и предузимају активности а посебно у областима у којима спроводе посебне мере за унапређење родне равноправности.</w:t>
      </w:r>
      <w:r>
        <w:rPr>
          <w:color w:val="000000"/>
          <w:vertAlign w:val="superscript"/>
        </w:rPr>
        <w:t>900</w:t>
      </w:r>
    </w:p>
    <w:p w:rsidR="00BC3CE6" w:rsidRDefault="009A2DE5">
      <w:pPr>
        <w:spacing w:after="150"/>
      </w:pPr>
      <w:r>
        <w:rPr>
          <w:color w:val="000000"/>
        </w:rPr>
        <w:t>Координационо тело за родну равноправност Покрај</w:t>
      </w:r>
      <w:r>
        <w:rPr>
          <w:color w:val="000000"/>
        </w:rPr>
        <w:t>инске владе</w:t>
      </w:r>
      <w:r>
        <w:rPr>
          <w:color w:val="000000"/>
          <w:vertAlign w:val="superscript"/>
        </w:rPr>
        <w:t>901</w:t>
      </w:r>
      <w:r>
        <w:rPr>
          <w:color w:val="000000"/>
        </w:rPr>
        <w:t xml:space="preserve"> које, у оквиру надлежности АПВ, координише активности везане за родну равноправност, као и Савет за родну равноправност као саветодавно тело Покрајинске владе.</w:t>
      </w:r>
      <w:r>
        <w:rPr>
          <w:color w:val="000000"/>
          <w:vertAlign w:val="superscript"/>
        </w:rPr>
        <w:t>902</w:t>
      </w:r>
    </w:p>
    <w:p w:rsidR="00BC3CE6" w:rsidRDefault="009A2DE5">
      <w:pPr>
        <w:spacing w:after="150"/>
      </w:pPr>
      <w:r>
        <w:rPr>
          <w:color w:val="000000"/>
        </w:rPr>
        <w:t>Савети за родну равноправност који се формирају у органима управе у ЈЛС.</w:t>
      </w:r>
      <w:r>
        <w:rPr>
          <w:color w:val="000000"/>
          <w:vertAlign w:val="superscript"/>
        </w:rPr>
        <w:t>903</w:t>
      </w:r>
    </w:p>
    <w:p w:rsidR="00BC3CE6" w:rsidRDefault="009A2DE5">
      <w:pPr>
        <w:spacing w:after="150"/>
      </w:pPr>
      <w:r>
        <w:rPr>
          <w:color w:val="000000"/>
        </w:rPr>
        <w:t>Ли</w:t>
      </w:r>
      <w:r>
        <w:rPr>
          <w:color w:val="000000"/>
        </w:rPr>
        <w:t>ца задужена за родну равноправност у органима јавне власти који имају више од 50 запослених и радно ангажованих лица, која прате стање у области родне равноправности, иницирају и предлажу мере за унапређење родне равноправности.</w:t>
      </w:r>
    </w:p>
    <w:p w:rsidR="00BC3CE6" w:rsidRDefault="009A2DE5">
      <w:pPr>
        <w:spacing w:after="150"/>
      </w:pPr>
      <w:r>
        <w:rPr>
          <w:color w:val="000000"/>
        </w:rPr>
        <w:t>Независни механизми заштите</w:t>
      </w:r>
      <w:r>
        <w:rPr>
          <w:color w:val="000000"/>
        </w:rPr>
        <w:t xml:space="preserve"> људских права и заштите од дискриминације укључују Повереника за заштиту равноправности</w:t>
      </w:r>
      <w:r>
        <w:rPr>
          <w:color w:val="000000"/>
          <w:vertAlign w:val="superscript"/>
        </w:rPr>
        <w:t>904</w:t>
      </w:r>
      <w:r>
        <w:rPr>
          <w:color w:val="000000"/>
        </w:rPr>
        <w:t xml:space="preserve"> који пружа заштиту од дискриминације укључујући и родно засновану дискриминацију и Заштитника грађана</w:t>
      </w:r>
      <w:r>
        <w:rPr>
          <w:color w:val="000000"/>
          <w:vertAlign w:val="superscript"/>
        </w:rPr>
        <w:t>905</w:t>
      </w:r>
      <w:r>
        <w:rPr>
          <w:color w:val="000000"/>
        </w:rPr>
        <w:t xml:space="preserve">, који штити права грађана/ки, контролише рад органа управе </w:t>
      </w:r>
      <w:r>
        <w:rPr>
          <w:color w:val="000000"/>
        </w:rPr>
        <w:t>и стара се о заштити и унапређењу људских и мањинских слобода и права, Покрајинског заштитника грађана–омбудсмана као и омбудсмане у ЈЛС.</w:t>
      </w:r>
    </w:p>
    <w:p w:rsidR="00BC3CE6" w:rsidRDefault="009A2DE5">
      <w:pPr>
        <w:spacing w:after="150"/>
      </w:pPr>
      <w:r>
        <w:rPr>
          <w:color w:val="000000"/>
        </w:rPr>
        <w:lastRenderedPageBreak/>
        <w:t>Поред тога, у примени и праћењу реализације активности утврђених у овој стратегији и АП за њено спровођење учествују и</w:t>
      </w:r>
      <w:r>
        <w:rPr>
          <w:color w:val="000000"/>
        </w:rPr>
        <w:t xml:space="preserve"> ОЦД у складу са својом мисијом.</w:t>
      </w:r>
    </w:p>
    <w:p w:rsidR="00BC3CE6" w:rsidRDefault="009A2DE5">
      <w:pPr>
        <w:spacing w:after="150"/>
        <w:jc w:val="both"/>
      </w:pPr>
      <w:r>
        <w:rPr>
          <w:i/>
          <w:color w:val="000000"/>
        </w:rPr>
        <w:t>––––––––</w:t>
      </w:r>
    </w:p>
    <w:p w:rsidR="00BC3CE6" w:rsidRDefault="009A2DE5">
      <w:pPr>
        <w:spacing w:after="150"/>
        <w:jc w:val="both"/>
      </w:pPr>
      <w:r>
        <w:rPr>
          <w:i/>
          <w:color w:val="000000"/>
        </w:rPr>
        <w:t>896 Чланови 122. и 123. Устава РС, Члан 1. Закона о Влади, „Службени гласник РС”, бр. 55/05, 71/05 – исправка, 101/07, 65/08, 16/11, 68/12 – УС, 72/12, 7/14 – УС и 30/18, Члан 60. Закона о родној равноправности.</w:t>
      </w:r>
    </w:p>
    <w:p w:rsidR="00BC3CE6" w:rsidRDefault="009A2DE5">
      <w:pPr>
        <w:spacing w:after="150"/>
        <w:jc w:val="both"/>
      </w:pPr>
      <w:r>
        <w:rPr>
          <w:i/>
          <w:color w:val="000000"/>
        </w:rPr>
        <w:t>89</w:t>
      </w:r>
      <w:r>
        <w:rPr>
          <w:i/>
          <w:color w:val="000000"/>
        </w:rPr>
        <w:t>7 Члан 60. став 1. тачка 5. Закона о родној равноправности.</w:t>
      </w:r>
    </w:p>
    <w:p w:rsidR="00BC3CE6" w:rsidRDefault="009A2DE5">
      <w:pPr>
        <w:spacing w:after="150"/>
        <w:jc w:val="both"/>
      </w:pPr>
      <w:r>
        <w:rPr>
          <w:i/>
          <w:color w:val="000000"/>
        </w:rPr>
        <w:t>898 Члан 60. став 1. тачка 5. Закона о родној равноправности.</w:t>
      </w:r>
    </w:p>
    <w:p w:rsidR="00BC3CE6" w:rsidRDefault="009A2DE5">
      <w:pPr>
        <w:spacing w:after="150"/>
        <w:jc w:val="both"/>
      </w:pPr>
      <w:r>
        <w:rPr>
          <w:i/>
          <w:color w:val="000000"/>
        </w:rPr>
        <w:t>899 Министарство за људска и мањинска права и друштвени дијалог је у моменту усвајања ове Стратегије надлежно за област родне равнопра</w:t>
      </w:r>
      <w:r>
        <w:rPr>
          <w:i/>
          <w:color w:val="000000"/>
        </w:rPr>
        <w:t>вности. Ова стратегија доноси се за наредних 10 година. У том периоду могуће је да надлежност коју сада обавља Министарство за људска и мањинска права и друштвени дијалог буду поверена неком другом министарству односно органу праве. У свим деловима стратег</w:t>
      </w:r>
      <w:r>
        <w:rPr>
          <w:i/>
          <w:color w:val="000000"/>
        </w:rPr>
        <w:t>ије у којима се експлицитно помиње Министарство за људска и мањинска права и друштвени дијалог треба имати у виду да те надлежности прелазе на односно министарство или други орган у оквиру извршне власти надлежан за родну равноправност.</w:t>
      </w:r>
    </w:p>
    <w:p w:rsidR="00BC3CE6" w:rsidRDefault="009A2DE5">
      <w:pPr>
        <w:spacing w:after="150"/>
        <w:jc w:val="both"/>
      </w:pPr>
      <w:r>
        <w:rPr>
          <w:i/>
          <w:color w:val="000000"/>
        </w:rPr>
        <w:t>900 Члан 61. Закона</w:t>
      </w:r>
      <w:r>
        <w:rPr>
          <w:i/>
          <w:color w:val="000000"/>
        </w:rPr>
        <w:t xml:space="preserve"> о родној равноправности.</w:t>
      </w:r>
    </w:p>
    <w:p w:rsidR="00BC3CE6" w:rsidRDefault="009A2DE5">
      <w:pPr>
        <w:spacing w:after="150"/>
        <w:jc w:val="both"/>
      </w:pPr>
      <w:r>
        <w:rPr>
          <w:i/>
          <w:color w:val="000000"/>
        </w:rPr>
        <w:t>901 Члан 62. став 3. тачка 1. Закона о родној равноправности.</w:t>
      </w:r>
    </w:p>
    <w:p w:rsidR="00BC3CE6" w:rsidRDefault="009A2DE5">
      <w:pPr>
        <w:spacing w:after="150"/>
        <w:jc w:val="both"/>
      </w:pPr>
      <w:r>
        <w:rPr>
          <w:i/>
          <w:color w:val="000000"/>
        </w:rPr>
        <w:t>902 Члан 62. став 3. тачка 2. Закона о родној равноправности.</w:t>
      </w:r>
    </w:p>
    <w:p w:rsidR="00BC3CE6" w:rsidRDefault="009A2DE5">
      <w:pPr>
        <w:spacing w:after="150"/>
        <w:jc w:val="both"/>
      </w:pPr>
      <w:r>
        <w:rPr>
          <w:i/>
          <w:color w:val="000000"/>
        </w:rPr>
        <w:t>903 Члан 63. Закона о родној равноправности.</w:t>
      </w:r>
    </w:p>
    <w:p w:rsidR="00BC3CE6" w:rsidRDefault="009A2DE5">
      <w:pPr>
        <w:spacing w:after="150"/>
        <w:jc w:val="both"/>
      </w:pPr>
      <w:r>
        <w:rPr>
          <w:i/>
          <w:color w:val="000000"/>
        </w:rPr>
        <w:t>904 Чланови 122. и 123. Устава РС, члан 1. Закона о Влади, „С</w:t>
      </w:r>
      <w:r>
        <w:rPr>
          <w:i/>
          <w:color w:val="000000"/>
        </w:rPr>
        <w:t>лужбени гласник РС”, бр. 55/05, 71/05 – исправка, 101/07, 65/08, 16/11, 68/12 – УС, 72/12, 7/14 – УС и 30/18.</w:t>
      </w:r>
    </w:p>
    <w:p w:rsidR="00BC3CE6" w:rsidRDefault="009A2DE5">
      <w:pPr>
        <w:spacing w:after="150"/>
        <w:jc w:val="both"/>
      </w:pPr>
      <w:r>
        <w:rPr>
          <w:i/>
          <w:color w:val="000000"/>
        </w:rPr>
        <w:t>Члан 1. став 2. Закона о родној равноправности, „Службени гласник РС”, број 22/09.</w:t>
      </w:r>
    </w:p>
    <w:p w:rsidR="00BC3CE6" w:rsidRDefault="009A2DE5">
      <w:pPr>
        <w:spacing w:after="150"/>
        <w:jc w:val="both"/>
      </w:pPr>
      <w:r>
        <w:rPr>
          <w:i/>
          <w:color w:val="000000"/>
        </w:rPr>
        <w:t>905 Члан 1. ст. 1. и 2. Закона, „Службени гласник РС”, бр. 79/0</w:t>
      </w:r>
      <w:r>
        <w:rPr>
          <w:i/>
          <w:color w:val="000000"/>
        </w:rPr>
        <w:t>5 и 54/07. </w:t>
      </w:r>
    </w:p>
    <w:p w:rsidR="00BC3CE6" w:rsidRDefault="009A2DE5">
      <w:pPr>
        <w:spacing w:after="120"/>
        <w:jc w:val="center"/>
      </w:pPr>
      <w:r>
        <w:rPr>
          <w:color w:val="000000"/>
        </w:rPr>
        <w:t>9. ПРАЋЕЊЕ И ЕВАЛУАЦИЈА СПРОВОЂЕЊА СТРАТЕГИЈЕ</w:t>
      </w:r>
    </w:p>
    <w:p w:rsidR="00BC3CE6" w:rsidRDefault="009A2DE5">
      <w:pPr>
        <w:spacing w:after="150"/>
      </w:pPr>
      <w:r>
        <w:rPr>
          <w:color w:val="000000"/>
        </w:rPr>
        <w:t>Координисање, праћење и евалуацију планираних мера и активности на унапређењу родне равноправности треба поверити Координацином телу за родну равноправност. Ово тело делује у оквиру Владе као стално</w:t>
      </w:r>
      <w:r>
        <w:rPr>
          <w:color w:val="000000"/>
        </w:rPr>
        <w:t xml:space="preserve"> радно тело, што омогућује мултисекторску координацију међу различитим министарствима, што је у овој мултисекторској области изузетно значајно (хоризонтална координација) као и координацију активности механизама РР на другим нивоима власти (вертикална коор</w:t>
      </w:r>
      <w:r>
        <w:rPr>
          <w:color w:val="000000"/>
        </w:rPr>
        <w:t>динација). КТРР сарађује и са Саветом за родну равноправност као саветодавним телом Владе, у чији састав улазе и представници ОЦД.</w:t>
      </w:r>
      <w:r>
        <w:rPr>
          <w:color w:val="000000"/>
          <w:vertAlign w:val="superscript"/>
        </w:rPr>
        <w:t>906</w:t>
      </w:r>
    </w:p>
    <w:p w:rsidR="00BC3CE6" w:rsidRDefault="009A2DE5">
      <w:pPr>
        <w:spacing w:after="150"/>
      </w:pPr>
      <w:r>
        <w:rPr>
          <w:color w:val="000000"/>
        </w:rPr>
        <w:lastRenderedPageBreak/>
        <w:t>Као облике деловања, КТРР формираће посебну групу за праћење примене ове стратегије и АП-а за њено спровођење. Поред тога,</w:t>
      </w:r>
      <w:r>
        <w:rPr>
          <w:color w:val="000000"/>
        </w:rPr>
        <w:t xml:space="preserve"> треба предвидети могућност формирања посебних група (одбор, секција, оперативна/експертска радна група) које образује КТРР за поједине области за које је потребно добро познавање области за коју се група формира, које би својим стручним и експертским знањ</w:t>
      </w:r>
      <w:r>
        <w:rPr>
          <w:color w:val="000000"/>
        </w:rPr>
        <w:t>ем помагале КТРР у остваривању координације и евалуацији ове стратегије.</w:t>
      </w:r>
    </w:p>
    <w:p w:rsidR="00BC3CE6" w:rsidRDefault="009A2DE5">
      <w:pPr>
        <w:spacing w:after="150"/>
      </w:pPr>
      <w:r>
        <w:rPr>
          <w:color w:val="000000"/>
        </w:rPr>
        <w:t>Динамика остваривања мера биће дефинисана кроз акционе планове. Први АП за спровођење Стратегије биће донет за период 2021–2023. године. У складу са чланом 43. Закона о планском систе</w:t>
      </w:r>
      <w:r>
        <w:rPr>
          <w:color w:val="000000"/>
        </w:rPr>
        <w:t xml:space="preserve">му, Министарство за људска и мањинска права и друштвени дијалог припремиће </w:t>
      </w:r>
      <w:r>
        <w:rPr>
          <w:i/>
          <w:color w:val="000000"/>
        </w:rPr>
        <w:t>ex-post</w:t>
      </w:r>
      <w:r>
        <w:rPr>
          <w:color w:val="000000"/>
        </w:rPr>
        <w:t xml:space="preserve"> анализу и извештај о резултатима спровођења Акционог плана за период 2021–2023. године у року од 60 дана по истеку сваке календарске године. За сваки од АП који ће бити усво</w:t>
      </w:r>
      <w:r>
        <w:rPr>
          <w:color w:val="000000"/>
        </w:rPr>
        <w:t xml:space="preserve">јени у току целокупног периода за који се у доноси ова стратегија (2021–2030), Министарство, односно орган управе надлежан за родну равноправност, припремиће </w:t>
      </w:r>
      <w:r>
        <w:rPr>
          <w:i/>
          <w:color w:val="000000"/>
        </w:rPr>
        <w:t>ex-post</w:t>
      </w:r>
      <w:r>
        <w:rPr>
          <w:color w:val="000000"/>
        </w:rPr>
        <w:t xml:space="preserve"> анализу и извештај о резултатима спровођења сваког од наредних АП-ова, у року од 60 дана п</w:t>
      </w:r>
      <w:r>
        <w:rPr>
          <w:color w:val="000000"/>
        </w:rPr>
        <w:t>о истеку сваке календарске године од дана усвајања АП. Рад на припреми сваког наредног АП треба започети благовремено, а најкасније шест месеци пре истека текућег АП, а годишњи извештаји о спровођењу АП служе као ослонац за припрему наредног АП. Након чети</w:t>
      </w:r>
      <w:r>
        <w:rPr>
          <w:color w:val="000000"/>
        </w:rPr>
        <w:t xml:space="preserve">ри године (2025. године) од усвајања првог АП, Министарство, односно орган управе надлежан за родну равноправност, припремиће и посебну </w:t>
      </w:r>
      <w:r>
        <w:rPr>
          <w:i/>
          <w:color w:val="000000"/>
        </w:rPr>
        <w:t>ex-post</w:t>
      </w:r>
      <w:r>
        <w:rPr>
          <w:color w:val="000000"/>
        </w:rPr>
        <w:t xml:space="preserve"> анализу и евалуацију примене до тада усвојених АП-ова како би се сагледало стање у области родне равноправности </w:t>
      </w:r>
      <w:r>
        <w:rPr>
          <w:color w:val="000000"/>
        </w:rPr>
        <w:t xml:space="preserve">и ефекти примене АП. Министарство, односно орган управе надлежан за родну равноправност, припремиће финалну </w:t>
      </w:r>
      <w:r>
        <w:rPr>
          <w:i/>
          <w:color w:val="000000"/>
        </w:rPr>
        <w:t>ex-post</w:t>
      </w:r>
      <w:r>
        <w:rPr>
          <w:color w:val="000000"/>
        </w:rPr>
        <w:t xml:space="preserve"> анализу, извештај и евалуацију ове стратегије, и АП-ова за њену примену најкасније шест месеци након истека периода за који акциони планови </w:t>
      </w:r>
      <w:r>
        <w:rPr>
          <w:color w:val="000000"/>
        </w:rPr>
        <w:t>за њену примену доносе.</w:t>
      </w:r>
    </w:p>
    <w:p w:rsidR="00BC3CE6" w:rsidRDefault="009A2DE5">
      <w:pPr>
        <w:spacing w:after="150"/>
      </w:pPr>
      <w:r>
        <w:rPr>
          <w:color w:val="000000"/>
        </w:rPr>
        <w:t>Министарство финансија, Покрајински секретаријат за финансије и орган ЈЛС надлежан за финансије одговорни су за припрему консолидованих информација о свим средствима издвојеним за родну равноправност и спровођење ове стратегије и ак</w:t>
      </w:r>
      <w:r>
        <w:rPr>
          <w:color w:val="000000"/>
        </w:rPr>
        <w:t>ционих планова за њено спровођење, на транспарентан и лако доступан начин.</w:t>
      </w:r>
    </w:p>
    <w:p w:rsidR="00BC3CE6" w:rsidRDefault="009A2DE5">
      <w:pPr>
        <w:spacing w:after="150"/>
        <w:jc w:val="both"/>
      </w:pPr>
      <w:r>
        <w:rPr>
          <w:i/>
          <w:color w:val="000000"/>
        </w:rPr>
        <w:t>––––––––</w:t>
      </w:r>
    </w:p>
    <w:p w:rsidR="00BC3CE6" w:rsidRDefault="009A2DE5">
      <w:pPr>
        <w:spacing w:after="150"/>
        <w:jc w:val="both"/>
      </w:pPr>
      <w:r>
        <w:rPr>
          <w:i/>
          <w:color w:val="000000"/>
        </w:rPr>
        <w:t>906 Члан 60. став 1. тачка 5. Закона о родној равноправности.</w:t>
      </w:r>
    </w:p>
    <w:p w:rsidR="00BC3CE6" w:rsidRDefault="009A2DE5">
      <w:pPr>
        <w:spacing w:after="120"/>
        <w:jc w:val="center"/>
      </w:pPr>
      <w:r>
        <w:rPr>
          <w:color w:val="000000"/>
        </w:rPr>
        <w:t>10. ПРОЦЕНА ФИНАНСИЈСКИХ СРЕДСТАВА ПОТРЕБНИХ ЗА СПРОВОЂЕЊЕ СТРАТЕГИЈЕ И АНАЛИЗА ФИНАНСИЈСКИХ ЕФЕКАТА</w:t>
      </w:r>
    </w:p>
    <w:p w:rsidR="00BC3CE6" w:rsidRDefault="009A2DE5">
      <w:pPr>
        <w:spacing w:after="150"/>
      </w:pPr>
      <w:r>
        <w:rPr>
          <w:color w:val="000000"/>
        </w:rPr>
        <w:t xml:space="preserve">Средства </w:t>
      </w:r>
      <w:r>
        <w:rPr>
          <w:color w:val="000000"/>
        </w:rPr>
        <w:t xml:space="preserve">за спровођење ове стратегије обезбеђиваће се из различитих извора, и то: из националног буџета, из средстава намењених унапређењу родне равноправности опредељених у буџету АПВ и буџета ЈЛС, из </w:t>
      </w:r>
      <w:r>
        <w:rPr>
          <w:color w:val="000000"/>
        </w:rPr>
        <w:lastRenderedPageBreak/>
        <w:t xml:space="preserve">средстава донатора, односно путем програма и пројеката који ће </w:t>
      </w:r>
      <w:r>
        <w:rPr>
          <w:color w:val="000000"/>
        </w:rPr>
        <w:t>се усвојити и реализовати на основу ове стратегије и њеног акционог плана.</w:t>
      </w:r>
    </w:p>
    <w:p w:rsidR="00BC3CE6" w:rsidRDefault="009A2DE5">
      <w:pPr>
        <w:spacing w:after="150"/>
      </w:pPr>
      <w:r>
        <w:rPr>
          <w:color w:val="000000"/>
        </w:rPr>
        <w:t>Сва средства предвиђена за реализацију активности у пратећем акционом плану за 2021. и 2023. годину, као и онима који ће бити припремљени за период до 2030. године, планирана су у о</w:t>
      </w:r>
      <w:r>
        <w:rPr>
          <w:color w:val="000000"/>
        </w:rPr>
        <w:t>квиру буџета релевантних и надлежних министарстава, буџетских корисника, у националном буџету, као и у буџетима АПВ и локалних самоуправа.</w:t>
      </w:r>
    </w:p>
    <w:p w:rsidR="00BC3CE6" w:rsidRDefault="009A2DE5">
      <w:pPr>
        <w:spacing w:after="150"/>
      </w:pPr>
      <w:r>
        <w:rPr>
          <w:color w:val="000000"/>
        </w:rPr>
        <w:t xml:space="preserve">За одређени број мера за које су трошкови процењени, али средства нису јасно опредељена, те ће се након усвајања ове </w:t>
      </w:r>
      <w:r>
        <w:rPr>
          <w:color w:val="000000"/>
        </w:rPr>
        <w:t>стратегије и припадајућег АП приступити даљем планирању извора финансирања ових мера. У спровођењу овог документа држава ће се у потпуности ослонити на сопствена средства, у циљу прихватања финансијске одговорности и власништва над овим документом јавне по</w:t>
      </w:r>
      <w:r>
        <w:rPr>
          <w:color w:val="000000"/>
        </w:rPr>
        <w:t>литике.</w:t>
      </w:r>
    </w:p>
    <w:p w:rsidR="00BC3CE6" w:rsidRDefault="009A2DE5">
      <w:pPr>
        <w:spacing w:after="150"/>
      </w:pPr>
      <w:r>
        <w:rPr>
          <w:color w:val="000000"/>
        </w:rPr>
        <w:t>Имплементација мера предвиђених овом стратегијом и првим двогодишњим акционим планом неће имати утицаја на међународне финансијске обавезе државе, зато што никакво задуживање није планирано.</w:t>
      </w:r>
    </w:p>
    <w:p w:rsidR="00BC3CE6" w:rsidRDefault="009A2DE5">
      <w:pPr>
        <w:spacing w:after="120"/>
        <w:jc w:val="center"/>
      </w:pPr>
      <w:r>
        <w:rPr>
          <w:color w:val="000000"/>
        </w:rPr>
        <w:t>11. АКЦИОНИ ПЛАН</w:t>
      </w:r>
    </w:p>
    <w:p w:rsidR="00BC3CE6" w:rsidRDefault="009A2DE5">
      <w:pPr>
        <w:spacing w:after="150"/>
      </w:pPr>
      <w:r>
        <w:rPr>
          <w:color w:val="000000"/>
        </w:rPr>
        <w:t>Први акциони план за спровођење Стратеги</w:t>
      </w:r>
      <w:r>
        <w:rPr>
          <w:color w:val="000000"/>
        </w:rPr>
        <w:t>је за период од 2021. до 2023. године донеће се у року од 90 дана од дана усвајања ове стратегије.</w:t>
      </w:r>
    </w:p>
    <w:p w:rsidR="00BC3CE6" w:rsidRDefault="009A2DE5">
      <w:pPr>
        <w:spacing w:after="120"/>
        <w:jc w:val="center"/>
      </w:pPr>
      <w:r>
        <w:rPr>
          <w:color w:val="000000"/>
        </w:rPr>
        <w:t>12. ЗАВРШНЕ ОДРЕДБЕ</w:t>
      </w:r>
    </w:p>
    <w:p w:rsidR="00BC3CE6" w:rsidRDefault="009A2DE5">
      <w:pPr>
        <w:spacing w:after="150"/>
      </w:pPr>
      <w:r>
        <w:rPr>
          <w:color w:val="000000"/>
        </w:rPr>
        <w:t>Ову стратегију објавити на интернет страници Владе, интернет страници Министарства за људска и мањинска права и друштвени дијалог и порта</w:t>
      </w:r>
      <w:r>
        <w:rPr>
          <w:color w:val="000000"/>
        </w:rPr>
        <w:t>лу еУправа, у року од седам радних дана од дана усвајања.</w:t>
      </w:r>
    </w:p>
    <w:p w:rsidR="00BC3CE6" w:rsidRDefault="009A2DE5">
      <w:pPr>
        <w:spacing w:after="150"/>
      </w:pPr>
      <w:r>
        <w:rPr>
          <w:color w:val="000000"/>
        </w:rPr>
        <w:t>Ову стратегију објавити у „Службеном гласнику Републике Србије”.</w:t>
      </w:r>
    </w:p>
    <w:p w:rsidR="00BC3CE6" w:rsidRDefault="009A2DE5">
      <w:pPr>
        <w:spacing w:after="150"/>
        <w:jc w:val="right"/>
      </w:pPr>
      <w:r>
        <w:rPr>
          <w:color w:val="000000"/>
        </w:rPr>
        <w:t>05 број 021-9503/2021</w:t>
      </w:r>
    </w:p>
    <w:p w:rsidR="00BC3CE6" w:rsidRDefault="009A2DE5">
      <w:pPr>
        <w:spacing w:after="150"/>
        <w:jc w:val="right"/>
      </w:pPr>
      <w:r>
        <w:rPr>
          <w:color w:val="000000"/>
        </w:rPr>
        <w:t>У Београду, 14. октобра 2021. године</w:t>
      </w:r>
    </w:p>
    <w:p w:rsidR="00BC3CE6" w:rsidRDefault="009A2DE5">
      <w:pPr>
        <w:spacing w:after="150"/>
        <w:jc w:val="right"/>
      </w:pPr>
      <w:r>
        <w:rPr>
          <w:b/>
          <w:color w:val="000000"/>
        </w:rPr>
        <w:t>Влада</w:t>
      </w:r>
    </w:p>
    <w:p w:rsidR="00BC3CE6" w:rsidRDefault="009A2DE5">
      <w:pPr>
        <w:spacing w:after="150"/>
        <w:jc w:val="right"/>
      </w:pPr>
      <w:r>
        <w:rPr>
          <w:color w:val="000000"/>
        </w:rPr>
        <w:t>Председник,</w:t>
      </w:r>
    </w:p>
    <w:p w:rsidR="00BC3CE6" w:rsidRDefault="009A2DE5">
      <w:pPr>
        <w:spacing w:after="150"/>
        <w:jc w:val="right"/>
      </w:pPr>
      <w:r>
        <w:rPr>
          <w:b/>
          <w:color w:val="000000"/>
        </w:rPr>
        <w:t>Ана Брнабић,</w:t>
      </w:r>
      <w:r>
        <w:rPr>
          <w:color w:val="000000"/>
        </w:rPr>
        <w:t xml:space="preserve"> с.р.</w:t>
      </w:r>
    </w:p>
    <w:p w:rsidR="00BC3CE6" w:rsidRDefault="009A2DE5">
      <w:pPr>
        <w:spacing w:after="150"/>
      </w:pPr>
      <w:r>
        <w:rPr>
          <w:color w:val="000000"/>
        </w:rPr>
        <w:t>Скраћенице</w:t>
      </w:r>
    </w:p>
    <w:p w:rsidR="00BC3CE6" w:rsidRDefault="009A2DE5">
      <w:pPr>
        <w:spacing w:after="150"/>
      </w:pPr>
      <w:r>
        <w:rPr>
          <w:color w:val="000000"/>
        </w:rPr>
        <w:t>А11 – Иницијатива за соција</w:t>
      </w:r>
      <w:r>
        <w:rPr>
          <w:color w:val="000000"/>
        </w:rPr>
        <w:t>лна и економска права</w:t>
      </w:r>
    </w:p>
    <w:p w:rsidR="00BC3CE6" w:rsidRDefault="009A2DE5">
      <w:pPr>
        <w:spacing w:after="150"/>
      </w:pPr>
      <w:r>
        <w:rPr>
          <w:color w:val="000000"/>
        </w:rPr>
        <w:t>Агенда 2030 – Агенда Уједињених нација за одрживи развој до 2030. године</w:t>
      </w:r>
    </w:p>
    <w:p w:rsidR="00BC3CE6" w:rsidRDefault="009A2DE5">
      <w:pPr>
        <w:spacing w:after="150"/>
      </w:pPr>
      <w:r>
        <w:rPr>
          <w:color w:val="000000"/>
        </w:rPr>
        <w:t>АЖЦ – Аутономни женски центар</w:t>
      </w:r>
    </w:p>
    <w:p w:rsidR="00BC3CE6" w:rsidRDefault="009A2DE5">
      <w:pPr>
        <w:spacing w:after="150"/>
      </w:pPr>
      <w:r>
        <w:rPr>
          <w:color w:val="000000"/>
        </w:rPr>
        <w:t>AMITY – Удружење грађана „Снага пријатељства – AMITY”</w:t>
      </w:r>
    </w:p>
    <w:p w:rsidR="00BC3CE6" w:rsidRDefault="009A2DE5">
      <w:pPr>
        <w:spacing w:after="150"/>
      </w:pPr>
      <w:r>
        <w:rPr>
          <w:color w:val="000000"/>
        </w:rPr>
        <w:t>АП – акциони план</w:t>
      </w:r>
    </w:p>
    <w:p w:rsidR="00BC3CE6" w:rsidRDefault="009A2DE5">
      <w:pPr>
        <w:spacing w:after="150"/>
      </w:pPr>
      <w:r>
        <w:rPr>
          <w:color w:val="000000"/>
        </w:rPr>
        <w:lastRenderedPageBreak/>
        <w:t>АПВ – Аутономна покрајина Војводина</w:t>
      </w:r>
    </w:p>
    <w:p w:rsidR="00BC3CE6" w:rsidRDefault="009A2DE5">
      <w:pPr>
        <w:spacing w:after="150"/>
      </w:pPr>
      <w:r>
        <w:rPr>
          <w:color w:val="000000"/>
        </w:rPr>
        <w:t>АПР – Агенција за привр</w:t>
      </w:r>
      <w:r>
        <w:rPr>
          <w:color w:val="000000"/>
        </w:rPr>
        <w:t>едне регистре</w:t>
      </w:r>
    </w:p>
    <w:p w:rsidR="00BC3CE6" w:rsidRDefault="009A2DE5">
      <w:pPr>
        <w:spacing w:after="150"/>
      </w:pPr>
      <w:r>
        <w:rPr>
          <w:color w:val="000000"/>
        </w:rPr>
        <w:t>БДП – Бруто домаћи производ</w:t>
      </w:r>
    </w:p>
    <w:p w:rsidR="00BC3CE6" w:rsidRDefault="009A2DE5">
      <w:pPr>
        <w:spacing w:after="150"/>
      </w:pPr>
      <w:r>
        <w:rPr>
          <w:color w:val="000000"/>
        </w:rPr>
        <w:t>БИБИЈА – Удружење грађана „БИБИЈА Ромски женски центар”</w:t>
      </w:r>
    </w:p>
    <w:p w:rsidR="00BC3CE6" w:rsidRDefault="009A2DE5">
      <w:pPr>
        <w:spacing w:after="150"/>
      </w:pPr>
      <w:r>
        <w:rPr>
          <w:color w:val="000000"/>
        </w:rPr>
        <w:t>БМПО – Биомедицински потпомогнута оплодња</w:t>
      </w:r>
    </w:p>
    <w:p w:rsidR="00BC3CE6" w:rsidRDefault="009A2DE5">
      <w:pPr>
        <w:spacing w:after="150"/>
      </w:pPr>
      <w:r>
        <w:rPr>
          <w:color w:val="000000"/>
        </w:rPr>
        <w:t>ВС – Војска Србије</w:t>
      </w:r>
    </w:p>
    <w:p w:rsidR="00BC3CE6" w:rsidRDefault="009A2DE5">
      <w:pPr>
        <w:spacing w:after="150"/>
      </w:pPr>
      <w:r>
        <w:rPr>
          <w:color w:val="000000"/>
        </w:rPr>
        <w:t>ГСУН – Генерални секретаријат Уједињених нација</w:t>
      </w:r>
    </w:p>
    <w:p w:rsidR="00BC3CE6" w:rsidRDefault="009A2DE5">
      <w:pPr>
        <w:spacing w:after="150"/>
      </w:pPr>
      <w:r>
        <w:rPr>
          <w:color w:val="000000"/>
        </w:rPr>
        <w:t>ДКП – дипломатско-конзуларно представништво</w:t>
      </w:r>
    </w:p>
    <w:p w:rsidR="00BC3CE6" w:rsidRDefault="009A2DE5">
      <w:pPr>
        <w:spacing w:after="150"/>
      </w:pPr>
      <w:r>
        <w:rPr>
          <w:color w:val="000000"/>
        </w:rPr>
        <w:t xml:space="preserve">ЕК – </w:t>
      </w:r>
      <w:r>
        <w:rPr>
          <w:color w:val="000000"/>
        </w:rPr>
        <w:t>Европска комисија</w:t>
      </w:r>
    </w:p>
    <w:p w:rsidR="00BC3CE6" w:rsidRDefault="009A2DE5">
      <w:pPr>
        <w:spacing w:after="150"/>
      </w:pPr>
      <w:r>
        <w:rPr>
          <w:color w:val="000000"/>
        </w:rPr>
        <w:t>ЕП – Европски парламент</w:t>
      </w:r>
    </w:p>
    <w:p w:rsidR="00BC3CE6" w:rsidRDefault="009A2DE5">
      <w:pPr>
        <w:spacing w:after="150"/>
      </w:pPr>
      <w:r>
        <w:rPr>
          <w:color w:val="000000"/>
        </w:rPr>
        <w:t>ЕСЉП – Европски суд за људска права</w:t>
      </w:r>
    </w:p>
    <w:p w:rsidR="00BC3CE6" w:rsidRDefault="009A2DE5">
      <w:pPr>
        <w:spacing w:after="150"/>
      </w:pPr>
      <w:r>
        <w:rPr>
          <w:color w:val="000000"/>
        </w:rPr>
        <w:t>ЕУ – Европска унија</w:t>
      </w:r>
    </w:p>
    <w:p w:rsidR="00BC3CE6" w:rsidRDefault="009A2DE5">
      <w:pPr>
        <w:spacing w:after="150"/>
      </w:pPr>
      <w:r>
        <w:rPr>
          <w:color w:val="000000"/>
        </w:rPr>
        <w:t>EHIS – Истраживање здравља становништва Србије</w:t>
      </w:r>
    </w:p>
    <w:p w:rsidR="00BC3CE6" w:rsidRDefault="009A2DE5">
      <w:pPr>
        <w:spacing w:after="150"/>
      </w:pPr>
      <w:r>
        <w:rPr>
          <w:color w:val="000000"/>
        </w:rPr>
        <w:t>EIGE – Европски институт за родну равноправност</w:t>
      </w:r>
    </w:p>
    <w:p w:rsidR="00BC3CE6" w:rsidRDefault="009A2DE5">
      <w:pPr>
        <w:spacing w:after="150"/>
      </w:pPr>
      <w:r>
        <w:rPr>
          <w:color w:val="000000"/>
        </w:rPr>
        <w:t>ЖПМ – Женска парламентарна мрежа</w:t>
      </w:r>
    </w:p>
    <w:p w:rsidR="00BC3CE6" w:rsidRDefault="009A2DE5">
      <w:pPr>
        <w:spacing w:after="150"/>
      </w:pPr>
      <w:r>
        <w:rPr>
          <w:color w:val="000000"/>
        </w:rPr>
        <w:t>ЖПРС – Женска платформа за раз</w:t>
      </w:r>
      <w:r>
        <w:rPr>
          <w:color w:val="000000"/>
        </w:rPr>
        <w:t>вој Србије 2014–2020.</w:t>
      </w:r>
    </w:p>
    <w:p w:rsidR="00BC3CE6" w:rsidRDefault="009A2DE5">
      <w:pPr>
        <w:spacing w:after="150"/>
      </w:pPr>
      <w:r>
        <w:rPr>
          <w:color w:val="000000"/>
        </w:rPr>
        <w:t>ЗБС – Закон о буџетском систему</w:t>
      </w:r>
    </w:p>
    <w:p w:rsidR="00BC3CE6" w:rsidRDefault="009A2DE5">
      <w:pPr>
        <w:spacing w:after="150"/>
      </w:pPr>
      <w:r>
        <w:rPr>
          <w:color w:val="000000"/>
        </w:rPr>
        <w:t>ЗИД – Закон о иновационој делатности</w:t>
      </w:r>
    </w:p>
    <w:p w:rsidR="00BC3CE6" w:rsidRDefault="009A2DE5">
      <w:pPr>
        <w:spacing w:after="150"/>
      </w:pPr>
      <w:r>
        <w:rPr>
          <w:color w:val="000000"/>
        </w:rPr>
        <w:t>ЗПС – Закон о планском систему</w:t>
      </w:r>
    </w:p>
    <w:p w:rsidR="00BC3CE6" w:rsidRDefault="009A2DE5">
      <w:pPr>
        <w:spacing w:after="150"/>
      </w:pPr>
      <w:r>
        <w:rPr>
          <w:color w:val="000000"/>
        </w:rPr>
        <w:t>ЗРР – Закон о родној равноправности</w:t>
      </w:r>
    </w:p>
    <w:p w:rsidR="00BC3CE6" w:rsidRDefault="009A2DE5">
      <w:pPr>
        <w:spacing w:after="150"/>
      </w:pPr>
      <w:r>
        <w:rPr>
          <w:color w:val="000000"/>
        </w:rPr>
        <w:t>ИКТ – информационо-комуникационе технологије</w:t>
      </w:r>
    </w:p>
    <w:p w:rsidR="00BC3CE6" w:rsidRDefault="009A2DE5">
      <w:pPr>
        <w:spacing w:after="150"/>
      </w:pPr>
      <w:r>
        <w:rPr>
          <w:color w:val="000000"/>
        </w:rPr>
        <w:t>ЈЛС – Јединица локалне самоуправе</w:t>
      </w:r>
    </w:p>
    <w:p w:rsidR="00BC3CE6" w:rsidRDefault="009A2DE5">
      <w:pPr>
        <w:spacing w:after="150"/>
      </w:pPr>
      <w:r>
        <w:rPr>
          <w:color w:val="000000"/>
        </w:rPr>
        <w:t>КЈН – Канцеларија з</w:t>
      </w:r>
      <w:r>
        <w:rPr>
          <w:color w:val="000000"/>
        </w:rPr>
        <w:t>а јавне набавке</w:t>
      </w:r>
    </w:p>
    <w:p w:rsidR="00BC3CE6" w:rsidRDefault="009A2DE5">
      <w:pPr>
        <w:spacing w:after="150"/>
      </w:pPr>
      <w:r>
        <w:rPr>
          <w:color w:val="000000"/>
        </w:rPr>
        <w:t>КТРР – Координационо тело за родну равноправност</w:t>
      </w:r>
    </w:p>
    <w:p w:rsidR="00BC3CE6" w:rsidRDefault="009A2DE5">
      <w:pPr>
        <w:spacing w:after="150"/>
      </w:pPr>
      <w:r>
        <w:rPr>
          <w:color w:val="000000"/>
        </w:rPr>
        <w:t>ЛАП – Локални акциони план</w:t>
      </w:r>
    </w:p>
    <w:p w:rsidR="00BC3CE6" w:rsidRDefault="009A2DE5">
      <w:pPr>
        <w:spacing w:after="150"/>
      </w:pPr>
      <w:r>
        <w:rPr>
          <w:color w:val="000000"/>
        </w:rPr>
        <w:t>Механизми РР – институционални механизми РР</w:t>
      </w:r>
    </w:p>
    <w:p w:rsidR="00BC3CE6" w:rsidRDefault="009A2DE5">
      <w:pPr>
        <w:spacing w:after="150"/>
      </w:pPr>
      <w:r>
        <w:rPr>
          <w:color w:val="000000"/>
        </w:rPr>
        <w:t>ММСП – Микро, мала и средња предузећа</w:t>
      </w:r>
    </w:p>
    <w:p w:rsidR="00BC3CE6" w:rsidRDefault="009A2DE5">
      <w:pPr>
        <w:spacing w:after="150"/>
      </w:pPr>
      <w:r>
        <w:rPr>
          <w:color w:val="000000"/>
        </w:rPr>
        <w:t>ММФ – Међународни монетарни фонд</w:t>
      </w:r>
    </w:p>
    <w:p w:rsidR="00BC3CE6" w:rsidRDefault="009A2DE5">
      <w:pPr>
        <w:spacing w:after="150"/>
      </w:pPr>
      <w:r>
        <w:rPr>
          <w:color w:val="000000"/>
        </w:rPr>
        <w:t>МО – Министарство одбране</w:t>
      </w:r>
    </w:p>
    <w:p w:rsidR="00BC3CE6" w:rsidRDefault="009A2DE5">
      <w:pPr>
        <w:spacing w:after="150"/>
      </w:pPr>
      <w:r>
        <w:rPr>
          <w:color w:val="000000"/>
        </w:rPr>
        <w:t>МОДС – Мрежа организаци</w:t>
      </w:r>
      <w:r>
        <w:rPr>
          <w:color w:val="000000"/>
        </w:rPr>
        <w:t>ја за децу Србије</w:t>
      </w:r>
    </w:p>
    <w:p w:rsidR="00BC3CE6" w:rsidRDefault="009A2DE5">
      <w:pPr>
        <w:spacing w:after="150"/>
      </w:pPr>
      <w:r>
        <w:rPr>
          <w:color w:val="000000"/>
        </w:rPr>
        <w:lastRenderedPageBreak/>
        <w:t>МП – Министарство правде</w:t>
      </w:r>
    </w:p>
    <w:p w:rsidR="00BC3CE6" w:rsidRDefault="009A2DE5">
      <w:pPr>
        <w:spacing w:after="150"/>
      </w:pPr>
      <w:r>
        <w:rPr>
          <w:color w:val="000000"/>
        </w:rPr>
        <w:t>МРЗБСП – Министарство за рад, запошљавање, борачка и социјална питања</w:t>
      </w:r>
    </w:p>
    <w:p w:rsidR="00BC3CE6" w:rsidRDefault="009A2DE5">
      <w:pPr>
        <w:spacing w:after="150"/>
      </w:pPr>
      <w:r>
        <w:rPr>
          <w:color w:val="000000"/>
        </w:rPr>
        <w:t>МУП – Министарство унутрашњих послова</w:t>
      </w:r>
    </w:p>
    <w:p w:rsidR="00BC3CE6" w:rsidRDefault="009A2DE5">
      <w:pPr>
        <w:spacing w:after="150"/>
      </w:pPr>
      <w:r>
        <w:rPr>
          <w:color w:val="000000"/>
        </w:rPr>
        <w:t>НАЈУ – Национална академија за јавну управу</w:t>
      </w:r>
    </w:p>
    <w:p w:rsidR="00BC3CE6" w:rsidRDefault="009A2DE5">
      <w:pPr>
        <w:spacing w:after="150"/>
      </w:pPr>
      <w:r>
        <w:rPr>
          <w:color w:val="000000"/>
        </w:rPr>
        <w:t>НАЛЕД – Национална алијанса за локални економски развој</w:t>
      </w:r>
    </w:p>
    <w:p w:rsidR="00BC3CE6" w:rsidRDefault="009A2DE5">
      <w:pPr>
        <w:spacing w:after="150"/>
      </w:pPr>
      <w:r>
        <w:rPr>
          <w:color w:val="000000"/>
        </w:rPr>
        <w:t>НАП –</w:t>
      </w:r>
      <w:r>
        <w:rPr>
          <w:color w:val="000000"/>
        </w:rPr>
        <w:t xml:space="preserve"> Национални акциони план</w:t>
      </w:r>
    </w:p>
    <w:p w:rsidR="00BC3CE6" w:rsidRDefault="009A2DE5">
      <w:pPr>
        <w:spacing w:after="150"/>
      </w:pPr>
      <w:r>
        <w:rPr>
          <w:color w:val="000000"/>
        </w:rPr>
        <w:t>НСЗ – Национална служба за запошљавање</w:t>
      </w:r>
    </w:p>
    <w:p w:rsidR="00BC3CE6" w:rsidRDefault="009A2DE5">
      <w:pPr>
        <w:spacing w:after="150"/>
      </w:pPr>
      <w:r>
        <w:rPr>
          <w:color w:val="000000"/>
        </w:rPr>
        <w:t>ОЕБС – Организација за европску безбедност и сарадњу</w:t>
      </w:r>
    </w:p>
    <w:p w:rsidR="00BC3CE6" w:rsidRDefault="009A2DE5">
      <w:pPr>
        <w:spacing w:after="150"/>
      </w:pPr>
      <w:r>
        <w:rPr>
          <w:color w:val="000000"/>
        </w:rPr>
        <w:t>OECD – Организација за економску сарадњу и развој</w:t>
      </w:r>
    </w:p>
    <w:p w:rsidR="00BC3CE6" w:rsidRDefault="009A2DE5">
      <w:pPr>
        <w:spacing w:after="150"/>
      </w:pPr>
      <w:r>
        <w:rPr>
          <w:color w:val="000000"/>
        </w:rPr>
        <w:t>ОСИ – особе са инвалидитетом</w:t>
      </w:r>
    </w:p>
    <w:p w:rsidR="00BC3CE6" w:rsidRDefault="009A2DE5">
      <w:pPr>
        <w:spacing w:after="150"/>
      </w:pPr>
      <w:r>
        <w:rPr>
          <w:color w:val="000000"/>
        </w:rPr>
        <w:t>ОЦД – организација цивилног друштва</w:t>
      </w:r>
    </w:p>
    <w:p w:rsidR="00BC3CE6" w:rsidRDefault="009A2DE5">
      <w:pPr>
        <w:spacing w:after="150"/>
      </w:pPr>
      <w:r>
        <w:rPr>
          <w:color w:val="000000"/>
        </w:rPr>
        <w:t>п.п. – процентни поени</w:t>
      </w:r>
    </w:p>
    <w:p w:rsidR="00BC3CE6" w:rsidRDefault="009A2DE5">
      <w:pPr>
        <w:spacing w:after="150"/>
      </w:pPr>
      <w:r>
        <w:rPr>
          <w:color w:val="000000"/>
        </w:rPr>
        <w:t>ПА – педагошки асистенти</w:t>
      </w:r>
    </w:p>
    <w:p w:rsidR="00BC3CE6" w:rsidRDefault="009A2DE5">
      <w:pPr>
        <w:spacing w:after="150"/>
      </w:pPr>
      <w:r>
        <w:rPr>
          <w:color w:val="000000"/>
        </w:rPr>
        <w:t>ПГПП – Међународни пакт о грађанским и политичким правима</w:t>
      </w:r>
    </w:p>
    <w:p w:rsidR="00BC3CE6" w:rsidRDefault="009A2DE5">
      <w:pPr>
        <w:spacing w:after="150"/>
      </w:pPr>
      <w:r>
        <w:rPr>
          <w:color w:val="000000"/>
        </w:rPr>
        <w:t>ПЕСП – Међународни пакт о економским и социјалним правима</w:t>
      </w:r>
    </w:p>
    <w:p w:rsidR="00BC3CE6" w:rsidRDefault="009A2DE5">
      <w:pPr>
        <w:spacing w:after="150"/>
      </w:pPr>
      <w:r>
        <w:rPr>
          <w:color w:val="000000"/>
        </w:rPr>
        <w:t>PEFA – Процена јавних расхода и јавних финансија</w:t>
      </w:r>
    </w:p>
    <w:p w:rsidR="00BC3CE6" w:rsidRDefault="009A2DE5">
      <w:pPr>
        <w:spacing w:after="150"/>
      </w:pPr>
      <w:r>
        <w:rPr>
          <w:color w:val="000000"/>
        </w:rPr>
        <w:t>ПОФ – приоритетне области финансирања</w:t>
      </w:r>
    </w:p>
    <w:p w:rsidR="00BC3CE6" w:rsidRDefault="009A2DE5">
      <w:pPr>
        <w:spacing w:after="150"/>
      </w:pPr>
      <w:r>
        <w:rPr>
          <w:color w:val="000000"/>
        </w:rPr>
        <w:t>ПССЕ – Парламентарна скупшти</w:t>
      </w:r>
      <w:r>
        <w:rPr>
          <w:color w:val="000000"/>
        </w:rPr>
        <w:t>на Савета Европе</w:t>
      </w:r>
    </w:p>
    <w:p w:rsidR="00BC3CE6" w:rsidRDefault="009A2DE5">
      <w:pPr>
        <w:spacing w:after="150"/>
      </w:pPr>
      <w:r>
        <w:rPr>
          <w:color w:val="000000"/>
        </w:rPr>
        <w:t>ПУ – Полицијска управа</w:t>
      </w:r>
    </w:p>
    <w:p w:rsidR="00BC3CE6" w:rsidRDefault="009A2DE5">
      <w:pPr>
        <w:spacing w:after="150"/>
      </w:pPr>
      <w:r>
        <w:rPr>
          <w:color w:val="000000"/>
        </w:rPr>
        <w:t>РАС – Развојна агенција Србије</w:t>
      </w:r>
    </w:p>
    <w:p w:rsidR="00BC3CE6" w:rsidRDefault="009A2DE5">
      <w:pPr>
        <w:spacing w:after="150"/>
      </w:pPr>
      <w:r>
        <w:rPr>
          <w:color w:val="000000"/>
        </w:rPr>
        <w:t>РГЗ – Републички геодетски завод</w:t>
      </w:r>
    </w:p>
    <w:p w:rsidR="00BC3CE6" w:rsidRDefault="009A2DE5">
      <w:pPr>
        <w:spacing w:after="150"/>
      </w:pPr>
      <w:r>
        <w:rPr>
          <w:color w:val="000000"/>
        </w:rPr>
        <w:t>РЕМ – Регулаторно тело за електронске медије</w:t>
      </w:r>
    </w:p>
    <w:p w:rsidR="00BC3CE6" w:rsidRDefault="009A2DE5">
      <w:pPr>
        <w:spacing w:after="150"/>
      </w:pPr>
      <w:r>
        <w:rPr>
          <w:color w:val="000000"/>
        </w:rPr>
        <w:t>РЗС – Републички завод за статистику</w:t>
      </w:r>
    </w:p>
    <w:p w:rsidR="00BC3CE6" w:rsidRDefault="009A2DE5">
      <w:pPr>
        <w:spacing w:after="150"/>
      </w:pPr>
      <w:r>
        <w:rPr>
          <w:color w:val="000000"/>
        </w:rPr>
        <w:t>РИК – Републичка изборна комисија</w:t>
      </w:r>
    </w:p>
    <w:p w:rsidR="00BC3CE6" w:rsidRDefault="009A2DE5">
      <w:pPr>
        <w:spacing w:after="150"/>
      </w:pPr>
      <w:r>
        <w:rPr>
          <w:color w:val="000000"/>
        </w:rPr>
        <w:t>РОБ – Родно одговорно буџетирање</w:t>
      </w:r>
    </w:p>
    <w:p w:rsidR="00BC3CE6" w:rsidRDefault="009A2DE5">
      <w:pPr>
        <w:spacing w:after="150"/>
      </w:pPr>
      <w:r>
        <w:rPr>
          <w:color w:val="000000"/>
        </w:rPr>
        <w:t xml:space="preserve">РС </w:t>
      </w:r>
      <w:r>
        <w:rPr>
          <w:color w:val="000000"/>
        </w:rPr>
        <w:t>– Република Србија</w:t>
      </w:r>
    </w:p>
    <w:p w:rsidR="00BC3CE6" w:rsidRDefault="009A2DE5">
      <w:pPr>
        <w:spacing w:after="150"/>
      </w:pPr>
      <w:r>
        <w:rPr>
          <w:color w:val="000000"/>
        </w:rPr>
        <w:t>РФПИО – Републички фонд за пензијско и инвалидско осигурање</w:t>
      </w:r>
    </w:p>
    <w:p w:rsidR="00BC3CE6" w:rsidRDefault="009A2DE5">
      <w:pPr>
        <w:spacing w:after="150"/>
      </w:pPr>
      <w:r>
        <w:rPr>
          <w:color w:val="000000"/>
        </w:rPr>
        <w:t>САНУ – Српска академија наука и уметности</w:t>
      </w:r>
    </w:p>
    <w:p w:rsidR="00BC3CE6" w:rsidRDefault="009A2DE5">
      <w:pPr>
        <w:spacing w:after="150"/>
      </w:pPr>
      <w:r>
        <w:rPr>
          <w:color w:val="000000"/>
        </w:rPr>
        <w:t>СБ УН – Савет безбедности Уједињених нација</w:t>
      </w:r>
    </w:p>
    <w:p w:rsidR="00BC3CE6" w:rsidRDefault="009A2DE5">
      <w:pPr>
        <w:spacing w:after="150"/>
      </w:pPr>
      <w:r>
        <w:rPr>
          <w:color w:val="000000"/>
        </w:rPr>
        <w:t>СЕ – Савет Европе</w:t>
      </w:r>
    </w:p>
    <w:p w:rsidR="00BC3CE6" w:rsidRDefault="009A2DE5">
      <w:pPr>
        <w:spacing w:after="150"/>
      </w:pPr>
      <w:r>
        <w:rPr>
          <w:color w:val="000000"/>
        </w:rPr>
        <w:lastRenderedPageBreak/>
        <w:t>SeConS – Група за развојну иницијативу</w:t>
      </w:r>
    </w:p>
    <w:p w:rsidR="00BC3CE6" w:rsidRDefault="009A2DE5">
      <w:pPr>
        <w:spacing w:after="150"/>
      </w:pPr>
      <w:r>
        <w:rPr>
          <w:color w:val="000000"/>
        </w:rPr>
        <w:t>СЗЗ – Стратегија за запошљавање</w:t>
      </w:r>
    </w:p>
    <w:p w:rsidR="00BC3CE6" w:rsidRDefault="009A2DE5">
      <w:pPr>
        <w:spacing w:after="150"/>
      </w:pPr>
      <w:r>
        <w:rPr>
          <w:color w:val="000000"/>
        </w:rPr>
        <w:t>SI</w:t>
      </w:r>
      <w:r>
        <w:rPr>
          <w:color w:val="000000"/>
        </w:rPr>
        <w:t>LC – Анкета о приходима и условима живота</w:t>
      </w:r>
    </w:p>
    <w:p w:rsidR="00BC3CE6" w:rsidRDefault="009A2DE5">
      <w:pPr>
        <w:spacing w:after="150"/>
      </w:pPr>
      <w:r>
        <w:rPr>
          <w:color w:val="000000"/>
        </w:rPr>
        <w:t>СИПРУ – Тим за социјално укључивање и смањење сиромаштва</w:t>
      </w:r>
    </w:p>
    <w:p w:rsidR="00BC3CE6" w:rsidRDefault="009A2DE5">
      <w:pPr>
        <w:spacing w:after="150"/>
      </w:pPr>
      <w:r>
        <w:rPr>
          <w:color w:val="000000"/>
        </w:rPr>
        <w:t>СКГО – Стална конференција градова и општина</w:t>
      </w:r>
    </w:p>
    <w:p w:rsidR="00BC3CE6" w:rsidRDefault="009A2DE5">
      <w:pPr>
        <w:spacing w:after="150"/>
      </w:pPr>
      <w:r>
        <w:rPr>
          <w:color w:val="000000"/>
        </w:rPr>
        <w:t>УН – Уједињене нације</w:t>
      </w:r>
    </w:p>
    <w:p w:rsidR="00BC3CE6" w:rsidRDefault="009A2DE5">
      <w:pPr>
        <w:spacing w:after="150"/>
      </w:pPr>
      <w:r>
        <w:rPr>
          <w:color w:val="000000"/>
        </w:rPr>
        <w:t>UNDP – програм Уједињених нација за развој</w:t>
      </w:r>
    </w:p>
    <w:p w:rsidR="00BC3CE6" w:rsidRDefault="009A2DE5">
      <w:pPr>
        <w:spacing w:after="150"/>
      </w:pPr>
      <w:r>
        <w:rPr>
          <w:color w:val="000000"/>
        </w:rPr>
        <w:t>ФИД – Фонд за иновациону делатност</w:t>
      </w:r>
    </w:p>
    <w:p w:rsidR="00BC3CE6" w:rsidRDefault="009A2DE5">
      <w:pPr>
        <w:spacing w:after="150"/>
      </w:pPr>
      <w:r>
        <w:rPr>
          <w:color w:val="000000"/>
        </w:rPr>
        <w:t xml:space="preserve">CEDAW </w:t>
      </w:r>
      <w:r>
        <w:rPr>
          <w:color w:val="000000"/>
        </w:rPr>
        <w:t>комитет – Комитет за елиминисање свих облика дискриминације жена</w:t>
      </w:r>
    </w:p>
    <w:p w:rsidR="00BC3CE6" w:rsidRDefault="009A2DE5">
      <w:pPr>
        <w:spacing w:after="150"/>
      </w:pPr>
      <w:r>
        <w:rPr>
          <w:color w:val="000000"/>
        </w:rPr>
        <w:t>CEDAW конвенција – Конвенција о елиминисању свих облика дискриминације жена</w:t>
      </w:r>
    </w:p>
    <w:p w:rsidR="00BC3CE6" w:rsidRDefault="009A2DE5">
      <w:pPr>
        <w:spacing w:after="150"/>
      </w:pPr>
      <w:r>
        <w:rPr>
          <w:color w:val="000000"/>
        </w:rPr>
        <w:t>ЦОР – циљеви одрживог развоја</w:t>
      </w:r>
    </w:p>
    <w:p w:rsidR="00BC3CE6" w:rsidRDefault="009A2DE5">
      <w:pPr>
        <w:spacing w:after="150"/>
      </w:pPr>
      <w:r>
        <w:rPr>
          <w:color w:val="000000"/>
        </w:rPr>
        <w:t>ЦСЖ – Центар за самостални живот особа са инвалидитетом Србије</w:t>
      </w:r>
    </w:p>
    <w:p w:rsidR="00BC3CE6" w:rsidRDefault="009A2DE5">
      <w:pPr>
        <w:spacing w:after="150"/>
      </w:pPr>
      <w:r>
        <w:rPr>
          <w:color w:val="000000"/>
        </w:rPr>
        <w:t>ЦСР – Центар за соција</w:t>
      </w:r>
      <w:r>
        <w:rPr>
          <w:color w:val="000000"/>
        </w:rPr>
        <w:t>лни рад</w:t>
      </w:r>
    </w:p>
    <w:p w:rsidR="00BC3CE6" w:rsidRDefault="009A2DE5">
      <w:pPr>
        <w:spacing w:after="150"/>
      </w:pPr>
      <w:r>
        <w:rPr>
          <w:color w:val="000000"/>
        </w:rPr>
        <w:t>YUCOM – Комитет правника за људска права</w:t>
      </w:r>
    </w:p>
    <w:sectPr w:rsidR="00BC3CE6">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3CE6"/>
    <w:rsid w:val="009A2DE5"/>
    <w:rsid w:val="00BC3C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C88D907-BB4A-448C-837D-484D739584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233</Pages>
  <Words>85342</Words>
  <Characters>486450</Characters>
  <Application>Microsoft Office Word</Application>
  <DocSecurity>0</DocSecurity>
  <Lines>4053</Lines>
  <Paragraphs>1141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Marina Todorovic</dc:creator>
  <cp:lastModifiedBy>Marina Todorovic</cp:lastModifiedBy>
  <cp:revision>2</cp:revision>
  <dcterms:created xsi:type="dcterms:W3CDTF">2021-11-05T08:53:00Z</dcterms:created>
  <dcterms:modified xsi:type="dcterms:W3CDTF">2021-11-05T08:53:00Z</dcterms:modified>
</cp:coreProperties>
</file>