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82C" w:rsidRDefault="00F17BF2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BC182C" w:rsidRDefault="00F17BF2">
      <w:pPr>
        <w:spacing w:after="150"/>
      </w:pPr>
      <w:r>
        <w:rPr>
          <w:color w:val="000000"/>
        </w:rPr>
        <w:t>На основу члана 38. став 1. Закона о планском систему Републике Србије („Службени гласник РС”, број 30/18),</w:t>
      </w:r>
    </w:p>
    <w:p w:rsidR="00BC182C" w:rsidRDefault="00F17BF2">
      <w:pPr>
        <w:spacing w:after="150"/>
      </w:pPr>
      <w:r>
        <w:rPr>
          <w:color w:val="000000"/>
        </w:rPr>
        <w:t>Влада усваја</w:t>
      </w:r>
    </w:p>
    <w:p w:rsidR="00BC182C" w:rsidRDefault="00F17BF2">
      <w:pPr>
        <w:spacing w:after="225"/>
        <w:jc w:val="center"/>
      </w:pPr>
      <w:r>
        <w:rPr>
          <w:b/>
          <w:color w:val="000000"/>
        </w:rPr>
        <w:t>АКЦИОНИ ПЛАН</w:t>
      </w:r>
    </w:p>
    <w:p w:rsidR="00BC182C" w:rsidRDefault="00F17BF2">
      <w:pPr>
        <w:spacing w:after="225"/>
        <w:jc w:val="center"/>
      </w:pPr>
      <w:r>
        <w:rPr>
          <w:b/>
          <w:color w:val="000000"/>
        </w:rPr>
        <w:t>за спровођење Стратегије државног власништва и управљања привредним субјектима који су у власништву Републике Србије за период oд 2021. до 2027. године, у периоду од 2021. до 2023. године</w:t>
      </w:r>
    </w:p>
    <w:p w:rsidR="00BC182C" w:rsidRDefault="00F17BF2">
      <w:pPr>
        <w:spacing w:after="120"/>
        <w:jc w:val="center"/>
      </w:pPr>
      <w:r>
        <w:rPr>
          <w:color w:val="000000"/>
        </w:rPr>
        <w:t>"Службени гласник РС", број 68 од 7. јула 2021.</w:t>
      </w:r>
    </w:p>
    <w:p w:rsidR="00BC182C" w:rsidRDefault="00F17BF2">
      <w:pPr>
        <w:spacing w:after="120"/>
        <w:jc w:val="center"/>
      </w:pPr>
      <w:r>
        <w:rPr>
          <w:color w:val="000000"/>
        </w:rPr>
        <w:t>1. УВОД</w:t>
      </w:r>
    </w:p>
    <w:p w:rsidR="00BC182C" w:rsidRDefault="00F17BF2">
      <w:pPr>
        <w:spacing w:after="150"/>
      </w:pPr>
      <w:r>
        <w:rPr>
          <w:color w:val="000000"/>
        </w:rPr>
        <w:t>Стратегија државног власништва и управљања привредним субјектима који су у власништву Републике Србије за период од 2021. до 2027. године („Службени гласник РС”, број 36/21 – у даљем тексту: Стратегија), усвојена је по први пут у Републици Србији као јединствени акт који пружа стратешку визију и упутства у вези са циљевима власничког управљања над привредним субјектима који су у власништву Републике Србије (у даљем тексту: ПСРС), циљевима финансијских и јавних политика, као и принципима корпоративног управљања и праксама надзора над ПСРС у складу са међународним стандардима и најбољом праксом.</w:t>
      </w:r>
    </w:p>
    <w:p w:rsidR="00BC182C" w:rsidRDefault="00F17BF2">
      <w:pPr>
        <w:spacing w:after="150"/>
      </w:pPr>
      <w:r>
        <w:rPr>
          <w:color w:val="000000"/>
        </w:rPr>
        <w:t>Стратегијом је прописано, поред осталог, да је у року од 90 дана од доношења Стратегије предвиђено усвајање Акционог плана, којим ће бити дефинисане конкретне мере и активности које ће се предузети ради обезбеђења услова да се циљеви Стратегије реализују, одређени носиоци и партнери за спровођење тих мера и активности, дефинисани њихови показатељи, као и рокови и средства за њихово спровођење.</w:t>
      </w:r>
    </w:p>
    <w:p w:rsidR="00BC182C" w:rsidRDefault="00F17BF2">
      <w:pPr>
        <w:spacing w:after="150"/>
      </w:pPr>
      <w:r>
        <w:rPr>
          <w:color w:val="000000"/>
        </w:rPr>
        <w:t>Акциони план за период од 2021. до 2023. године, за спровођење Стратегије државног власништва и управљања привредним субјектима који су у власништву Републике Србије за период од 2021. до 2027. године (у даљем тексту: Акциони план), представља документ јавне политике који се доноси ради операционализације општег и посебних циљева Стратегије.</w:t>
      </w:r>
    </w:p>
    <w:p w:rsidR="00BC182C" w:rsidRDefault="00F17BF2">
      <w:pPr>
        <w:spacing w:after="150"/>
      </w:pPr>
      <w:r>
        <w:rPr>
          <w:color w:val="000000"/>
        </w:rPr>
        <w:t>Општи циљ Стратегије огледа се у одрживом и ефикасном управљању ПСРС, што одражава посвећеност Владе реформи ПСРС и повећању користи од државног власништва за грађане. Постизање општег циља подржавају два посебна циља, а сваки од њих повезан је са мерама које би требало да доведу до постизања тих циљева.</w:t>
      </w:r>
    </w:p>
    <w:p w:rsidR="00BC182C" w:rsidRDefault="00F17BF2">
      <w:pPr>
        <w:spacing w:after="150"/>
      </w:pPr>
      <w:r>
        <w:rPr>
          <w:color w:val="000000"/>
        </w:rPr>
        <w:t>Посебни циљеви Стратегије, на чијој реализацији се базира остварење постављеног општег циља, су:</w:t>
      </w:r>
    </w:p>
    <w:p w:rsidR="00BC182C" w:rsidRDefault="00F17BF2">
      <w:pPr>
        <w:spacing w:after="150"/>
      </w:pPr>
      <w:r>
        <w:rPr>
          <w:color w:val="000000"/>
        </w:rPr>
        <w:t xml:space="preserve">Први посебни циљ – Развој јединственог оквира власништва и управљања за сва ПСРС омогућиће централизацију одговорности и надлежности државе у </w:t>
      </w:r>
      <w:r>
        <w:rPr>
          <w:color w:val="000000"/>
        </w:rPr>
        <w:lastRenderedPageBreak/>
        <w:t>погледу власништва. Успоставиће се независно и ефикасно вршење власничке функције, јединствени систем механизама за постављање циљева, мерење и праћење учинка и извештавање чиме ће се обезбедити свеобухватни надзор над свим ПСРС и усклађивање стратегија и циљева сваког ПСРС са општим циљевима државног власништва.</w:t>
      </w:r>
    </w:p>
    <w:p w:rsidR="00BC182C" w:rsidRDefault="00F17BF2">
      <w:pPr>
        <w:spacing w:after="150"/>
      </w:pPr>
      <w:r>
        <w:rPr>
          <w:color w:val="000000"/>
        </w:rPr>
        <w:t>Други посебни циљ – успостављање, развој и унапређење корпоративног управљања у ПСРС, укључујући успостављање одговарајућих механизама за избор чланова одбора, довешће до тога да управљачка тела и руководство имају одговарајуће вештине и стручност и довољан ниво независности, што им омогућава да извршавају своје задатке. Правилан оквир корпоративног управљања дефинише одговорност и полагање рачуна за резултате пословања ПСРС и успоставља функцију управљања ризицима и контролно окружење.</w:t>
      </w:r>
    </w:p>
    <w:p w:rsidR="00BC182C" w:rsidRDefault="00F17BF2">
      <w:pPr>
        <w:spacing w:after="150"/>
      </w:pPr>
      <w:r>
        <w:rPr>
          <w:color w:val="000000"/>
        </w:rPr>
        <w:t>Акциони план се доноси за период од 2021. до 2023. године, а након истека тог периода биће донет Акциони план за период од 2024. до 2027. године.</w:t>
      </w:r>
    </w:p>
    <w:p w:rsidR="00BC182C" w:rsidRDefault="00F17BF2">
      <w:pPr>
        <w:spacing w:after="150"/>
      </w:pPr>
      <w:r>
        <w:rPr>
          <w:color w:val="000000"/>
        </w:rPr>
        <w:t>Извештавање о резултатима спровођења Акционог плана вршиће се по истеку сваке календарске године од дана усвајања, и то најкасније у року од 60 дана по истеку календарске године.</w:t>
      </w:r>
    </w:p>
    <w:p w:rsidR="00BC182C" w:rsidRDefault="00F17BF2">
      <w:pPr>
        <w:spacing w:after="150"/>
      </w:pPr>
      <w:r>
        <w:rPr>
          <w:color w:val="000000"/>
        </w:rPr>
        <w:t>На основу резултата спроведених активности, а пре истека првог трогодишњег акционог плана, израдиће се други акциони план који би требало заједно са реализованим активностима из првог трогодишњег акционог плана, да доведе до реализације општег и посебних циљева утврђених Стратегијом.</w:t>
      </w:r>
    </w:p>
    <w:p w:rsidR="00BC182C" w:rsidRDefault="00F17BF2">
      <w:pPr>
        <w:spacing w:after="120"/>
        <w:jc w:val="center"/>
      </w:pPr>
      <w:r>
        <w:rPr>
          <w:color w:val="000000"/>
        </w:rPr>
        <w:t>2. МЕТОДОЛОГИЈА ИЗРАДЕ АКЦИОНОГ ПЛАНА</w:t>
      </w:r>
    </w:p>
    <w:p w:rsidR="00BC182C" w:rsidRDefault="00F17BF2">
      <w:pPr>
        <w:spacing w:after="150"/>
      </w:pPr>
      <w:r>
        <w:rPr>
          <w:color w:val="000000"/>
        </w:rPr>
        <w:t>Стратегија је израђена уз подршку Европске банке за обнову и развој (ЕБРД) која је ангажовала консултанте Nestor Advisors, Ernst &amp; Young д.о.о. Београд и БДК Адвокате (у даљем тексту: Конзорцијум), како би се израдио оквир за власничко управљање и корпоративно управљање у ПСРС у Републици Србији. Финансијску подршку за овај пројекат је обезбедила Влада Великог Војводства Луксембург.</w:t>
      </w:r>
    </w:p>
    <w:p w:rsidR="00BC182C" w:rsidRDefault="00F17BF2">
      <w:pPr>
        <w:spacing w:after="150"/>
      </w:pPr>
      <w:r>
        <w:rPr>
          <w:color w:val="000000"/>
        </w:rPr>
        <w:t>Током израде поменутог оквира формирана је група за консултације (</w:t>
      </w:r>
      <w:r>
        <w:rPr>
          <w:i/>
          <w:color w:val="000000"/>
        </w:rPr>
        <w:t>Steering committee</w:t>
      </w:r>
      <w:r>
        <w:rPr>
          <w:color w:val="000000"/>
        </w:rPr>
        <w:t>), коју су поред Конзорцијума, сачињавали представници других релевантних институција, и то: Кабинета председника Владе, Министарства привреде, Министарства грађевинарства, саобраћаја и инфраструктуре, Министарства финансија (укључујући Централну јединицу за хармонизацију) и Министарства рударства и енергетике.</w:t>
      </w:r>
    </w:p>
    <w:p w:rsidR="00BC182C" w:rsidRDefault="00F17BF2">
      <w:pPr>
        <w:spacing w:after="150"/>
      </w:pPr>
      <w:r>
        <w:rPr>
          <w:color w:val="000000"/>
        </w:rPr>
        <w:t xml:space="preserve">Након састанака и консултација, Конзорцијум је у децембру 2020. године израдио извештај у коме је изложено дијагностичко стање и разматрана досадашња пракса из ове области у Републици Србији, након чега је донет Закључак Владе 05 број 46-10187/2020 од 10. децембра 2020. године, којим су прихваћене Полазне основе за успостављање политике државног </w:t>
      </w:r>
      <w:r>
        <w:rPr>
          <w:color w:val="000000"/>
        </w:rPr>
        <w:lastRenderedPageBreak/>
        <w:t>власништва Републике Србије којима је поред осталог, утврђено да доношење јединственог стратешког документа представља значајну промену за државу.</w:t>
      </w:r>
    </w:p>
    <w:p w:rsidR="00BC182C" w:rsidRDefault="00F17BF2">
      <w:pPr>
        <w:spacing w:after="150"/>
      </w:pPr>
      <w:r>
        <w:rPr>
          <w:color w:val="000000"/>
        </w:rPr>
        <w:t>На основу тога је Министарство привреде, у складу са Законом о министарствима („Службени гласник РСˮ, број 128/20), приступило изради јединственог стратешког документа политике државног власништва, с обзиром на то да не постоји претходна стратегија или други документ јавне политике у области државног власништва над ПСРС.</w:t>
      </w:r>
    </w:p>
    <w:p w:rsidR="00BC182C" w:rsidRDefault="00F17BF2">
      <w:pPr>
        <w:spacing w:after="150"/>
      </w:pPr>
      <w:r>
        <w:rPr>
          <w:color w:val="000000"/>
        </w:rPr>
        <w:t>Консултативни процес током израде Акционог плана спроводио се континуирано. Организована су три састанка, а Предлог акционог плана представљен је Конзорцијуму, који је имао прилику да предложи додатне сугестије и коментаре.</w:t>
      </w:r>
    </w:p>
    <w:p w:rsidR="00BC182C" w:rsidRDefault="00F17BF2">
      <w:pPr>
        <w:spacing w:after="120"/>
        <w:jc w:val="center"/>
      </w:pPr>
      <w:r>
        <w:rPr>
          <w:color w:val="000000"/>
        </w:rPr>
        <w:t>3. АНАЛИЗА ФИНАНСИЈСКИХ ЕФЕКАТА</w:t>
      </w:r>
    </w:p>
    <w:p w:rsidR="00BC182C" w:rsidRDefault="00F17BF2">
      <w:pPr>
        <w:spacing w:after="150"/>
      </w:pPr>
      <w:r>
        <w:rPr>
          <w:color w:val="000000"/>
        </w:rPr>
        <w:t>Акциони план обухвата трогодишњи период од 2021. до 2023. године, а средства ће бити обезбеђена из буџета Републике Србије. У активности из Акционог плана биће накнадно укључена и средства из међународних донаторских организација, када се за то стекну услови.</w:t>
      </w:r>
    </w:p>
    <w:p w:rsidR="00BC182C" w:rsidRDefault="00F17BF2">
      <w:pPr>
        <w:spacing w:after="150"/>
      </w:pPr>
      <w:r>
        <w:rPr>
          <w:color w:val="000000"/>
        </w:rPr>
        <w:t>Кључни актер за спровођење активности у оквиру реализације мера је Министарство привреде, а органи партнери у спровођењу појединих активности биће Министарство рударства и енергетике, Министарство финансија, Министарство одбране, Републичка дирекција за имовину Републике Србије, Агенција за привредне регистре и Привредна комора Србије.</w:t>
      </w:r>
    </w:p>
    <w:p w:rsidR="00BC182C" w:rsidRDefault="00F17BF2">
      <w:pPr>
        <w:spacing w:after="150"/>
      </w:pPr>
      <w:r>
        <w:rPr>
          <w:color w:val="000000"/>
        </w:rPr>
        <w:t>За остварење посебног циља 1: Развој јединственог оквира власништва и управљања за све ПСРС, у оквиру Раздела 21 – Министарство привреде, средства су обезбеђена на следећој апропријацији: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0001 – Контрола и надзор над радом јавних предузећа у износу: 6.770.000 динара у 2021. години, и пројекцијама средстава у износу од 25.300.000 динара у 2022. години и 24.050.000 у 2023. години.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0003 – Управљање процесом приватизације и стечајем: 2.170.000 динара у 2021. години и пројекцијама средстава у износу од 3.900.000 динара у 2022. години и 7.000.000 у 2023. години.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0004 – Администрација и управљање: пројекцијама средстава у износу од 1.250.000 динара у 2022. години и 1.250.000 у 2023. години.</w:t>
      </w:r>
    </w:p>
    <w:p w:rsidR="00BC182C" w:rsidRDefault="00F17BF2">
      <w:pPr>
        <w:spacing w:after="150"/>
      </w:pPr>
      <w:r>
        <w:rPr>
          <w:color w:val="000000"/>
        </w:rPr>
        <w:lastRenderedPageBreak/>
        <w:t>За остварење мере 1.7 Централизација и дигитализација процеса надзора и извештавања ПСРС (развој ИТ софтвера), обезбеђена је донација у виду ИТ софтвера од Пројекта – реформа локалних финансија 2 (РЕЛОФ 2) у динарској противвредности од 6.350.000 динара у 2021. години.</w:t>
      </w:r>
    </w:p>
    <w:p w:rsidR="00BC182C" w:rsidRDefault="00F17BF2">
      <w:pPr>
        <w:spacing w:after="150"/>
      </w:pPr>
      <w:r>
        <w:rPr>
          <w:color w:val="000000"/>
        </w:rPr>
        <w:t>У оквиру Раздела 28 – Министарство рударства и енергетике средства су обезбеђена на следећој апропријацији: Програм 0501 – Планирање и спровођење енергетске политике, Програмска активност 0002 – Електроенергетика, нафта и природни гас и системи даљинског грејања у износу: 2.063.000 динара у 2021. години, и пројекцијама средстава у износу од 4.126.000 динара у 2022. години и 4.126.000 у 2023. години.</w:t>
      </w:r>
    </w:p>
    <w:p w:rsidR="00BC182C" w:rsidRDefault="00F17BF2">
      <w:pPr>
        <w:spacing w:after="150"/>
      </w:pPr>
      <w:r>
        <w:rPr>
          <w:color w:val="000000"/>
        </w:rPr>
        <w:t>За остварење посебног циља 2: Успостављање, развој и унапређење корпоративног управљања у ПСРС, у оквиру Раздела 21 – Министарство привреде, биће опредељена средства на следећој апропријацији: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0001 – Контрола и надзор над радом јавних предузећа у износу 3.930.000 динара у 2021. години и пројекцијама средстава у износу од 17.750.000 динара у 2022. години и 15.900.000 динара у 2023. години.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0003 – Управљање процесом приватизације и стечајем: 1.310.000 динара у 2021. години и пројекцијама средстава у износу од 1.610.000 динара у 2022. години и 5.300.000 у 2023. години.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0004 – Администрација и управљање: пројекцијама средстава у износу од 400.000 динара у 2022. години и 400.000 у 2023. години.</w:t>
      </w:r>
    </w:p>
    <w:p w:rsidR="00BC182C" w:rsidRDefault="00F17BF2">
      <w:pPr>
        <w:spacing w:after="150"/>
      </w:pPr>
      <w:r>
        <w:rPr>
          <w:color w:val="000000"/>
        </w:rPr>
        <w:t>– Програм 1508 – Уређење и надзор у области привредног и регионалног развоја – Програмска активност: 4003 – Унапређење корпоративног управљања у јавним предузећима у износу 3.000.000 динара у 2021. години.</w:t>
      </w:r>
    </w:p>
    <w:p w:rsidR="00BC182C" w:rsidRDefault="00F17BF2">
      <w:pPr>
        <w:spacing w:after="120"/>
        <w:jc w:val="center"/>
      </w:pPr>
      <w:r>
        <w:rPr>
          <w:color w:val="000000"/>
        </w:rPr>
        <w:t>4. ПРОПИСИ КОЈЕ ЈЕ ПОТРЕБНО УСВОЈИТИ И ИЗМЕНИТИ У ПОСТУПКУ ПРИМЕНЕ СТРАТЕГИЈЕ</w:t>
      </w:r>
    </w:p>
    <w:p w:rsidR="00BC182C" w:rsidRDefault="00F17BF2">
      <w:pPr>
        <w:spacing w:after="150"/>
      </w:pPr>
      <w:r>
        <w:rPr>
          <w:color w:val="000000"/>
        </w:rPr>
        <w:t>У поступку примене Стратегије, правни оквир биће усклађен усвајањем новог закона и подзаконских аката који ће на јединствен начин уредити власничко управљање над ПСРС, дефинисати циљеве државе у погледу власништва, уредити јединствен систем надзора над свим ПСРС и утврдити систем корпоративног управљања у ПСРС, што је предуслов за реализацију:</w:t>
      </w:r>
    </w:p>
    <w:p w:rsidR="00BC182C" w:rsidRDefault="00F17BF2">
      <w:pPr>
        <w:spacing w:after="150"/>
      </w:pPr>
      <w:r>
        <w:rPr>
          <w:color w:val="000000"/>
        </w:rPr>
        <w:t>Мере 1.1: Уједначавање правног оквира за успостављање општих правила власништва и управљања за све ПСРС;</w:t>
      </w:r>
    </w:p>
    <w:p w:rsidR="00BC182C" w:rsidRDefault="00F17BF2">
      <w:pPr>
        <w:spacing w:after="150"/>
      </w:pPr>
      <w:r>
        <w:rPr>
          <w:color w:val="000000"/>
        </w:rPr>
        <w:t>Мере 1.2: Корпоративизација јавних предузећа – промена правне форме јавних предузећа у АД или ДОО;</w:t>
      </w:r>
    </w:p>
    <w:p w:rsidR="00BC182C" w:rsidRDefault="00F17BF2">
      <w:pPr>
        <w:spacing w:after="150"/>
      </w:pPr>
      <w:r>
        <w:rPr>
          <w:color w:val="000000"/>
        </w:rPr>
        <w:lastRenderedPageBreak/>
        <w:t>Мере 1.3: Успостављање централизоване одговорности и институционалне надлежности;</w:t>
      </w:r>
    </w:p>
    <w:p w:rsidR="00BC182C" w:rsidRDefault="00F17BF2">
      <w:pPr>
        <w:spacing w:after="150"/>
      </w:pPr>
      <w:r>
        <w:rPr>
          <w:color w:val="000000"/>
        </w:rPr>
        <w:t>Мере 2.1: Уређивање питања корпоративног управљања у складу са најбољом међународном праксом;</w:t>
      </w:r>
    </w:p>
    <w:p w:rsidR="00BC182C" w:rsidRDefault="00F17BF2">
      <w:pPr>
        <w:spacing w:after="150"/>
      </w:pPr>
      <w:r>
        <w:rPr>
          <w:color w:val="000000"/>
        </w:rPr>
        <w:t>Мере 2.2: Креирање политике обелодањивања информација ПСРС;</w:t>
      </w:r>
    </w:p>
    <w:p w:rsidR="00BC182C" w:rsidRDefault="00F17BF2">
      <w:pPr>
        <w:spacing w:after="150"/>
      </w:pPr>
      <w:r>
        <w:rPr>
          <w:color w:val="000000"/>
        </w:rPr>
        <w:t>Мере 2.3: Дефинисање циљева пословања и кључних показатеља успеха за сваки ПСРС кроз писма очекивања.</w:t>
      </w:r>
    </w:p>
    <w:p w:rsidR="00BC182C" w:rsidRDefault="00F17BF2">
      <w:pPr>
        <w:spacing w:after="150"/>
      </w:pPr>
      <w:r>
        <w:rPr>
          <w:color w:val="000000"/>
        </w:rPr>
        <w:t>Усвајањем новог законског оквира, доћи ће до измене/укидања и доношења одређених прописа, и то као приоритетно, постепено стављање ван снаге Закона о јавним предузећима („Службени гласник РС”, бр. 15/16 и 88/19). Усвајање новог законског оквира утицаће на неопходне измене и допуне Закона о министарствима, како би се јасно утврдило која су овлашћења и одговорности Министарства привреде и његова координациона улога према осталим органима и организацијама.</w:t>
      </w:r>
    </w:p>
    <w:p w:rsidR="00BC182C" w:rsidRDefault="00F17BF2">
      <w:pPr>
        <w:spacing w:after="150"/>
      </w:pPr>
      <w:r>
        <w:rPr>
          <w:color w:val="000000"/>
        </w:rPr>
        <w:t>Такође, уследиће стављање ван снаге одређених одредаба у секторским прописима којим су основана одређена ПСРС* (нпр. Закон о Јавном предузећу „Југоимпорт–СДПР” – „Службени лист СРЈ”, број 46/96), као и измене релевантних прописа у енергетској делатности, којима би се осигурала независност у вршењу управљачких права у име Републике Србије која би осигурала сертификацију раздвојених предузећа.</w:t>
      </w:r>
    </w:p>
    <w:p w:rsidR="00BC182C" w:rsidRDefault="00F17BF2">
      <w:pPr>
        <w:spacing w:after="150"/>
      </w:pPr>
      <w:r>
        <w:rPr>
          <w:color w:val="000000"/>
        </w:rPr>
        <w:t>У спровођењу активности на успостављању базе података о ПСРС потребно је да Влада донесе акт којим ће бити успостављена наведена база података о ПСРС, чиме ће се извршити реализација Мере 1.4: Успостављање централизоване базе података свих ПСРС и њихових зависних друштава.</w:t>
      </w:r>
    </w:p>
    <w:p w:rsidR="00BC182C" w:rsidRDefault="00F17BF2">
      <w:pPr>
        <w:spacing w:after="150"/>
      </w:pPr>
      <w:r>
        <w:rPr>
          <w:color w:val="000000"/>
        </w:rPr>
        <w:t>За реализацију Мере 1.5: Класификација ПСРС Влада ће донети пропис којим ће се извршити класификација ПСРС, чији ће саставни део бити списак класификованих ПСРС.</w:t>
      </w:r>
    </w:p>
    <w:p w:rsidR="00BC182C" w:rsidRDefault="00F17BF2">
      <w:pPr>
        <w:spacing w:after="150"/>
      </w:pPr>
      <w:r>
        <w:rPr>
          <w:color w:val="000000"/>
        </w:rPr>
        <w:t>Нови законски оквир је правни основ и за Мере 1.6: Јачање и усавршавање кадровских капацитета Министарства привреде и Мере 2.7: Јачање и усавршавање кадровских капацитета Министарства привреде из области корпоративног управљања, као и Мере 1.7: Централизација и дигитализација процеса надзора и извештавања ПСРС (развој ИТ софтвера) које ће бити спроведене интерним актима Министарства привреде.</w:t>
      </w:r>
    </w:p>
    <w:p w:rsidR="00BC182C" w:rsidRDefault="00F17BF2">
      <w:pPr>
        <w:spacing w:after="150"/>
      </w:pPr>
      <w:r>
        <w:rPr>
          <w:color w:val="000000"/>
        </w:rPr>
        <w:t>* Напомена: свеукупни преглед измене прописа није могуће приказати, имајући у виду да је извршена анализа правног оквира само за јавна предузећа и друштва капитала која обављају делатност од општег интереса.</w:t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50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82C" w:rsidRDefault="00F17BF2">
      <w:pPr>
        <w:spacing w:after="120"/>
        <w:jc w:val="center"/>
      </w:pPr>
      <w:r>
        <w:rPr>
          <w:color w:val="000000"/>
        </w:rPr>
        <w:t>7. ЗАВРШНЕ ОДРЕДБЕ</w:t>
      </w:r>
    </w:p>
    <w:p w:rsidR="00BC182C" w:rsidRDefault="00F17BF2">
      <w:pPr>
        <w:spacing w:after="150"/>
      </w:pPr>
      <w:r>
        <w:rPr>
          <w:color w:val="000000"/>
        </w:rPr>
        <w:lastRenderedPageBreak/>
        <w:t>Овај акциони план објавити на интернет страници Владе, интернет страници Министарства привреде и порталу е-Управа, у року од седам радних дана од дана усвајања.</w:t>
      </w:r>
    </w:p>
    <w:p w:rsidR="00BC182C" w:rsidRDefault="00F17BF2">
      <w:pPr>
        <w:spacing w:after="150"/>
      </w:pPr>
      <w:r>
        <w:rPr>
          <w:color w:val="000000"/>
        </w:rPr>
        <w:t>Овај акциони план објавити у „Службеном гласнику Републике Србије”.</w:t>
      </w:r>
    </w:p>
    <w:p w:rsidR="00BC182C" w:rsidRDefault="00F17BF2">
      <w:pPr>
        <w:spacing w:after="150"/>
        <w:jc w:val="right"/>
      </w:pPr>
      <w:r>
        <w:rPr>
          <w:color w:val="000000"/>
        </w:rPr>
        <w:t>05 број 023-5959/2021</w:t>
      </w:r>
    </w:p>
    <w:p w:rsidR="00BC182C" w:rsidRDefault="00F17BF2">
      <w:pPr>
        <w:spacing w:after="150"/>
        <w:jc w:val="right"/>
      </w:pPr>
      <w:r>
        <w:rPr>
          <w:color w:val="000000"/>
        </w:rPr>
        <w:t>У Београду, 24. јуна 2021. године</w:t>
      </w:r>
    </w:p>
    <w:p w:rsidR="00BC182C" w:rsidRDefault="00F17BF2">
      <w:pPr>
        <w:spacing w:after="150"/>
        <w:jc w:val="right"/>
      </w:pPr>
      <w:r>
        <w:rPr>
          <w:b/>
          <w:color w:val="000000"/>
        </w:rPr>
        <w:t>Влада</w:t>
      </w:r>
    </w:p>
    <w:p w:rsidR="00BC182C" w:rsidRDefault="00F17BF2">
      <w:pPr>
        <w:spacing w:after="150"/>
        <w:jc w:val="right"/>
      </w:pPr>
      <w:r>
        <w:rPr>
          <w:color w:val="000000"/>
        </w:rPr>
        <w:t>Председник,</w:t>
      </w:r>
    </w:p>
    <w:p w:rsidR="00BC182C" w:rsidRDefault="00F17BF2">
      <w:pPr>
        <w:spacing w:after="150"/>
        <w:jc w:val="right"/>
      </w:pPr>
      <w:r>
        <w:rPr>
          <w:b/>
          <w:color w:val="000000"/>
        </w:rPr>
        <w:t>Ана Брнабић,</w:t>
      </w:r>
      <w:r>
        <w:rPr>
          <w:color w:val="000000"/>
        </w:rPr>
        <w:t xml:space="preserve"> с.р.</w:t>
      </w:r>
    </w:p>
    <w:sectPr w:rsidR="00BC182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82C"/>
    <w:rsid w:val="00122742"/>
    <w:rsid w:val="00BC182C"/>
    <w:rsid w:val="00C04DAB"/>
    <w:rsid w:val="00F1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BB0CB9-88EE-4D70-BB99-3A0C6272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http://www.pravno-informacioni-sistem.rs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1850</Words>
  <Characters>10548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Todorovic</dc:creator>
  <cp:lastModifiedBy>Mihailo Đorđević</cp:lastModifiedBy>
  <cp:revision>2</cp:revision>
  <dcterms:created xsi:type="dcterms:W3CDTF">2021-07-20T11:40:00Z</dcterms:created>
  <dcterms:modified xsi:type="dcterms:W3CDTF">2021-07-20T11:40:00Z</dcterms:modified>
</cp:coreProperties>
</file>